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7" w:type="dxa"/>
        <w:jc w:val="center"/>
        <w:tblInd w:w="-301" w:type="dxa"/>
        <w:tblLook w:val="0000"/>
      </w:tblPr>
      <w:tblGrid>
        <w:gridCol w:w="3750"/>
        <w:gridCol w:w="1727"/>
        <w:gridCol w:w="1605"/>
        <w:gridCol w:w="995"/>
        <w:gridCol w:w="1850"/>
        <w:gridCol w:w="1605"/>
        <w:gridCol w:w="995"/>
      </w:tblGrid>
      <w:tr w:rsidR="00194B9C" w:rsidRPr="00A07641" w:rsidTr="00FC4354">
        <w:trPr>
          <w:trHeight w:val="567"/>
          <w:jc w:val="center"/>
        </w:trPr>
        <w:tc>
          <w:tcPr>
            <w:tcW w:w="12527" w:type="dxa"/>
            <w:gridSpan w:val="7"/>
            <w:tcBorders>
              <w:bottom w:val="single" w:sz="12" w:space="0" w:color="auto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ind w:left="1483" w:hanging="1483"/>
              <w:rPr>
                <w:rFonts w:cstheme="minorHAnsi"/>
                <w:b/>
              </w:rPr>
            </w:pPr>
            <w:r w:rsidRPr="003C4ED2">
              <w:rPr>
                <w:rFonts w:cstheme="minorHAnsi"/>
                <w:b/>
              </w:rPr>
              <w:t xml:space="preserve">Supplemental Data File 2. Summary of demographics and baseline characteristics used for the propensity matching, between matched and unmatched patients. 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vMerge w:val="restart"/>
            <w:tcBorders>
              <w:top w:val="single" w:sz="12" w:space="0" w:color="auto"/>
            </w:tcBorders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  <w:b/>
              </w:rPr>
            </w:pPr>
            <w:r w:rsidRPr="003C4ED2">
              <w:rPr>
                <w:rFonts w:cstheme="minorHAnsi"/>
                <w:b/>
              </w:rPr>
              <w:t>Variable</w:t>
            </w:r>
          </w:p>
        </w:tc>
        <w:tc>
          <w:tcPr>
            <w:tcW w:w="4327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  <w:b/>
              </w:rPr>
              <w:t>Nitrous</w:t>
            </w:r>
          </w:p>
        </w:tc>
        <w:tc>
          <w:tcPr>
            <w:tcW w:w="4450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  <w:b/>
                <w:bCs/>
                <w:iCs/>
              </w:rPr>
              <w:t>Non-Nitrous</w:t>
            </w:r>
          </w:p>
        </w:tc>
      </w:tr>
      <w:tr w:rsidR="00194B9C" w:rsidRPr="00A07641" w:rsidTr="00FC4354">
        <w:trPr>
          <w:trHeight w:val="60"/>
          <w:jc w:val="center"/>
        </w:trPr>
        <w:tc>
          <w:tcPr>
            <w:tcW w:w="3750" w:type="dxa"/>
            <w:vMerge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27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C4ED2">
              <w:rPr>
                <w:rFonts w:cstheme="minorHAnsi"/>
                <w:b/>
              </w:rPr>
              <w:t>Matched</w:t>
            </w:r>
          </w:p>
        </w:tc>
        <w:tc>
          <w:tcPr>
            <w:tcW w:w="1605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C4ED2">
              <w:rPr>
                <w:rFonts w:cstheme="minorHAnsi"/>
                <w:b/>
              </w:rPr>
              <w:t>Unmatched</w:t>
            </w:r>
          </w:p>
        </w:tc>
        <w:tc>
          <w:tcPr>
            <w:tcW w:w="995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C4ED2">
              <w:rPr>
                <w:rFonts w:cstheme="minorHAnsi"/>
                <w:b/>
              </w:rPr>
              <w:t>D</w:t>
            </w:r>
          </w:p>
        </w:tc>
        <w:tc>
          <w:tcPr>
            <w:tcW w:w="1850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C4ED2">
              <w:rPr>
                <w:rFonts w:cstheme="minorHAnsi"/>
                <w:b/>
              </w:rPr>
              <w:t>Matched</w:t>
            </w:r>
          </w:p>
        </w:tc>
        <w:tc>
          <w:tcPr>
            <w:tcW w:w="1605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C4ED2">
              <w:rPr>
                <w:rFonts w:cstheme="minorHAnsi"/>
                <w:b/>
              </w:rPr>
              <w:t>Unmatched</w:t>
            </w:r>
          </w:p>
        </w:tc>
        <w:tc>
          <w:tcPr>
            <w:tcW w:w="995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C4ED2">
              <w:rPr>
                <w:rFonts w:cstheme="minorHAnsi"/>
                <w:b/>
              </w:rPr>
              <w:t>D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vMerge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C4ED2">
              <w:rPr>
                <w:rFonts w:cstheme="minorHAnsi"/>
                <w:b/>
              </w:rPr>
              <w:t>N=10,746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C4ED2">
              <w:rPr>
                <w:rFonts w:cstheme="minorHAnsi"/>
                <w:b/>
              </w:rPr>
              <w:t>N=6,215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noWrap/>
            <w:vAlign w:val="bottom"/>
          </w:tcPr>
          <w:p w:rsidR="00194B9C" w:rsidRPr="003C4ED2" w:rsidRDefault="00194B9C" w:rsidP="00FC4354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b/>
              </w:rPr>
            </w:pPr>
          </w:p>
        </w:tc>
        <w:tc>
          <w:tcPr>
            <w:tcW w:w="1850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C4ED2">
              <w:rPr>
                <w:rFonts w:cstheme="minorHAnsi"/>
                <w:b/>
              </w:rPr>
              <w:t>N=10,746</w:t>
            </w:r>
          </w:p>
        </w:tc>
        <w:tc>
          <w:tcPr>
            <w:tcW w:w="1605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C4ED2">
              <w:rPr>
                <w:rFonts w:cstheme="minorHAnsi"/>
                <w:b/>
              </w:rPr>
              <w:t>N=9,902</w:t>
            </w:r>
          </w:p>
        </w:tc>
        <w:tc>
          <w:tcPr>
            <w:tcW w:w="995" w:type="dxa"/>
            <w:noWrap/>
            <w:vAlign w:val="bottom"/>
          </w:tcPr>
          <w:p w:rsidR="00194B9C" w:rsidRPr="003C4ED2" w:rsidRDefault="00194B9C" w:rsidP="00FC4354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b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tcBorders>
              <w:top w:val="single" w:sz="4" w:space="0" w:color="auto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>Gender (Male) – %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4990 (46)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2817 (45)</w:t>
            </w:r>
          </w:p>
        </w:tc>
        <w:tc>
          <w:tcPr>
            <w:tcW w:w="995" w:type="dxa"/>
            <w:tcBorders>
              <w:top w:val="single" w:sz="4" w:space="0" w:color="auto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0.02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4877 (45)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4742 (48)</w:t>
            </w:r>
          </w:p>
        </w:tc>
        <w:tc>
          <w:tcPr>
            <w:tcW w:w="995" w:type="dxa"/>
            <w:tcBorders>
              <w:top w:val="single" w:sz="4" w:space="0" w:color="auto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-0.05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>Age – yr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56 ± 16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54 ± 16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0.13</w:t>
            </w: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56±16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57±16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-0.09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>Body Mass Index – kg/m</w:t>
            </w:r>
            <w:r w:rsidRPr="003C4ED2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28 [24,32]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28 [24,32]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0.01</w:t>
            </w: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28 [24,32]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28 [24,34]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-0.09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>Race – %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0.11</w:t>
            </w: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0.02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Caucasian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8864 (82)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4871 (78)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8878 (83)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8243 (83)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African American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1186 (11)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888 (14)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1201 (11)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1057 (11)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>ASA physical status – %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0.34</w:t>
            </w: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0.37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I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466 (  4)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614 (10)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686 (  6)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270 (  3)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II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4906 (46)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3393 (55)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5053 (47)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3395 (34)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III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4999 (47)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2116 (34)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4569 (43)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5340 (54)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IV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375 (  3)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92 (  1)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438 (  4)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897 (  9)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C4ED2">
              <w:rPr>
                <w:rFonts w:cstheme="minorHAnsi"/>
              </w:rPr>
              <w:t>Charlson</w:t>
            </w:r>
            <w:proofErr w:type="spellEnd"/>
            <w:r w:rsidRPr="003C4ED2">
              <w:rPr>
                <w:rFonts w:cstheme="minorHAnsi"/>
              </w:rPr>
              <w:t xml:space="preserve"> </w:t>
            </w:r>
            <w:proofErr w:type="spellStart"/>
            <w:r w:rsidRPr="003C4ED2">
              <w:rPr>
                <w:rFonts w:cstheme="minorHAnsi"/>
              </w:rPr>
              <w:t>comorbidity</w:t>
            </w:r>
            <w:proofErr w:type="spellEnd"/>
            <w:r w:rsidRPr="003C4ED2">
              <w:rPr>
                <w:rFonts w:cstheme="minorHAnsi"/>
              </w:rPr>
              <w:t xml:space="preserve"> score – %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0.37</w:t>
            </w: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0.26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0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5267 (49)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4018 (65)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5581 (52)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3971 (40)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1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1672 (16)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948 (15)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1692 (16)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1844 (19)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2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2026 (19)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773 (12)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1965 (18)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1966 (20)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3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690 (  6)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172 (  3)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544 (  5)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775 (  8)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4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1091 (10)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304 (  5)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964 (  9)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1346 (14)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>Admission for complication, Yes - %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499 (  5)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511 (  8)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-0.15</w:t>
            </w: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581 (  5)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373 (  4)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0.08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  <w:i/>
              </w:rPr>
              <w:t>Medical history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Cancer, Yes - %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3740 (35)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1546 (25)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0.22</w:t>
            </w: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3560 (33)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3251 (33)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0.01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CVD, Yes - %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5198 (48)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2735 (44)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0.09</w:t>
            </w: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5109 (48)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5243 (53)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-0.11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Dementia, Yes - %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54 (  1)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29 (  0)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0.00</w:t>
            </w: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52 (  0)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72 (  1)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-0.03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Diabetes, Yes - %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1444 (13)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741 (12)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0.05</w:t>
            </w: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1390 (13)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1696 (17)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-0.12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Digestive disease, Yes - %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3361 (31)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1393 (22)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0.20</w:t>
            </w:r>
          </w:p>
        </w:tc>
        <w:tc>
          <w:tcPr>
            <w:tcW w:w="1850" w:type="dxa"/>
            <w:tcBorders>
              <w:left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2946 (27)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3846 (39)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-0.24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Pulmonary disease, Yes - %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1199 (11)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503 (  8)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0.10</w:t>
            </w:r>
          </w:p>
        </w:tc>
        <w:tc>
          <w:tcPr>
            <w:tcW w:w="1850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1096 (10)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1359 (14)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-0.11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ind w:firstLine="230"/>
              <w:rPr>
                <w:rFonts w:cstheme="minorHAnsi"/>
              </w:rPr>
            </w:pPr>
            <w:r w:rsidRPr="003C4ED2">
              <w:rPr>
                <w:rFonts w:cstheme="minorHAnsi"/>
              </w:rPr>
              <w:t>Chronic renal failure, Yes - %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439 (  4)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143 (  2)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0.10</w:t>
            </w:r>
          </w:p>
        </w:tc>
        <w:tc>
          <w:tcPr>
            <w:tcW w:w="1850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376 (  4)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450 (  5)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-0.05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ind w:firstLine="230"/>
              <w:rPr>
                <w:rFonts w:cstheme="minorHAnsi"/>
              </w:rPr>
            </w:pPr>
            <w:proofErr w:type="spellStart"/>
            <w:r w:rsidRPr="003C4ED2">
              <w:rPr>
                <w:rFonts w:cstheme="minorHAnsi"/>
              </w:rPr>
              <w:t>Malabsorption</w:t>
            </w:r>
            <w:proofErr w:type="spellEnd"/>
            <w:r w:rsidRPr="003C4ED2">
              <w:rPr>
                <w:rFonts w:cstheme="minorHAnsi"/>
              </w:rPr>
              <w:t>, Yes - %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35 (  0)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  7 (  0)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0.05</w:t>
            </w:r>
          </w:p>
        </w:tc>
        <w:tc>
          <w:tcPr>
            <w:tcW w:w="1850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38 (  0)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36 (  0)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-0.00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ind w:firstLine="230"/>
              <w:rPr>
                <w:rFonts w:cstheme="minorHAnsi"/>
              </w:rPr>
            </w:pPr>
            <w:r w:rsidRPr="003C4ED2">
              <w:rPr>
                <w:rFonts w:cstheme="minorHAnsi"/>
              </w:rPr>
              <w:t>Bone marrow failure, Yes - %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15 (  0)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  7 (  0)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0.01</w:t>
            </w:r>
          </w:p>
        </w:tc>
        <w:tc>
          <w:tcPr>
            <w:tcW w:w="1850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30 (  0)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54 (  1)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-0.04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>Year of surgery- %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0.57</w:t>
            </w:r>
          </w:p>
        </w:tc>
        <w:tc>
          <w:tcPr>
            <w:tcW w:w="1850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0.42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lastRenderedPageBreak/>
              <w:t xml:space="preserve">    2005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1550 (14)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1728 (28)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1473 (14)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839 (  8)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2006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3502 (33)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2668 (43)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3051 (28)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1757 (18)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2007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2680 (25)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1185 (19)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2884 (27)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2452 (25)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2008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2367 (22)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541 (9)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2658 (25)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3519 (36)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2009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647 (6)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93 (2)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680 (  6)</w:t>
            </w: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1335 (13)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Anesthesiologist </w:t>
            </w:r>
            <w:r w:rsidRPr="003C4ED2">
              <w:rPr>
                <w:rFonts w:cstheme="minorHAnsi"/>
                <w:vertAlign w:val="superscript"/>
              </w:rPr>
              <w:t>‡</w:t>
            </w:r>
            <w:r w:rsidRPr="003C4ED2">
              <w:rPr>
                <w:rFonts w:cstheme="minorHAnsi"/>
              </w:rPr>
              <w:t xml:space="preserve">  - %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0.83</w:t>
            </w:r>
          </w:p>
        </w:tc>
        <w:tc>
          <w:tcPr>
            <w:tcW w:w="1850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0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0.73</w:t>
            </w: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  637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362 (3)</w:t>
            </w:r>
          </w:p>
        </w:tc>
        <w:tc>
          <w:tcPr>
            <w:tcW w:w="1605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364 (6)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393 (  4)</w:t>
            </w:r>
          </w:p>
        </w:tc>
        <w:tc>
          <w:tcPr>
            <w:tcW w:w="1605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105 (  1)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  W09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340 (3)</w:t>
            </w:r>
          </w:p>
        </w:tc>
        <w:tc>
          <w:tcPr>
            <w:tcW w:w="1605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164 (3)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303 (  3)</w:t>
            </w:r>
          </w:p>
        </w:tc>
        <w:tc>
          <w:tcPr>
            <w:tcW w:w="1605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276 (  3)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  S33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282 (3)</w:t>
            </w:r>
          </w:p>
        </w:tc>
        <w:tc>
          <w:tcPr>
            <w:tcW w:w="1605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56 (1)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265 (  2)</w:t>
            </w:r>
          </w:p>
        </w:tc>
        <w:tc>
          <w:tcPr>
            <w:tcW w:w="1605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440 (  4)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  O08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111 (1)</w:t>
            </w:r>
          </w:p>
        </w:tc>
        <w:tc>
          <w:tcPr>
            <w:tcW w:w="1605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10 (0)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115 (  1)</w:t>
            </w:r>
          </w:p>
        </w:tc>
        <w:tc>
          <w:tcPr>
            <w:tcW w:w="1605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675 (  7)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55"/>
          <w:jc w:val="center"/>
        </w:trPr>
        <w:tc>
          <w:tcPr>
            <w:tcW w:w="3750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   B69</w:t>
            </w:r>
          </w:p>
        </w:tc>
        <w:tc>
          <w:tcPr>
            <w:tcW w:w="1727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263 (2)</w:t>
            </w:r>
          </w:p>
        </w:tc>
        <w:tc>
          <w:tcPr>
            <w:tcW w:w="1605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>159 (3)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 303 (  3)</w:t>
            </w:r>
          </w:p>
        </w:tc>
        <w:tc>
          <w:tcPr>
            <w:tcW w:w="1605" w:type="dxa"/>
            <w:noWrap/>
            <w:vAlign w:val="bottom"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  <w:r w:rsidRPr="003C4ED2">
              <w:rPr>
                <w:rFonts w:cstheme="minorHAnsi"/>
              </w:rPr>
              <w:t xml:space="preserve">  133 (  1)</w:t>
            </w:r>
          </w:p>
        </w:tc>
        <w:tc>
          <w:tcPr>
            <w:tcW w:w="995" w:type="dxa"/>
            <w:noWrap/>
          </w:tcPr>
          <w:p w:rsidR="00194B9C" w:rsidRPr="003C4ED2" w:rsidRDefault="00194B9C" w:rsidP="00FC435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94B9C" w:rsidRPr="00A07641" w:rsidTr="00FC4354">
        <w:trPr>
          <w:trHeight w:val="2184"/>
          <w:jc w:val="center"/>
        </w:trPr>
        <w:tc>
          <w:tcPr>
            <w:tcW w:w="12527" w:type="dxa"/>
            <w:gridSpan w:val="7"/>
            <w:tcBorders>
              <w:top w:val="double" w:sz="4" w:space="0" w:color="auto"/>
              <w:bottom w:val="nil"/>
            </w:tcBorders>
            <w:noWrap/>
          </w:tcPr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>Summary statistics was presented as % of patients, mean ± SD, or median [Q1, Q3]</w:t>
            </w:r>
          </w:p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  <w:vertAlign w:val="superscript"/>
              </w:rPr>
              <w:t xml:space="preserve">* </w:t>
            </w:r>
            <w:r w:rsidRPr="003C4ED2">
              <w:rPr>
                <w:rFonts w:cstheme="minorHAnsi"/>
              </w:rPr>
              <w:t>D = Standardized differences (matched minus unmatched): difference in means or proportions divided by pooled standard deviation</w:t>
            </w:r>
            <w:r w:rsidRPr="003C4ED2">
              <w:rPr>
                <w:rFonts w:cstheme="minorHAnsi"/>
                <w:b/>
                <w:i/>
              </w:rPr>
              <w:t xml:space="preserve">; </w:t>
            </w:r>
            <w:r w:rsidRPr="003C4ED2">
              <w:rPr>
                <w:rFonts w:cstheme="minorHAnsi"/>
              </w:rPr>
              <w:t xml:space="preserve">&gt; 0.1 in absolute value indicates slightly imbalance. </w:t>
            </w:r>
          </w:p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  <w:vertAlign w:val="superscript"/>
              </w:rPr>
              <w:t>‡</w:t>
            </w:r>
            <w:r w:rsidRPr="003C4ED2">
              <w:rPr>
                <w:rFonts w:cstheme="minorHAnsi"/>
              </w:rPr>
              <w:t xml:space="preserve"> 5 most frequent </w:t>
            </w:r>
            <w:r w:rsidRPr="003C4ED2">
              <w:rPr>
                <w:rFonts w:cstheme="minorHAnsi"/>
                <w:bCs/>
                <w:iCs/>
              </w:rPr>
              <w:t>Anesthesiologist</w:t>
            </w:r>
            <w:r w:rsidRPr="003C4ED2">
              <w:rPr>
                <w:rFonts w:cstheme="minorHAnsi"/>
              </w:rPr>
              <w:t>s are listed.</w:t>
            </w:r>
          </w:p>
          <w:p w:rsidR="00194B9C" w:rsidRPr="003C4ED2" w:rsidRDefault="00194B9C" w:rsidP="00FC4354">
            <w:pPr>
              <w:spacing w:after="0" w:line="240" w:lineRule="auto"/>
              <w:rPr>
                <w:rFonts w:cstheme="minorHAnsi"/>
              </w:rPr>
            </w:pPr>
            <w:r w:rsidRPr="003C4ED2">
              <w:rPr>
                <w:rFonts w:cstheme="minorHAnsi"/>
              </w:rPr>
              <w:t>Abbreviations: ASA= American Society of Anesthesiologists; CVD= cardiovascular disease</w:t>
            </w:r>
          </w:p>
        </w:tc>
      </w:tr>
    </w:tbl>
    <w:p w:rsidR="007358E6" w:rsidRDefault="003C4ED2"/>
    <w:sectPr w:rsidR="007358E6" w:rsidSect="00194B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B9C"/>
    <w:rsid w:val="00044ADD"/>
    <w:rsid w:val="0014142F"/>
    <w:rsid w:val="00182514"/>
    <w:rsid w:val="0018461B"/>
    <w:rsid w:val="00194B9C"/>
    <w:rsid w:val="00202C8A"/>
    <w:rsid w:val="00375E32"/>
    <w:rsid w:val="003C4ED2"/>
    <w:rsid w:val="004B7B32"/>
    <w:rsid w:val="00582FDF"/>
    <w:rsid w:val="0069731C"/>
    <w:rsid w:val="009352BF"/>
    <w:rsid w:val="00B50F31"/>
    <w:rsid w:val="00C57524"/>
    <w:rsid w:val="00CE6F44"/>
    <w:rsid w:val="00F2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71A-5FBC-4977-BEE7-FDED1B85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>Wolters Kluwer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</dc:creator>
  <cp:keywords/>
  <dc:description/>
  <cp:lastModifiedBy>Wolters Kluwer</cp:lastModifiedBy>
  <cp:revision>2</cp:revision>
  <dcterms:created xsi:type="dcterms:W3CDTF">2012-06-28T14:39:00Z</dcterms:created>
  <dcterms:modified xsi:type="dcterms:W3CDTF">2012-06-28T14:40:00Z</dcterms:modified>
</cp:coreProperties>
</file>