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13B9" w14:textId="3CF9704E" w:rsidR="001F720C" w:rsidRPr="00042BCC" w:rsidRDefault="00042BCC" w:rsidP="00042BCC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SUPPLEMENT</w:t>
      </w:r>
    </w:p>
    <w:p w14:paraId="231C63CB" w14:textId="77777777" w:rsidR="00145B4D" w:rsidRDefault="00145B4D" w:rsidP="00145B4D">
      <w:pPr>
        <w:spacing w:line="480" w:lineRule="auto"/>
        <w:ind w:left="-284"/>
        <w:rPr>
          <w:b/>
        </w:rPr>
      </w:pPr>
    </w:p>
    <w:p w14:paraId="132D3672" w14:textId="77777777" w:rsidR="00E57060" w:rsidRPr="00145B4D" w:rsidRDefault="00223EC9" w:rsidP="00145B4D">
      <w:pPr>
        <w:spacing w:line="480" w:lineRule="auto"/>
        <w:ind w:left="-284"/>
        <w:rPr>
          <w:b/>
        </w:rPr>
      </w:pPr>
      <w:r>
        <w:rPr>
          <w:b/>
        </w:rPr>
        <w:t xml:space="preserve">EXPANDED </w:t>
      </w:r>
      <w:r w:rsidR="00E57060" w:rsidRPr="00145B4D">
        <w:rPr>
          <w:b/>
        </w:rPr>
        <w:t>RESULTS</w:t>
      </w:r>
      <w:r w:rsidR="00145B4D">
        <w:rPr>
          <w:b/>
        </w:rPr>
        <w:tab/>
      </w:r>
      <w:r w:rsidR="00145B4D">
        <w:rPr>
          <w:b/>
        </w:rPr>
        <w:tab/>
      </w:r>
      <w:r w:rsidR="00145B4D">
        <w:rPr>
          <w:b/>
        </w:rPr>
        <w:tab/>
      </w:r>
      <w:r w:rsidR="00145B4D">
        <w:rPr>
          <w:b/>
        </w:rPr>
        <w:tab/>
      </w:r>
      <w:r w:rsidR="00145B4D">
        <w:rPr>
          <w:b/>
        </w:rPr>
        <w:tab/>
      </w:r>
      <w:r w:rsidR="00145B4D">
        <w:rPr>
          <w:b/>
        </w:rPr>
        <w:tab/>
      </w:r>
      <w:r w:rsidR="00145B4D">
        <w:rPr>
          <w:b/>
        </w:rPr>
        <w:tab/>
      </w:r>
      <w:r w:rsidR="00145B4D">
        <w:rPr>
          <w:b/>
        </w:rPr>
        <w:tab/>
      </w:r>
      <w:r w:rsidR="00145B4D">
        <w:rPr>
          <w:b/>
        </w:rPr>
        <w:tab/>
        <w:t xml:space="preserve">                      </w:t>
      </w:r>
      <w:r w:rsidR="00E57060" w:rsidRPr="00145B4D">
        <w:rPr>
          <w:b/>
        </w:rPr>
        <w:t xml:space="preserve">Fittings: </w:t>
      </w:r>
      <w:r w:rsidR="00E57060" w:rsidRPr="00145B4D">
        <w:t>The fitted parameters (CL, V</w:t>
      </w:r>
      <w:r w:rsidR="00E57060" w:rsidRPr="00145B4D">
        <w:rPr>
          <w:vertAlign w:val="subscript"/>
        </w:rPr>
        <w:t>1</w:t>
      </w:r>
      <w:r w:rsidR="00E57060" w:rsidRPr="00145B4D">
        <w:t>, CL</w:t>
      </w:r>
      <w:r w:rsidR="00E57060" w:rsidRPr="00145B4D">
        <w:rPr>
          <w:vertAlign w:val="subscript"/>
        </w:rPr>
        <w:t>12</w:t>
      </w:r>
      <w:r w:rsidR="00E57060" w:rsidRPr="00145B4D">
        <w:t xml:space="preserve"> or CL</w:t>
      </w:r>
      <w:r w:rsidR="00E57060" w:rsidRPr="00145B4D">
        <w:rPr>
          <w:vertAlign w:val="subscript"/>
        </w:rPr>
        <w:t>21</w:t>
      </w:r>
      <w:r w:rsidR="00E57060" w:rsidRPr="00145B4D">
        <w:t xml:space="preserve"> and V</w:t>
      </w:r>
      <w:r w:rsidR="00E57060" w:rsidRPr="00145B4D">
        <w:rPr>
          <w:vertAlign w:val="subscript"/>
        </w:rPr>
        <w:t>2</w:t>
      </w:r>
      <w:r w:rsidR="00E57060" w:rsidRPr="00145B4D">
        <w:t xml:space="preserve">) for each CRD stage and risk groups are summarized in </w:t>
      </w:r>
      <w:r w:rsidR="000760F9" w:rsidRPr="00145B4D">
        <w:t xml:space="preserve">Table </w:t>
      </w:r>
      <w:r w:rsidR="006D01D2" w:rsidRPr="00145B4D">
        <w:t>2</w:t>
      </w:r>
      <w:r w:rsidR="00E57060" w:rsidRPr="00145B4D">
        <w:t>. Total T</w:t>
      </w:r>
      <w:r w:rsidR="00CE1757" w:rsidRPr="00145B4D">
        <w:t>X</w:t>
      </w:r>
      <w:r w:rsidR="00E57060" w:rsidRPr="00145B4D">
        <w:t>A plasma clearance (CL) was found to be significantly decreased with increased severity of CRD (from stages 1 to 5)</w:t>
      </w:r>
      <w:r w:rsidR="006D01D2" w:rsidRPr="00145B4D">
        <w:t xml:space="preserve">.  </w:t>
      </w:r>
      <w:r w:rsidR="00DD5DD7" w:rsidRPr="00145B4D">
        <w:t>Although there was no trend for t</w:t>
      </w:r>
      <w:r w:rsidR="00926097" w:rsidRPr="00145B4D">
        <w:t xml:space="preserve">he volume </w:t>
      </w:r>
      <w:r w:rsidR="00E57060" w:rsidRPr="00145B4D">
        <w:t xml:space="preserve">of distribution </w:t>
      </w:r>
      <w:r w:rsidR="00926097" w:rsidRPr="00145B4D">
        <w:t>of the</w:t>
      </w:r>
      <w:r w:rsidR="00E57060" w:rsidRPr="00145B4D">
        <w:t xml:space="preserve"> central compartment (V</w:t>
      </w:r>
      <w:r w:rsidR="00E57060" w:rsidRPr="00145B4D">
        <w:rPr>
          <w:vertAlign w:val="subscript"/>
        </w:rPr>
        <w:t>1</w:t>
      </w:r>
      <w:r w:rsidR="00E57060" w:rsidRPr="00145B4D">
        <w:t xml:space="preserve">) </w:t>
      </w:r>
      <w:r w:rsidR="00DD5DD7" w:rsidRPr="00145B4D">
        <w:t xml:space="preserve">among the low risk </w:t>
      </w:r>
      <w:r w:rsidR="00EC4120" w:rsidRPr="00145B4D">
        <w:t>s</w:t>
      </w:r>
      <w:r w:rsidR="00DD5DD7" w:rsidRPr="00145B4D">
        <w:t>tages 1-5, differences were observed between the low vs. high risk groups for each of the stages.  The V</w:t>
      </w:r>
      <w:r w:rsidR="00DD5DD7" w:rsidRPr="00145B4D">
        <w:rPr>
          <w:vertAlign w:val="subscript"/>
        </w:rPr>
        <w:t>1</w:t>
      </w:r>
      <w:r w:rsidR="00DD5DD7" w:rsidRPr="00145B4D">
        <w:t xml:space="preserve"> for the high risk group was 17 to 68% those for the corresponding low risk group (</w:t>
      </w:r>
      <w:r w:rsidR="00CE1757" w:rsidRPr="00145B4D">
        <w:t>T</w:t>
      </w:r>
      <w:r w:rsidR="00DD5DD7" w:rsidRPr="00145B4D">
        <w:t>able 2). Although changes in the volume of distribution in peripheral compartment (V</w:t>
      </w:r>
      <w:r w:rsidR="00DD5DD7" w:rsidRPr="00145B4D">
        <w:rPr>
          <w:vertAlign w:val="subscript"/>
        </w:rPr>
        <w:t>2</w:t>
      </w:r>
      <w:r w:rsidR="00DD5DD7" w:rsidRPr="00145B4D">
        <w:t>) were not significantly different, notable differences were observed between two risk groups (</w:t>
      </w:r>
      <w:r w:rsidR="00CE1757" w:rsidRPr="00145B4D">
        <w:t>T</w:t>
      </w:r>
      <w:r w:rsidR="00DD5DD7" w:rsidRPr="00145B4D">
        <w:t xml:space="preserve">able 2). The </w:t>
      </w:r>
      <w:r w:rsidR="00E57060" w:rsidRPr="00145B4D">
        <w:t>inter-compartmental clearance</w:t>
      </w:r>
      <w:r w:rsidR="00926097" w:rsidRPr="00145B4D">
        <w:t>s</w:t>
      </w:r>
      <w:r w:rsidR="00E57060" w:rsidRPr="00145B4D">
        <w:t xml:space="preserve"> (CL</w:t>
      </w:r>
      <w:r w:rsidR="00E57060" w:rsidRPr="00145B4D">
        <w:rPr>
          <w:vertAlign w:val="subscript"/>
        </w:rPr>
        <w:t>12</w:t>
      </w:r>
      <w:r w:rsidR="00E57060" w:rsidRPr="00145B4D">
        <w:t xml:space="preserve"> and CL</w:t>
      </w:r>
      <w:r w:rsidR="00E57060" w:rsidRPr="00145B4D">
        <w:rPr>
          <w:vertAlign w:val="subscript"/>
        </w:rPr>
        <w:t>21</w:t>
      </w:r>
      <w:r w:rsidR="00E57060" w:rsidRPr="00145B4D">
        <w:t>) were significantly different among 5 stages of CRD</w:t>
      </w:r>
      <w:r w:rsidR="00DD5DD7" w:rsidRPr="00145B4D">
        <w:t>,</w:t>
      </w:r>
      <w:r w:rsidR="00E57060" w:rsidRPr="00145B4D">
        <w:t xml:space="preserve"> and between the two risk groups</w:t>
      </w:r>
      <w:r w:rsidR="00DD5DD7" w:rsidRPr="00145B4D">
        <w:t xml:space="preserve">, likely due to changes in hemodynamics between the groups. </w:t>
      </w:r>
      <w:r w:rsidR="00E57060" w:rsidRPr="00145B4D">
        <w:t xml:space="preserve">These </w:t>
      </w:r>
      <w:r w:rsidR="00926097" w:rsidRPr="00145B4D">
        <w:t xml:space="preserve">fitted </w:t>
      </w:r>
      <w:r w:rsidR="00E57060" w:rsidRPr="00145B4D">
        <w:t xml:space="preserve">results suggest </w:t>
      </w:r>
      <w:r w:rsidR="0031372A" w:rsidRPr="00145B4D">
        <w:t>the CRD stage</w:t>
      </w:r>
      <w:r w:rsidR="00E57060" w:rsidRPr="00145B4D">
        <w:t xml:space="preserve"> and r</w:t>
      </w:r>
      <w:r w:rsidR="0031372A" w:rsidRPr="00145B4D">
        <w:t>isk group are</w:t>
      </w:r>
      <w:r w:rsidR="00E57060" w:rsidRPr="00145B4D">
        <w:t xml:space="preserve"> potential covariates responsible for</w:t>
      </w:r>
      <w:r w:rsidR="0031372A" w:rsidRPr="00145B4D">
        <w:t xml:space="preserve"> inter-subject variability in T</w:t>
      </w:r>
      <w:r w:rsidR="00CE1757" w:rsidRPr="00145B4D">
        <w:t>X</w:t>
      </w:r>
      <w:r w:rsidR="00E57060" w:rsidRPr="00145B4D">
        <w:t>A disposition. To further study covariate effects, population modelling was conducted using NONMEM</w:t>
      </w:r>
      <w:r w:rsidR="00E57060" w:rsidRPr="00145B4D">
        <w:rPr>
          <w:vertAlign w:val="superscript"/>
        </w:rPr>
        <w:t>®</w:t>
      </w:r>
      <w:r w:rsidR="00E57060" w:rsidRPr="00145B4D">
        <w:t xml:space="preserve">. </w:t>
      </w:r>
    </w:p>
    <w:p w14:paraId="488E62C5" w14:textId="77777777" w:rsidR="00145B4D" w:rsidRDefault="00E57060" w:rsidP="00145B4D">
      <w:pPr>
        <w:spacing w:line="480" w:lineRule="auto"/>
        <w:ind w:left="-284"/>
        <w:jc w:val="both"/>
      </w:pPr>
      <w:r w:rsidRPr="00145B4D">
        <w:rPr>
          <w:b/>
        </w:rPr>
        <w:t>Populati</w:t>
      </w:r>
      <w:r w:rsidR="001A3500" w:rsidRPr="00145B4D">
        <w:rPr>
          <w:b/>
        </w:rPr>
        <w:t>on P</w:t>
      </w:r>
      <w:r w:rsidR="000D62E3" w:rsidRPr="00145B4D">
        <w:rPr>
          <w:b/>
        </w:rPr>
        <w:t>harmacokinetic</w:t>
      </w:r>
      <w:r w:rsidRPr="00145B4D">
        <w:rPr>
          <w:b/>
        </w:rPr>
        <w:t xml:space="preserve"> and covariate modelling: </w:t>
      </w:r>
      <w:r w:rsidRPr="00145B4D">
        <w:t xml:space="preserve">According to </w:t>
      </w:r>
      <w:r w:rsidR="0031372A" w:rsidRPr="00145B4D">
        <w:t xml:space="preserve">the </w:t>
      </w:r>
      <w:r w:rsidRPr="00145B4D">
        <w:t>base model, the u</w:t>
      </w:r>
      <w:r w:rsidR="0031372A" w:rsidRPr="00145B4D">
        <w:t>nexplained variability of T</w:t>
      </w:r>
      <w:r w:rsidR="00CE1757" w:rsidRPr="00145B4D">
        <w:t>X</w:t>
      </w:r>
      <w:r w:rsidRPr="00145B4D">
        <w:t xml:space="preserve">A clearance demonstrated a clear correlation with eGFR and CRD stages </w:t>
      </w:r>
      <w:r w:rsidR="006D01D2" w:rsidRPr="00145B4D">
        <w:t>(</w:t>
      </w:r>
      <w:r w:rsidR="00CE1757" w:rsidRPr="00145B4D">
        <w:t>Fig</w:t>
      </w:r>
      <w:r w:rsidR="00172BAC" w:rsidRPr="00145B4D">
        <w:t>ure</w:t>
      </w:r>
      <w:r w:rsidR="001A3500" w:rsidRPr="00145B4D">
        <w:t xml:space="preserve"> 2</w:t>
      </w:r>
      <w:r w:rsidR="006D01D2" w:rsidRPr="00145B4D">
        <w:t xml:space="preserve">) </w:t>
      </w:r>
      <w:r w:rsidRPr="00145B4D">
        <w:t>and therefore eGFR was assigned as a continuous covariate to describe inter-subject variability of T</w:t>
      </w:r>
      <w:r w:rsidR="00CE1757" w:rsidRPr="00145B4D">
        <w:t>X</w:t>
      </w:r>
      <w:r w:rsidRPr="00145B4D">
        <w:t>A clearance (CL). After incorporating eGFR as a covariate, the unexplained variability of CL decreased, and distributed more evenly and closer to 0</w:t>
      </w:r>
      <w:r w:rsidR="00CE1757" w:rsidRPr="00145B4D">
        <w:t xml:space="preserve"> (</w:t>
      </w:r>
      <w:r w:rsidR="00172BAC" w:rsidRPr="00145B4D">
        <w:t>Figure</w:t>
      </w:r>
      <w:r w:rsidR="00CE1757" w:rsidRPr="00145B4D">
        <w:t xml:space="preserve"> </w:t>
      </w:r>
      <w:r w:rsidR="0066770B" w:rsidRPr="00145B4D">
        <w:t>3</w:t>
      </w:r>
      <w:r w:rsidR="00CE1757" w:rsidRPr="00145B4D">
        <w:t>)</w:t>
      </w:r>
      <w:r w:rsidRPr="00145B4D">
        <w:t>. Similarly, the unexplained variability of V</w:t>
      </w:r>
      <w:r w:rsidRPr="00145B4D">
        <w:rPr>
          <w:vertAlign w:val="subscript"/>
        </w:rPr>
        <w:t>1</w:t>
      </w:r>
      <w:r w:rsidRPr="00145B4D">
        <w:t>, CL</w:t>
      </w:r>
      <w:r w:rsidRPr="00145B4D">
        <w:rPr>
          <w:vertAlign w:val="subscript"/>
        </w:rPr>
        <w:t>12</w:t>
      </w:r>
      <w:r w:rsidRPr="00145B4D">
        <w:t xml:space="preserve"> or CL</w:t>
      </w:r>
      <w:r w:rsidRPr="00145B4D">
        <w:rPr>
          <w:vertAlign w:val="subscript"/>
        </w:rPr>
        <w:t>21</w:t>
      </w:r>
      <w:r w:rsidRPr="00145B4D">
        <w:t xml:space="preserve"> and V</w:t>
      </w:r>
      <w:r w:rsidRPr="00145B4D">
        <w:rPr>
          <w:vertAlign w:val="subscript"/>
        </w:rPr>
        <w:t>2</w:t>
      </w:r>
      <w:r w:rsidRPr="00145B4D">
        <w:t xml:space="preserve"> are shown varying between low and high risk groups, and consideration of </w:t>
      </w:r>
      <w:r w:rsidR="001A3500" w:rsidRPr="00145B4D">
        <w:t xml:space="preserve">the </w:t>
      </w:r>
      <w:r w:rsidRPr="00145B4D">
        <w:t xml:space="preserve">risk group (low vs. high) successfully reduced the </w:t>
      </w:r>
      <w:r w:rsidRPr="00145B4D">
        <w:lastRenderedPageBreak/>
        <w:t>unexplained variability in all three parameters (</w:t>
      </w:r>
      <w:r w:rsidR="00172BAC" w:rsidRPr="00145B4D">
        <w:t>Figure</w:t>
      </w:r>
      <w:r w:rsidR="00CE1757" w:rsidRPr="00145B4D">
        <w:t xml:space="preserve"> </w:t>
      </w:r>
      <w:r w:rsidR="0066770B" w:rsidRPr="00145B4D">
        <w:t>3</w:t>
      </w:r>
      <w:r w:rsidR="001E7DA9" w:rsidRPr="00145B4D">
        <w:t xml:space="preserve">). </w:t>
      </w:r>
      <w:r w:rsidRPr="00145B4D">
        <w:t xml:space="preserve">The arrived final model, considering </w:t>
      </w:r>
      <w:r w:rsidR="0031372A" w:rsidRPr="00145B4D">
        <w:t xml:space="preserve">the effect of eGFR </w:t>
      </w:r>
      <w:r w:rsidRPr="00145B4D">
        <w:t xml:space="preserve">on CL and risk group </w:t>
      </w:r>
      <w:r w:rsidR="0031372A" w:rsidRPr="00145B4D">
        <w:t>on the other</w:t>
      </w:r>
      <w:r w:rsidRPr="00145B4D">
        <w:t xml:space="preserve"> </w:t>
      </w:r>
      <w:r w:rsidR="0031372A" w:rsidRPr="00145B4D">
        <w:t>pharmacokinetic</w:t>
      </w:r>
      <w:r w:rsidRPr="00145B4D">
        <w:t xml:space="preserve"> parameters, showed lower inter-patient variability in CL (from 16.3 to 11.6%), CL</w:t>
      </w:r>
      <w:r w:rsidRPr="00145B4D">
        <w:rPr>
          <w:vertAlign w:val="subscript"/>
        </w:rPr>
        <w:t>12</w:t>
      </w:r>
      <w:r w:rsidRPr="00145B4D">
        <w:t xml:space="preserve"> or CL</w:t>
      </w:r>
      <w:r w:rsidRPr="00145B4D">
        <w:rPr>
          <w:vertAlign w:val="subscript"/>
        </w:rPr>
        <w:t>21</w:t>
      </w:r>
      <w:r w:rsidRPr="00145B4D">
        <w:t xml:space="preserve"> (from 17.1 to 10.8-11.7%) and V</w:t>
      </w:r>
      <w:r w:rsidRPr="00145B4D">
        <w:rPr>
          <w:vertAlign w:val="subscript"/>
        </w:rPr>
        <w:t>2</w:t>
      </w:r>
      <w:r w:rsidRPr="00145B4D">
        <w:t xml:space="preserve"> (from 18.4 to 15.6-18.4%) (</w:t>
      </w:r>
      <w:r w:rsidR="0098621E">
        <w:t>Supplement Table 3</w:t>
      </w:r>
      <w:r w:rsidR="00724008">
        <w:t xml:space="preserve"> </w:t>
      </w:r>
      <w:r w:rsidRPr="00145B4D">
        <w:t>for covariate building steps).  The objective function value (OFV) for the final model (model VII) was significantly reduced from 5123 to 2950 with 3 degrees of freedom compared to base model (</w:t>
      </w:r>
      <w:r w:rsidRPr="00145B4D">
        <w:rPr>
          <w:i/>
        </w:rPr>
        <w:t>P</w:t>
      </w:r>
      <w:r w:rsidR="0031372A" w:rsidRPr="00145B4D">
        <w:t xml:space="preserve"> &lt; 0.005). The %shrinkage, </w:t>
      </w:r>
      <w:r w:rsidRPr="00145B4D">
        <w:t xml:space="preserve">reflecting the reliability of fit and covariate identification, for all </w:t>
      </w:r>
      <w:r w:rsidR="0031372A" w:rsidRPr="00145B4D">
        <w:t>pharmacokinetic</w:t>
      </w:r>
      <w:r w:rsidRPr="00145B4D">
        <w:t xml:space="preserve"> parameters </w:t>
      </w:r>
      <w:r w:rsidR="0031372A" w:rsidRPr="00145B4D">
        <w:t>is</w:t>
      </w:r>
      <w:r w:rsidRPr="00145B4D">
        <w:t xml:space="preserve"> relatively small (&lt; 25%), suggesting the incorporation of eGFR and risk grou</w:t>
      </w:r>
      <w:r w:rsidR="00E73226" w:rsidRPr="00145B4D">
        <w:t>p (low vs. high) are reliable (</w:t>
      </w:r>
      <w:r w:rsidR="0098621E">
        <w:t>Supplement Table 3</w:t>
      </w:r>
      <w:r w:rsidRPr="00145B4D">
        <w:t xml:space="preserve">). </w:t>
      </w:r>
    </w:p>
    <w:p w14:paraId="196FF19E" w14:textId="77777777" w:rsidR="00145B4D" w:rsidRDefault="00145B4D" w:rsidP="00145B4D">
      <w:pPr>
        <w:ind w:left="720" w:hanging="720"/>
        <w:jc w:val="both"/>
        <w:rPr>
          <w:b/>
        </w:rPr>
      </w:pPr>
    </w:p>
    <w:p w14:paraId="7694E9E6" w14:textId="77777777" w:rsidR="00145B4D" w:rsidRDefault="00145B4D" w:rsidP="00145B4D">
      <w:pPr>
        <w:ind w:left="720" w:hanging="720"/>
        <w:jc w:val="both"/>
      </w:pPr>
    </w:p>
    <w:p w14:paraId="184D238B" w14:textId="77777777" w:rsidR="007C783A" w:rsidRDefault="007C783A" w:rsidP="00145B4D">
      <w:pPr>
        <w:spacing w:line="480" w:lineRule="auto"/>
        <w:ind w:left="720" w:hanging="720"/>
        <w:jc w:val="both"/>
      </w:pPr>
    </w:p>
    <w:p w14:paraId="6259524D" w14:textId="77777777" w:rsidR="007C783A" w:rsidRDefault="007C783A" w:rsidP="00145B4D">
      <w:pPr>
        <w:spacing w:line="480" w:lineRule="auto"/>
        <w:ind w:left="720" w:hanging="720"/>
        <w:jc w:val="both"/>
      </w:pPr>
    </w:p>
    <w:p w14:paraId="17B746C4" w14:textId="77777777" w:rsidR="007C783A" w:rsidRDefault="007C783A" w:rsidP="00145B4D">
      <w:pPr>
        <w:spacing w:line="480" w:lineRule="auto"/>
        <w:ind w:left="720" w:hanging="720"/>
        <w:jc w:val="both"/>
      </w:pPr>
    </w:p>
    <w:p w14:paraId="6D228B2B" w14:textId="77777777" w:rsidR="007C783A" w:rsidRDefault="007C783A" w:rsidP="00145B4D">
      <w:pPr>
        <w:spacing w:line="480" w:lineRule="auto"/>
        <w:ind w:left="720" w:hanging="720"/>
        <w:jc w:val="both"/>
      </w:pPr>
    </w:p>
    <w:p w14:paraId="6141D2C7" w14:textId="77777777" w:rsidR="007C783A" w:rsidRDefault="007C783A" w:rsidP="00145B4D">
      <w:pPr>
        <w:spacing w:line="480" w:lineRule="auto"/>
        <w:ind w:left="720" w:hanging="720"/>
        <w:jc w:val="both"/>
      </w:pPr>
    </w:p>
    <w:p w14:paraId="353FF456" w14:textId="77777777" w:rsidR="007C783A" w:rsidRDefault="007C783A" w:rsidP="00145B4D">
      <w:pPr>
        <w:spacing w:line="480" w:lineRule="auto"/>
        <w:ind w:left="720" w:hanging="720"/>
        <w:jc w:val="both"/>
      </w:pPr>
    </w:p>
    <w:p w14:paraId="718D4B20" w14:textId="77777777" w:rsidR="007C783A" w:rsidRDefault="007C783A" w:rsidP="00145B4D">
      <w:pPr>
        <w:spacing w:line="480" w:lineRule="auto"/>
        <w:ind w:left="720" w:hanging="720"/>
        <w:jc w:val="both"/>
      </w:pPr>
    </w:p>
    <w:p w14:paraId="5487FA31" w14:textId="77777777" w:rsidR="007C783A" w:rsidRDefault="007C783A" w:rsidP="00145B4D">
      <w:pPr>
        <w:spacing w:line="480" w:lineRule="auto"/>
        <w:ind w:left="720" w:hanging="720"/>
        <w:jc w:val="both"/>
      </w:pPr>
    </w:p>
    <w:p w14:paraId="7F961578" w14:textId="77777777" w:rsidR="007C783A" w:rsidRDefault="007C783A" w:rsidP="00145B4D">
      <w:pPr>
        <w:spacing w:line="480" w:lineRule="auto"/>
        <w:ind w:left="720" w:hanging="720"/>
        <w:jc w:val="both"/>
      </w:pPr>
    </w:p>
    <w:p w14:paraId="3BC29D79" w14:textId="77777777" w:rsidR="007C783A" w:rsidRDefault="007C783A" w:rsidP="00145B4D">
      <w:pPr>
        <w:spacing w:line="480" w:lineRule="auto"/>
        <w:ind w:left="720" w:hanging="720"/>
        <w:jc w:val="both"/>
      </w:pPr>
    </w:p>
    <w:p w14:paraId="341FEE9E" w14:textId="77777777" w:rsidR="007C783A" w:rsidRDefault="007C783A" w:rsidP="00145B4D">
      <w:pPr>
        <w:spacing w:line="480" w:lineRule="auto"/>
        <w:ind w:left="720" w:hanging="720"/>
        <w:jc w:val="both"/>
      </w:pPr>
    </w:p>
    <w:p w14:paraId="4811FE10" w14:textId="77777777" w:rsidR="007C783A" w:rsidRDefault="007C783A" w:rsidP="00145B4D">
      <w:pPr>
        <w:spacing w:line="480" w:lineRule="auto"/>
        <w:ind w:left="720" w:hanging="720"/>
        <w:jc w:val="both"/>
      </w:pPr>
    </w:p>
    <w:p w14:paraId="754C7D68" w14:textId="77777777" w:rsidR="007C783A" w:rsidRDefault="007C783A" w:rsidP="00145B4D">
      <w:pPr>
        <w:spacing w:line="480" w:lineRule="auto"/>
        <w:ind w:left="720" w:hanging="720"/>
        <w:jc w:val="both"/>
      </w:pPr>
    </w:p>
    <w:p w14:paraId="04D71274" w14:textId="77777777" w:rsidR="007C783A" w:rsidRPr="00984924" w:rsidRDefault="007C783A" w:rsidP="00E32A05">
      <w:pPr>
        <w:spacing w:line="480" w:lineRule="auto"/>
        <w:jc w:val="both"/>
        <w:rPr>
          <w:rFonts w:ascii="Arial" w:hAnsi="Arial"/>
          <w:b/>
          <w:u w:val="single"/>
        </w:rPr>
      </w:pPr>
      <w:r w:rsidRPr="00984924">
        <w:rPr>
          <w:rFonts w:ascii="Arial" w:hAnsi="Arial"/>
          <w:b/>
          <w:u w:val="single"/>
        </w:rPr>
        <w:lastRenderedPageBreak/>
        <w:t>SUPPLEMENT FIGURE AND TABLE LEGENDS</w:t>
      </w:r>
    </w:p>
    <w:p w14:paraId="49EB94FA" w14:textId="77777777" w:rsidR="007C783A" w:rsidRDefault="007C783A" w:rsidP="007C783A">
      <w:pPr>
        <w:spacing w:line="480" w:lineRule="auto"/>
        <w:jc w:val="both"/>
        <w:rPr>
          <w:rFonts w:ascii="Arial" w:hAnsi="Arial"/>
        </w:rPr>
      </w:pPr>
      <w:r w:rsidRPr="00A973F3">
        <w:rPr>
          <w:rFonts w:ascii="Arial" w:hAnsi="Arial"/>
          <w:b/>
        </w:rPr>
        <w:t xml:space="preserve">Figure </w:t>
      </w:r>
      <w:r w:rsidR="0098621E">
        <w:rPr>
          <w:rFonts w:ascii="Arial" w:hAnsi="Arial"/>
          <w:b/>
        </w:rPr>
        <w:t>1</w:t>
      </w:r>
      <w:r w:rsidRPr="00A973F3">
        <w:rPr>
          <w:rFonts w:ascii="Arial" w:hAnsi="Arial"/>
          <w:b/>
        </w:rPr>
        <w:t xml:space="preserve"> </w:t>
      </w:r>
      <w:r w:rsidRPr="00A973F3">
        <w:rPr>
          <w:rFonts w:ascii="Arial" w:hAnsi="Arial"/>
        </w:rPr>
        <w:t>Scheme of two-compartmental model used for fitting data.</w:t>
      </w:r>
      <w:r w:rsidRPr="00A973F3">
        <w:rPr>
          <w:rFonts w:ascii="Arial" w:hAnsi="Arial"/>
          <w:b/>
        </w:rPr>
        <w:t xml:space="preserve"> </w:t>
      </w:r>
      <w:r w:rsidRPr="00A973F3">
        <w:rPr>
          <w:rFonts w:ascii="Arial" w:hAnsi="Arial"/>
        </w:rPr>
        <w:t>The model consists of the central and peripheral compartment, and a third extracorporeal compartment, which represents the cardiopulmonary (CPB) circuit added to the model during Phase III only. C and V are the concentration and volumes of distribution, respectively.  The subscripts 1, 2 and 3 represent the central, peripheral and CPB (extracorporeal), respectively. CL</w:t>
      </w:r>
      <w:r w:rsidRPr="00A973F3">
        <w:rPr>
          <w:rFonts w:ascii="Arial" w:hAnsi="Arial"/>
          <w:vertAlign w:val="subscript"/>
        </w:rPr>
        <w:t>12</w:t>
      </w:r>
      <w:r w:rsidRPr="00A973F3">
        <w:rPr>
          <w:rFonts w:ascii="Arial" w:hAnsi="Arial"/>
        </w:rPr>
        <w:t xml:space="preserve"> and CL</w:t>
      </w:r>
      <w:r w:rsidRPr="00A973F3">
        <w:rPr>
          <w:rFonts w:ascii="Arial" w:hAnsi="Arial"/>
          <w:vertAlign w:val="subscript"/>
        </w:rPr>
        <w:t>21</w:t>
      </w:r>
      <w:r w:rsidRPr="00A973F3">
        <w:rPr>
          <w:rFonts w:ascii="Arial" w:hAnsi="Arial"/>
        </w:rPr>
        <w:t xml:space="preserve"> refer to the inter-compartmental transfer clearances between central and peripheral compartments. k</w:t>
      </w:r>
      <w:r w:rsidRPr="00A973F3">
        <w:rPr>
          <w:rFonts w:ascii="Arial" w:hAnsi="Arial"/>
          <w:vertAlign w:val="subscript"/>
        </w:rPr>
        <w:t>12</w:t>
      </w:r>
      <w:r w:rsidRPr="00A973F3">
        <w:rPr>
          <w:rFonts w:ascii="Arial" w:hAnsi="Arial"/>
        </w:rPr>
        <w:t xml:space="preserve"> and k</w:t>
      </w:r>
      <w:r w:rsidRPr="00A973F3">
        <w:rPr>
          <w:rFonts w:ascii="Arial" w:hAnsi="Arial"/>
          <w:vertAlign w:val="subscript"/>
        </w:rPr>
        <w:t>21</w:t>
      </w:r>
      <w:r w:rsidRPr="00A973F3">
        <w:rPr>
          <w:rFonts w:ascii="Arial" w:hAnsi="Arial"/>
        </w:rPr>
        <w:t xml:space="preserve"> are the transfer rate constants between the central and peripheral compartments and k</w:t>
      </w:r>
      <w:r w:rsidRPr="00A973F3">
        <w:rPr>
          <w:rFonts w:ascii="Arial" w:hAnsi="Arial"/>
          <w:vertAlign w:val="subscript"/>
        </w:rPr>
        <w:t>10</w:t>
      </w:r>
      <w:r w:rsidRPr="00A973F3">
        <w:rPr>
          <w:rFonts w:ascii="Arial" w:hAnsi="Arial"/>
        </w:rPr>
        <w:t xml:space="preserve"> is the elimination rate constant. Q</w:t>
      </w:r>
      <w:r w:rsidRPr="00A973F3">
        <w:rPr>
          <w:rFonts w:ascii="Arial" w:hAnsi="Arial"/>
          <w:vertAlign w:val="subscript"/>
        </w:rPr>
        <w:t>3</w:t>
      </w:r>
      <w:r w:rsidRPr="00A973F3">
        <w:rPr>
          <w:rFonts w:ascii="Arial" w:hAnsi="Arial"/>
        </w:rPr>
        <w:t xml:space="preserve"> and CL denote flow rate between prime pump and central compartment and the plasma or total body clearance of tranexamic acid, respectively</w:t>
      </w:r>
      <w:r w:rsidRPr="00A973F3">
        <w:rPr>
          <w:rFonts w:ascii="Arial" w:hAnsi="Arial"/>
          <w:b/>
        </w:rPr>
        <w:t xml:space="preserve"> [</w:t>
      </w:r>
      <w:r w:rsidRPr="00A973F3">
        <w:rPr>
          <w:rFonts w:ascii="Arial" w:hAnsi="Arial"/>
        </w:rPr>
        <w:t>obtained from Yang et al., 2015</w:t>
      </w:r>
      <w:r w:rsidRPr="00A973F3">
        <w:rPr>
          <w:rFonts w:ascii="Arial" w:hAnsi="Arial"/>
          <w:vertAlign w:val="superscript"/>
        </w:rPr>
        <w:t>1</w:t>
      </w:r>
      <w:r w:rsidRPr="00A973F3">
        <w:rPr>
          <w:rFonts w:ascii="Arial" w:hAnsi="Arial"/>
        </w:rPr>
        <w:t xml:space="preserve"> with permission]. LD refers to the tranexamic acid loading dose.</w:t>
      </w:r>
    </w:p>
    <w:p w14:paraId="6DBF146F" w14:textId="77777777" w:rsidR="00F907B9" w:rsidRPr="00A973F3" w:rsidRDefault="00F907B9" w:rsidP="00F907B9">
      <w:pPr>
        <w:spacing w:line="480" w:lineRule="auto"/>
        <w:rPr>
          <w:rFonts w:ascii="Arial" w:hAnsi="Arial"/>
        </w:rPr>
      </w:pPr>
      <w:r w:rsidRPr="00A973F3">
        <w:rPr>
          <w:rFonts w:ascii="Arial" w:hAnsi="Arial"/>
          <w:b/>
        </w:rPr>
        <w:t xml:space="preserve">Table </w:t>
      </w:r>
      <w:r w:rsidR="0098621E">
        <w:rPr>
          <w:rFonts w:ascii="Arial" w:hAnsi="Arial"/>
          <w:b/>
        </w:rPr>
        <w:t>1</w:t>
      </w:r>
      <w:r w:rsidRPr="00A973F3">
        <w:rPr>
          <w:rFonts w:ascii="Arial" w:hAnsi="Arial"/>
          <w:b/>
        </w:rPr>
        <w:t xml:space="preserve"> </w:t>
      </w:r>
      <w:r w:rsidRPr="00A973F3">
        <w:rPr>
          <w:rFonts w:ascii="Arial" w:hAnsi="Arial"/>
        </w:rPr>
        <w:t xml:space="preserve">Laboratory values, postoperative blood loss and transfusion requirements for low and high risk study groups. </w:t>
      </w:r>
    </w:p>
    <w:p w14:paraId="567FC974" w14:textId="77777777" w:rsidR="00F907B9" w:rsidRPr="00A973F3" w:rsidRDefault="00F907B9" w:rsidP="00F907B9">
      <w:pPr>
        <w:spacing w:line="480" w:lineRule="auto"/>
        <w:rPr>
          <w:rFonts w:ascii="Arial" w:hAnsi="Arial"/>
          <w:lang w:eastAsia="en-CA"/>
        </w:rPr>
      </w:pPr>
      <w:r w:rsidRPr="00A973F3">
        <w:rPr>
          <w:rFonts w:ascii="Arial" w:hAnsi="Arial"/>
          <w:b/>
        </w:rPr>
        <w:t xml:space="preserve">Table </w:t>
      </w:r>
      <w:r w:rsidR="0098621E">
        <w:rPr>
          <w:rFonts w:ascii="Arial" w:hAnsi="Arial"/>
          <w:b/>
        </w:rPr>
        <w:t>2</w:t>
      </w:r>
      <w:r w:rsidRPr="00A973F3">
        <w:rPr>
          <w:rFonts w:ascii="Arial" w:hAnsi="Arial"/>
          <w:b/>
        </w:rPr>
        <w:t xml:space="preserve"> </w:t>
      </w:r>
      <w:r w:rsidRPr="00A973F3">
        <w:rPr>
          <w:rFonts w:ascii="Arial" w:hAnsi="Arial"/>
        </w:rPr>
        <w:t>Perioperative characteristics of seizure and non-seizure high risk patients.</w:t>
      </w:r>
    </w:p>
    <w:p w14:paraId="7F604CF7" w14:textId="77777777" w:rsidR="00F907B9" w:rsidRDefault="00F907B9" w:rsidP="00F907B9">
      <w:pPr>
        <w:spacing w:line="480" w:lineRule="auto"/>
        <w:rPr>
          <w:rFonts w:ascii="Arial" w:hAnsi="Arial"/>
        </w:rPr>
      </w:pPr>
      <w:r w:rsidRPr="00A973F3">
        <w:rPr>
          <w:rFonts w:ascii="Arial" w:hAnsi="Arial"/>
          <w:b/>
        </w:rPr>
        <w:t>T</w:t>
      </w:r>
      <w:r w:rsidR="0098621E">
        <w:rPr>
          <w:rFonts w:ascii="Arial" w:hAnsi="Arial"/>
          <w:b/>
        </w:rPr>
        <w:t>able 3</w:t>
      </w:r>
      <w:r w:rsidR="00724008">
        <w:rPr>
          <w:rFonts w:ascii="Arial" w:hAnsi="Arial"/>
          <w:b/>
        </w:rPr>
        <w:t xml:space="preserve"> </w:t>
      </w:r>
      <w:r w:rsidRPr="00A973F3">
        <w:rPr>
          <w:rFonts w:ascii="Arial" w:hAnsi="Arial"/>
        </w:rPr>
        <w:t>NONMEM results of covariate model building steps to arrive the final model.</w:t>
      </w:r>
    </w:p>
    <w:p w14:paraId="2C759A2A" w14:textId="77777777" w:rsidR="005A753F" w:rsidRDefault="005A753F" w:rsidP="00F907B9">
      <w:pPr>
        <w:spacing w:line="480" w:lineRule="auto"/>
        <w:rPr>
          <w:rFonts w:ascii="Arial" w:hAnsi="Arial"/>
        </w:rPr>
      </w:pPr>
    </w:p>
    <w:p w14:paraId="36A80F9B" w14:textId="77777777" w:rsidR="005A753F" w:rsidRDefault="005A753F" w:rsidP="00F907B9">
      <w:pPr>
        <w:spacing w:line="480" w:lineRule="auto"/>
        <w:rPr>
          <w:rFonts w:ascii="Arial" w:hAnsi="Arial"/>
        </w:rPr>
      </w:pPr>
    </w:p>
    <w:p w14:paraId="686B78AF" w14:textId="77777777" w:rsidR="005A753F" w:rsidRDefault="005A753F" w:rsidP="00F907B9">
      <w:pPr>
        <w:spacing w:line="480" w:lineRule="auto"/>
        <w:rPr>
          <w:rFonts w:ascii="Arial" w:hAnsi="Arial"/>
        </w:rPr>
      </w:pPr>
    </w:p>
    <w:p w14:paraId="7E01C76F" w14:textId="77777777" w:rsidR="005A753F" w:rsidRDefault="005A753F" w:rsidP="00F907B9">
      <w:pPr>
        <w:spacing w:line="480" w:lineRule="auto"/>
        <w:rPr>
          <w:rFonts w:ascii="Arial" w:hAnsi="Arial"/>
        </w:rPr>
      </w:pPr>
    </w:p>
    <w:p w14:paraId="254CE2D0" w14:textId="77777777" w:rsidR="005A753F" w:rsidRDefault="005A753F" w:rsidP="00F907B9">
      <w:pPr>
        <w:spacing w:line="480" w:lineRule="auto"/>
        <w:rPr>
          <w:rFonts w:ascii="Arial" w:hAnsi="Arial"/>
        </w:rPr>
      </w:pPr>
    </w:p>
    <w:p w14:paraId="11A61836" w14:textId="77777777" w:rsidR="005A753F" w:rsidRDefault="005A753F" w:rsidP="00F907B9">
      <w:pPr>
        <w:spacing w:line="480" w:lineRule="auto"/>
        <w:rPr>
          <w:rFonts w:ascii="Arial" w:hAnsi="Arial"/>
        </w:rPr>
        <w:sectPr w:rsidR="005A753F" w:rsidSect="00145B4D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2BFB9082" w14:textId="77777777" w:rsidR="005A753F" w:rsidRDefault="005A753F" w:rsidP="00F907B9">
      <w:pPr>
        <w:spacing w:line="480" w:lineRule="auto"/>
        <w:rPr>
          <w:rFonts w:ascii="Arial" w:hAnsi="Arial"/>
        </w:rPr>
      </w:pPr>
    </w:p>
    <w:p w14:paraId="6CE38A3D" w14:textId="77777777" w:rsidR="005A753F" w:rsidRDefault="005A753F" w:rsidP="00F907B9">
      <w:pPr>
        <w:spacing w:line="480" w:lineRule="auto"/>
        <w:rPr>
          <w:rFonts w:ascii="Arial" w:hAnsi="Arial"/>
        </w:rPr>
      </w:pPr>
    </w:p>
    <w:p w14:paraId="703B3D25" w14:textId="77777777" w:rsidR="005A753F" w:rsidRDefault="00724008" w:rsidP="00F907B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</w:t>
      </w:r>
      <w:r w:rsidR="0098621E">
        <w:rPr>
          <w:rFonts w:ascii="Arial" w:hAnsi="Arial" w:cs="Arial"/>
          <w:b/>
        </w:rPr>
        <w:t>1</w:t>
      </w:r>
    </w:p>
    <w:p w14:paraId="2BA59F5E" w14:textId="77777777" w:rsidR="00F907B9" w:rsidRPr="00A973F3" w:rsidRDefault="005A753F" w:rsidP="007C783A">
      <w:pPr>
        <w:spacing w:line="480" w:lineRule="auto"/>
        <w:jc w:val="both"/>
        <w:rPr>
          <w:rFonts w:ascii="Arial" w:hAnsi="Arial"/>
        </w:rPr>
      </w:pPr>
      <w:r w:rsidRPr="000A18D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3B4C122" wp14:editId="28620FB8">
            <wp:simplePos x="0" y="0"/>
            <wp:positionH relativeFrom="column">
              <wp:posOffset>-295910</wp:posOffset>
            </wp:positionH>
            <wp:positionV relativeFrom="paragraph">
              <wp:posOffset>334645</wp:posOffset>
            </wp:positionV>
            <wp:extent cx="6577330" cy="2637155"/>
            <wp:effectExtent l="0" t="0" r="127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F946C" w14:textId="77777777" w:rsidR="007C783A" w:rsidRPr="00145B4D" w:rsidRDefault="007C783A" w:rsidP="00145B4D">
      <w:pPr>
        <w:spacing w:line="480" w:lineRule="auto"/>
        <w:ind w:left="720" w:hanging="720"/>
        <w:jc w:val="both"/>
      </w:pPr>
    </w:p>
    <w:p w14:paraId="1B4D9A59" w14:textId="77777777" w:rsidR="00EF7EBF" w:rsidRDefault="00EF7EBF" w:rsidP="005A753F">
      <w:pPr>
        <w:spacing w:line="480" w:lineRule="auto"/>
        <w:jc w:val="both"/>
        <w:rPr>
          <w:b/>
        </w:rPr>
      </w:pPr>
    </w:p>
    <w:p w14:paraId="0B271B22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76488FCF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58C1FBB2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24E1D37A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067AB3CF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2C50C06D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30F2E03A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7090E79C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02124403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11C7CFC7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397AD0F9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37AFBC78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6BDE2387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4405ED60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3270551E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1A7E2031" w14:textId="77777777" w:rsidR="007A5974" w:rsidRDefault="007A5974" w:rsidP="005A753F">
      <w:pPr>
        <w:spacing w:line="480" w:lineRule="auto"/>
        <w:jc w:val="both"/>
        <w:rPr>
          <w:b/>
        </w:rPr>
      </w:pPr>
    </w:p>
    <w:p w14:paraId="73A5A56E" w14:textId="77777777" w:rsidR="007A5974" w:rsidRDefault="007A5974" w:rsidP="005A753F">
      <w:pPr>
        <w:spacing w:line="480" w:lineRule="auto"/>
        <w:jc w:val="both"/>
        <w:rPr>
          <w:b/>
        </w:rPr>
        <w:sectPr w:rsidR="007A5974" w:rsidSect="005A753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4C85E8E" w14:textId="77777777" w:rsidR="001D7895" w:rsidRDefault="0098621E" w:rsidP="001D789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147"/>
        <w:gridCol w:w="1141"/>
        <w:gridCol w:w="1141"/>
        <w:gridCol w:w="1141"/>
        <w:gridCol w:w="1141"/>
        <w:gridCol w:w="1141"/>
        <w:gridCol w:w="1141"/>
        <w:gridCol w:w="1134"/>
        <w:gridCol w:w="7"/>
        <w:gridCol w:w="1141"/>
      </w:tblGrid>
      <w:tr w:rsidR="00C90658" w:rsidRPr="001447EA" w14:paraId="61DD15E1" w14:textId="77777777" w:rsidTr="0055274C">
        <w:trPr>
          <w:trHeight w:val="262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02F2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D9C2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47EA">
              <w:rPr>
                <w:rFonts w:ascii="Arial" w:hAnsi="Arial" w:cs="Arial"/>
                <w:b/>
              </w:rPr>
              <w:t>CHRONIC RENAL DYSFUNCTION STAGE</w:t>
            </w:r>
          </w:p>
        </w:tc>
      </w:tr>
      <w:tr w:rsidR="00C90658" w:rsidRPr="001447EA" w14:paraId="43EAFA3C" w14:textId="77777777" w:rsidTr="0055274C">
        <w:trPr>
          <w:trHeight w:val="145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D470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AE62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47EA">
              <w:rPr>
                <w:rFonts w:ascii="Arial" w:hAnsi="Arial" w:cs="Arial"/>
                <w:b/>
                <w:sz w:val="22"/>
              </w:rPr>
              <w:t>Stage 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B734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47EA">
              <w:rPr>
                <w:rFonts w:ascii="Arial" w:hAnsi="Arial" w:cs="Arial"/>
                <w:b/>
                <w:sz w:val="22"/>
              </w:rPr>
              <w:t>Stage 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33FB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47EA">
              <w:rPr>
                <w:rFonts w:ascii="Arial" w:hAnsi="Arial" w:cs="Arial"/>
                <w:b/>
                <w:sz w:val="22"/>
              </w:rPr>
              <w:t>Stage 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03B2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47EA">
              <w:rPr>
                <w:rFonts w:ascii="Arial" w:hAnsi="Arial" w:cs="Arial"/>
                <w:b/>
                <w:sz w:val="22"/>
              </w:rPr>
              <w:t>Stage 4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A21A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47EA">
              <w:rPr>
                <w:rFonts w:ascii="Arial" w:hAnsi="Arial" w:cs="Arial"/>
                <w:b/>
                <w:sz w:val="22"/>
              </w:rPr>
              <w:t>Stage 5</w:t>
            </w:r>
          </w:p>
        </w:tc>
      </w:tr>
      <w:tr w:rsidR="00C90658" w:rsidRPr="001447EA" w14:paraId="36988114" w14:textId="77777777" w:rsidTr="001D7895">
        <w:trPr>
          <w:trHeight w:val="3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EAA7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E427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Low Risk</w:t>
            </w:r>
          </w:p>
          <w:p w14:paraId="7DB8A1A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(n=</w:t>
            </w: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Pr="001447EA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E560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Low Risk</w:t>
            </w:r>
          </w:p>
          <w:p w14:paraId="39D6A2E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(n=</w:t>
            </w: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Pr="001447EA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474B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High Risk</w:t>
            </w:r>
          </w:p>
          <w:p w14:paraId="496FB4C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(n=6)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6233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Low Risk</w:t>
            </w:r>
          </w:p>
          <w:p w14:paraId="183192F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(n=6)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F674B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High Risk</w:t>
            </w:r>
          </w:p>
          <w:p w14:paraId="558A7B1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(n=6)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203B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Low Risk</w:t>
            </w:r>
          </w:p>
          <w:p w14:paraId="2E74765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(n=3)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BD32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High Risk</w:t>
            </w:r>
          </w:p>
          <w:p w14:paraId="26111F5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(n=4)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C3D1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Low Risk</w:t>
            </w:r>
          </w:p>
          <w:p w14:paraId="76EFCE0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(n=6)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FD15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High Risk</w:t>
            </w:r>
          </w:p>
          <w:p w14:paraId="21CFA92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447EA">
              <w:rPr>
                <w:rFonts w:ascii="Arial" w:hAnsi="Arial" w:cs="Arial"/>
                <w:b/>
                <w:sz w:val="18"/>
                <w:szCs w:val="16"/>
              </w:rPr>
              <w:t>(n=6)</w:t>
            </w:r>
          </w:p>
        </w:tc>
      </w:tr>
      <w:tr w:rsidR="00C90658" w:rsidRPr="001447EA" w14:paraId="7A206839" w14:textId="77777777" w:rsidTr="00C90658">
        <w:trPr>
          <w:trHeight w:val="324"/>
        </w:trPr>
        <w:tc>
          <w:tcPr>
            <w:tcW w:w="11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C9C2F" w14:textId="77777777" w:rsidR="00C90658" w:rsidRPr="001447EA" w:rsidRDefault="00C90658" w:rsidP="00C9065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LABORATORY VALUES</w:t>
            </w:r>
          </w:p>
        </w:tc>
      </w:tr>
      <w:tr w:rsidR="00C90658" w:rsidRPr="001447EA" w14:paraId="0D9E7C0C" w14:textId="77777777" w:rsidTr="0055274C">
        <w:trPr>
          <w:trHeight w:val="242"/>
        </w:trPr>
        <w:tc>
          <w:tcPr>
            <w:tcW w:w="11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8E7" w14:textId="77777777" w:rsidR="00C90658" w:rsidRPr="001447EA" w:rsidRDefault="00C90658" w:rsidP="001D7895">
            <w:pPr>
              <w:rPr>
                <w:rFonts w:ascii="Arial" w:hAnsi="Arial" w:cs="Arial"/>
                <w:b/>
                <w:sz w:val="18"/>
              </w:rPr>
            </w:pPr>
            <w:r w:rsidRPr="001447EA">
              <w:rPr>
                <w:rFonts w:ascii="Arial" w:hAnsi="Arial" w:cs="Arial"/>
                <w:b/>
                <w:sz w:val="22"/>
              </w:rPr>
              <w:t>Preoperative</w:t>
            </w:r>
          </w:p>
        </w:tc>
      </w:tr>
      <w:tr w:rsidR="00C90658" w:rsidRPr="001447EA" w14:paraId="0936C39A" w14:textId="77777777" w:rsidTr="001D7895">
        <w:trPr>
          <w:trHeight w:val="4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A1F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a</w:t>
            </w:r>
            <w:r w:rsidRPr="001447EA">
              <w:rPr>
                <w:rFonts w:ascii="Arial" w:hAnsi="Arial" w:cs="Arial"/>
                <w:sz w:val="20"/>
              </w:rPr>
              <w:t xml:space="preserve">emoglobin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5C4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41</w:t>
            </w:r>
            <w:r w:rsidRPr="001447EA">
              <w:rPr>
                <w:rFonts w:ascii="Arial" w:hAnsi="Arial" w:cs="Arial"/>
                <w:sz w:val="20"/>
              </w:rPr>
              <w:t xml:space="preserve">       </w:t>
            </w:r>
          </w:p>
          <w:p w14:paraId="335E5BA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(13</w:t>
            </w:r>
            <w:r>
              <w:rPr>
                <w:rFonts w:ascii="Arial" w:hAnsi="Arial" w:cs="Arial"/>
                <w:sz w:val="20"/>
              </w:rPr>
              <w:t>9</w:t>
            </w:r>
            <w:r w:rsidRPr="001447EA">
              <w:rPr>
                <w:rFonts w:ascii="Arial" w:hAnsi="Arial" w:cs="Arial"/>
                <w:sz w:val="20"/>
              </w:rPr>
              <w:t>-152)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929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14</w:t>
            </w:r>
            <w:r>
              <w:rPr>
                <w:rFonts w:ascii="Arial" w:hAnsi="Arial" w:cs="Arial"/>
                <w:sz w:val="20"/>
              </w:rPr>
              <w:t>2</w:t>
            </w:r>
            <w:r w:rsidRPr="001447EA">
              <w:rPr>
                <w:rFonts w:ascii="Arial" w:hAnsi="Arial" w:cs="Arial"/>
                <w:sz w:val="20"/>
              </w:rPr>
              <w:t xml:space="preserve"> </w:t>
            </w:r>
          </w:p>
          <w:p w14:paraId="6C7AC04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(13</w:t>
            </w:r>
            <w:r>
              <w:rPr>
                <w:rFonts w:ascii="Arial" w:hAnsi="Arial" w:cs="Arial"/>
                <w:sz w:val="20"/>
              </w:rPr>
              <w:t>5</w:t>
            </w:r>
            <w:r w:rsidRPr="001447EA">
              <w:rPr>
                <w:rFonts w:ascii="Arial" w:hAnsi="Arial" w:cs="Arial"/>
                <w:sz w:val="20"/>
              </w:rPr>
              <w:t>-147)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AB8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150 </w:t>
            </w:r>
          </w:p>
          <w:p w14:paraId="6576FDC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(142-159)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D42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134 </w:t>
            </w:r>
          </w:p>
          <w:p w14:paraId="1EC17E4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(108-141)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C9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136 </w:t>
            </w:r>
          </w:p>
          <w:p w14:paraId="58262FC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(122-147)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42C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131 </w:t>
            </w:r>
          </w:p>
          <w:p w14:paraId="5A82D76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(116-137)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2E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115 </w:t>
            </w:r>
          </w:p>
          <w:p w14:paraId="696A43A0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(102-128)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2FB0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97 </w:t>
            </w:r>
          </w:p>
          <w:p w14:paraId="247F2F4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(85-123)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B2EB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104 </w:t>
            </w:r>
          </w:p>
          <w:p w14:paraId="6C90C73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(102-118)</w:t>
            </w:r>
          </w:p>
        </w:tc>
      </w:tr>
      <w:tr w:rsidR="00C90658" w:rsidRPr="001447EA" w14:paraId="7C1E3D9D" w14:textId="77777777" w:rsidTr="001D7895">
        <w:trPr>
          <w:trHeight w:val="44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6E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Platelet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F3D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88</w:t>
            </w:r>
          </w:p>
          <w:p w14:paraId="10A34E9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(2</w:t>
            </w:r>
            <w:r>
              <w:rPr>
                <w:rFonts w:ascii="Arial" w:hAnsi="Arial" w:cs="Arial"/>
                <w:sz w:val="20"/>
              </w:rPr>
              <w:t>72</w:t>
            </w:r>
            <w:r w:rsidRPr="001447EA">
              <w:rPr>
                <w:rFonts w:ascii="Arial" w:hAnsi="Arial" w:cs="Arial"/>
                <w:sz w:val="20"/>
              </w:rPr>
              <w:t>-292)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5F8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14</w:t>
            </w:r>
            <w:r w:rsidRPr="001447EA">
              <w:rPr>
                <w:rFonts w:ascii="Arial" w:hAnsi="Arial" w:cs="Arial"/>
                <w:sz w:val="20"/>
              </w:rPr>
              <w:t xml:space="preserve"> </w:t>
            </w:r>
          </w:p>
          <w:p w14:paraId="235BD7D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(166-302)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363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252 </w:t>
            </w:r>
          </w:p>
          <w:p w14:paraId="2651818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(169-283)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B5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249 </w:t>
            </w:r>
          </w:p>
          <w:p w14:paraId="00FC057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(167-275)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B00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203 </w:t>
            </w:r>
          </w:p>
          <w:p w14:paraId="1AEFB17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(166-229)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2A7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267 </w:t>
            </w:r>
          </w:p>
          <w:p w14:paraId="0EA619F0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(234-275)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D0E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190 </w:t>
            </w:r>
          </w:p>
          <w:p w14:paraId="7F83D0A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(160-219)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AE3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230 </w:t>
            </w:r>
          </w:p>
          <w:p w14:paraId="65CCD8A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(163-278)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8D4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196 </w:t>
            </w:r>
          </w:p>
          <w:p w14:paraId="49FCA3A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(175-297)</w:t>
            </w:r>
          </w:p>
        </w:tc>
      </w:tr>
      <w:tr w:rsidR="00C90658" w:rsidRPr="001447EA" w14:paraId="40C00180" w14:textId="77777777" w:rsidTr="001D7895">
        <w:trPr>
          <w:trHeight w:val="4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9FFB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INR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220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1.0 </w:t>
            </w:r>
          </w:p>
          <w:p w14:paraId="0E72F33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(0.9</w:t>
            </w:r>
            <w:r>
              <w:rPr>
                <w:rFonts w:ascii="Arial" w:hAnsi="Arial" w:cs="Arial"/>
                <w:sz w:val="20"/>
              </w:rPr>
              <w:t>8</w:t>
            </w:r>
            <w:r w:rsidRPr="001447EA">
              <w:rPr>
                <w:rFonts w:ascii="Arial" w:hAnsi="Arial" w:cs="Arial"/>
                <w:sz w:val="20"/>
              </w:rPr>
              <w:t>-1.06)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2C9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1.0 </w:t>
            </w:r>
          </w:p>
          <w:p w14:paraId="34BCCCD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(0.97-1.07)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18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0.93 </w:t>
            </w:r>
          </w:p>
          <w:p w14:paraId="1E7A7280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(0.9-0.98)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616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1.02 </w:t>
            </w:r>
          </w:p>
          <w:p w14:paraId="16B0A28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(0.97-1.03)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2E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0.97 </w:t>
            </w:r>
          </w:p>
          <w:p w14:paraId="547CA17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(0.95-1.18)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875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0.9 </w:t>
            </w:r>
          </w:p>
          <w:p w14:paraId="0893A2B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(0.9-1.07)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FD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1.0 </w:t>
            </w:r>
          </w:p>
          <w:p w14:paraId="69FEBEEB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(0.96-1.1)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36D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1.04 </w:t>
            </w:r>
          </w:p>
          <w:p w14:paraId="30174DB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(1.03-1.11)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22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1.1 </w:t>
            </w:r>
          </w:p>
          <w:p w14:paraId="5A49153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(1.1-1.7)</w:t>
            </w:r>
          </w:p>
        </w:tc>
      </w:tr>
      <w:tr w:rsidR="00C90658" w:rsidRPr="001447EA" w14:paraId="2A2EDFD3" w14:textId="77777777" w:rsidTr="001D7895">
        <w:trPr>
          <w:trHeight w:val="44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648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GFR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EDB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</w:t>
            </w:r>
          </w:p>
          <w:p w14:paraId="0E8DCC6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98</w:t>
            </w:r>
            <w:r w:rsidRPr="001447EA">
              <w:rPr>
                <w:rFonts w:ascii="Arial" w:hAnsi="Arial" w:cs="Arial"/>
                <w:sz w:val="20"/>
              </w:rPr>
              <w:t>-107)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C1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7</w:t>
            </w:r>
          </w:p>
          <w:p w14:paraId="5EC9CAA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(7</w:t>
            </w:r>
            <w:r>
              <w:rPr>
                <w:rFonts w:ascii="Arial" w:hAnsi="Arial" w:cs="Arial"/>
                <w:sz w:val="20"/>
              </w:rPr>
              <w:t>1</w:t>
            </w:r>
            <w:r w:rsidRPr="001447EA">
              <w:rPr>
                <w:rFonts w:ascii="Arial" w:hAnsi="Arial" w:cs="Arial"/>
                <w:sz w:val="20"/>
              </w:rPr>
              <w:t>-8</w:t>
            </w:r>
            <w:r>
              <w:rPr>
                <w:rFonts w:ascii="Arial" w:hAnsi="Arial" w:cs="Arial"/>
                <w:sz w:val="20"/>
              </w:rPr>
              <w:t>5</w:t>
            </w:r>
            <w:r w:rsidRPr="001447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A9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79 </w:t>
            </w:r>
          </w:p>
          <w:p w14:paraId="48185C0B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(72-81)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88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44</w:t>
            </w:r>
          </w:p>
          <w:p w14:paraId="50D8C81B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(32-49)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82B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50 </w:t>
            </w:r>
          </w:p>
          <w:p w14:paraId="2E803DD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(37-54)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EE2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25</w:t>
            </w:r>
          </w:p>
          <w:p w14:paraId="78AAF23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(22-29)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E95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22 </w:t>
            </w:r>
          </w:p>
          <w:p w14:paraId="36D3D76B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(22-25)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6C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15</w:t>
            </w:r>
          </w:p>
          <w:p w14:paraId="1A9CD125" w14:textId="77777777" w:rsidR="00C90658" w:rsidRPr="001447EA" w:rsidRDefault="00C90658" w:rsidP="001D7895">
            <w:pPr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 (15-15)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B9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15</w:t>
            </w:r>
          </w:p>
          <w:p w14:paraId="4066288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 (15-15)</w:t>
            </w:r>
          </w:p>
        </w:tc>
      </w:tr>
      <w:tr w:rsidR="00C90658" w:rsidRPr="001447EA" w14:paraId="2C905914" w14:textId="77777777" w:rsidTr="0055274C">
        <w:trPr>
          <w:trHeight w:val="262"/>
        </w:trPr>
        <w:tc>
          <w:tcPr>
            <w:tcW w:w="11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6E61" w14:textId="77777777" w:rsidR="00C90658" w:rsidRPr="001447EA" w:rsidRDefault="00C90658" w:rsidP="001D7895">
            <w:pPr>
              <w:rPr>
                <w:rFonts w:ascii="Arial" w:hAnsi="Arial" w:cs="Arial"/>
                <w:b/>
                <w:sz w:val="18"/>
              </w:rPr>
            </w:pPr>
            <w:r w:rsidRPr="001447EA">
              <w:rPr>
                <w:rFonts w:ascii="Arial" w:hAnsi="Arial" w:cs="Arial"/>
                <w:b/>
                <w:sz w:val="22"/>
              </w:rPr>
              <w:t>Postoperative Day 1</w:t>
            </w:r>
          </w:p>
        </w:tc>
      </w:tr>
      <w:tr w:rsidR="00C90658" w:rsidRPr="001447EA" w14:paraId="2127CFF5" w14:textId="77777777" w:rsidTr="001D7895">
        <w:trPr>
          <w:trHeight w:val="4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25F0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a</w:t>
            </w:r>
            <w:r w:rsidRPr="001447EA">
              <w:rPr>
                <w:rFonts w:ascii="Arial" w:hAnsi="Arial" w:cs="Arial"/>
                <w:sz w:val="20"/>
              </w:rPr>
              <w:t>emoglobin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419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20</w:t>
            </w:r>
            <w:r w:rsidRPr="001447EA">
              <w:rPr>
                <w:rFonts w:ascii="Arial" w:hAnsi="Arial" w:cs="Arial"/>
                <w:sz w:val="20"/>
              </w:rPr>
              <w:t xml:space="preserve"> </w:t>
            </w:r>
          </w:p>
          <w:p w14:paraId="561298F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(111-124)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1407" w14:textId="77777777" w:rsidR="00C90658" w:rsidRPr="001447EA" w:rsidRDefault="00C90658" w:rsidP="00D2756F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115    (103-11</w:t>
            </w:r>
            <w:r>
              <w:rPr>
                <w:rFonts w:ascii="Arial" w:hAnsi="Arial" w:cs="Arial"/>
                <w:sz w:val="20"/>
              </w:rPr>
              <w:t>6</w:t>
            </w:r>
            <w:r w:rsidRPr="001447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1C8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110 </w:t>
            </w:r>
          </w:p>
          <w:p w14:paraId="05AFFB3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(89-120)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A80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101 </w:t>
            </w:r>
          </w:p>
          <w:p w14:paraId="23EFAA0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(93-113)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B37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101 </w:t>
            </w:r>
          </w:p>
          <w:p w14:paraId="5845D00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(93-112)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F3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87 </w:t>
            </w:r>
          </w:p>
          <w:p w14:paraId="1AC8EEA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(64-89)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B7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115 </w:t>
            </w:r>
          </w:p>
          <w:p w14:paraId="23B9729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(99-125)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60E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99 </w:t>
            </w:r>
          </w:p>
          <w:p w14:paraId="2B2B15D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(97-109)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F0F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85 </w:t>
            </w:r>
          </w:p>
          <w:p w14:paraId="6C58AE6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(82-92)</w:t>
            </w:r>
          </w:p>
        </w:tc>
      </w:tr>
      <w:tr w:rsidR="00C90658" w:rsidRPr="001447EA" w14:paraId="17B4D329" w14:textId="77777777" w:rsidTr="001D7895">
        <w:trPr>
          <w:trHeight w:val="44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D5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GFR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ADF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11</w:t>
            </w:r>
            <w:r w:rsidRPr="001447EA">
              <w:rPr>
                <w:rFonts w:ascii="Arial" w:hAnsi="Arial" w:cs="Arial"/>
                <w:sz w:val="20"/>
              </w:rPr>
              <w:t xml:space="preserve"> </w:t>
            </w:r>
          </w:p>
          <w:p w14:paraId="32D1B245" w14:textId="77777777" w:rsidR="00C90658" w:rsidRPr="001447EA" w:rsidRDefault="00C90658" w:rsidP="00D2756F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109</w:t>
            </w:r>
            <w:r w:rsidRPr="001447EA">
              <w:rPr>
                <w:rFonts w:ascii="Arial" w:hAnsi="Arial" w:cs="Arial"/>
                <w:sz w:val="20"/>
              </w:rPr>
              <w:t>-120)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1F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89 </w:t>
            </w:r>
          </w:p>
          <w:p w14:paraId="6774B757" w14:textId="77777777" w:rsidR="00C90658" w:rsidRPr="001447EA" w:rsidRDefault="00C90658" w:rsidP="00D2756F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87</w:t>
            </w:r>
            <w:r w:rsidRPr="001447EA">
              <w:rPr>
                <w:rFonts w:ascii="Arial" w:hAnsi="Arial" w:cs="Arial"/>
                <w:sz w:val="20"/>
              </w:rPr>
              <w:t>-9</w:t>
            </w:r>
            <w:r>
              <w:rPr>
                <w:rFonts w:ascii="Arial" w:hAnsi="Arial" w:cs="Arial"/>
                <w:sz w:val="20"/>
              </w:rPr>
              <w:t>1</w:t>
            </w:r>
            <w:r w:rsidRPr="001447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C0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87 </w:t>
            </w:r>
          </w:p>
          <w:p w14:paraId="3E657A0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(68-96)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413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44 </w:t>
            </w:r>
          </w:p>
          <w:p w14:paraId="48FFE3EB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(28-59)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968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37 </w:t>
            </w:r>
          </w:p>
          <w:p w14:paraId="38B6589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(29-50)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5E6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17 </w:t>
            </w:r>
          </w:p>
          <w:p w14:paraId="063EEB6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(16-43)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C4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28 </w:t>
            </w:r>
          </w:p>
          <w:p w14:paraId="3AECA22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(22-30)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30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15</w:t>
            </w:r>
          </w:p>
          <w:p w14:paraId="6759082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 (15-18)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1C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15 </w:t>
            </w:r>
          </w:p>
          <w:p w14:paraId="090B75D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(15-16)</w:t>
            </w:r>
          </w:p>
        </w:tc>
      </w:tr>
      <w:tr w:rsidR="00C90658" w:rsidRPr="001447EA" w14:paraId="5F6A5797" w14:textId="77777777" w:rsidTr="001D7895">
        <w:trPr>
          <w:trHeight w:val="4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0C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Creatinine Clearance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32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</w:t>
            </w:r>
            <w:r w:rsidRPr="001447EA">
              <w:rPr>
                <w:rFonts w:ascii="Arial" w:hAnsi="Arial" w:cs="Arial"/>
                <w:sz w:val="20"/>
              </w:rPr>
              <w:t xml:space="preserve"> </w:t>
            </w:r>
          </w:p>
          <w:p w14:paraId="5F6FA819" w14:textId="77777777" w:rsidR="00C90658" w:rsidRPr="001447EA" w:rsidRDefault="00C90658" w:rsidP="002B7AE2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(7</w:t>
            </w:r>
            <w:r>
              <w:rPr>
                <w:rFonts w:ascii="Arial" w:hAnsi="Arial" w:cs="Arial"/>
                <w:sz w:val="20"/>
              </w:rPr>
              <w:t>3</w:t>
            </w:r>
            <w:r w:rsidRPr="001447EA">
              <w:rPr>
                <w:rFonts w:ascii="Arial" w:hAnsi="Arial" w:cs="Arial"/>
                <w:sz w:val="20"/>
              </w:rPr>
              <w:t>-123)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F7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2</w:t>
            </w:r>
            <w:r w:rsidRPr="001447EA">
              <w:rPr>
                <w:rFonts w:ascii="Arial" w:hAnsi="Arial" w:cs="Arial"/>
                <w:sz w:val="20"/>
              </w:rPr>
              <w:t xml:space="preserve"> </w:t>
            </w:r>
          </w:p>
          <w:p w14:paraId="1C43B1DE" w14:textId="77777777" w:rsidR="00C90658" w:rsidRPr="001447EA" w:rsidRDefault="00C90658" w:rsidP="002B7AE2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99</w:t>
            </w:r>
            <w:r w:rsidRPr="001447EA">
              <w:rPr>
                <w:rFonts w:ascii="Arial" w:hAnsi="Arial" w:cs="Arial"/>
                <w:sz w:val="20"/>
              </w:rPr>
              <w:t>-1</w:t>
            </w:r>
            <w:r>
              <w:rPr>
                <w:rFonts w:ascii="Arial" w:hAnsi="Arial" w:cs="Arial"/>
                <w:sz w:val="20"/>
              </w:rPr>
              <w:t>17</w:t>
            </w:r>
            <w:r w:rsidRPr="001447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463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98 </w:t>
            </w:r>
          </w:p>
          <w:p w14:paraId="0792CC5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(61-110)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A770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39</w:t>
            </w:r>
          </w:p>
          <w:p w14:paraId="6B42282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 (32-45)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A63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27</w:t>
            </w:r>
          </w:p>
          <w:p w14:paraId="0798AF8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 (19-66)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C1E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18</w:t>
            </w:r>
          </w:p>
          <w:p w14:paraId="7DC987A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 (8-27)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4E0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17 </w:t>
            </w:r>
          </w:p>
          <w:p w14:paraId="7C9B94B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(15-20)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64C1" w14:textId="77777777" w:rsidR="00C90658" w:rsidRPr="001447EA" w:rsidRDefault="00C90658" w:rsidP="001D7895">
            <w:pPr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No data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18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 xml:space="preserve">11 </w:t>
            </w:r>
          </w:p>
          <w:p w14:paraId="5A39331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(0.3-11.3)</w:t>
            </w:r>
          </w:p>
        </w:tc>
      </w:tr>
      <w:tr w:rsidR="00C90658" w:rsidRPr="001447EA" w14:paraId="152A2DF0" w14:textId="77777777" w:rsidTr="00C90658">
        <w:trPr>
          <w:trHeight w:val="401"/>
        </w:trPr>
        <w:tc>
          <w:tcPr>
            <w:tcW w:w="11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F3252" w14:textId="77777777" w:rsidR="00C90658" w:rsidRPr="001447EA" w:rsidRDefault="00C90658" w:rsidP="00C9065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47EA">
              <w:rPr>
                <w:rFonts w:ascii="Arial" w:hAnsi="Arial" w:cs="Arial"/>
                <w:b/>
                <w:sz w:val="22"/>
              </w:rPr>
              <w:t>TRANSFUSION  (units)</w:t>
            </w:r>
          </w:p>
        </w:tc>
      </w:tr>
      <w:tr w:rsidR="00C90658" w:rsidRPr="001447EA" w14:paraId="0921658A" w14:textId="77777777" w:rsidTr="0055274C">
        <w:trPr>
          <w:trHeight w:val="242"/>
        </w:trPr>
        <w:tc>
          <w:tcPr>
            <w:tcW w:w="11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01DE" w14:textId="77777777" w:rsidR="00C90658" w:rsidRPr="001447EA" w:rsidRDefault="00C90658" w:rsidP="001D7895">
            <w:pPr>
              <w:rPr>
                <w:rFonts w:ascii="Arial" w:hAnsi="Arial" w:cs="Arial"/>
                <w:b/>
                <w:sz w:val="18"/>
              </w:rPr>
            </w:pPr>
            <w:r w:rsidRPr="001447EA">
              <w:rPr>
                <w:rFonts w:ascii="Arial" w:hAnsi="Arial" w:cs="Arial"/>
                <w:b/>
                <w:sz w:val="22"/>
              </w:rPr>
              <w:t>Intraoperative</w:t>
            </w:r>
          </w:p>
        </w:tc>
      </w:tr>
      <w:tr w:rsidR="00C90658" w:rsidRPr="001447EA" w14:paraId="1716D176" w14:textId="77777777" w:rsidTr="001D7895">
        <w:trPr>
          <w:trHeight w:val="22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1F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RBC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990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81A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EBA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02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BA3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73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4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D16B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94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0-4</w:t>
            </w:r>
          </w:p>
        </w:tc>
      </w:tr>
      <w:tr w:rsidR="00C90658" w:rsidRPr="001447EA" w14:paraId="787A7D44" w14:textId="77777777" w:rsidTr="001D7895">
        <w:trPr>
          <w:trHeight w:val="22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37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CD8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90F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C37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C2D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695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905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E6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49A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40C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0-4</w:t>
            </w:r>
          </w:p>
        </w:tc>
      </w:tr>
      <w:tr w:rsidR="00C90658" w:rsidRPr="001447EA" w14:paraId="5ED6AE4A" w14:textId="77777777" w:rsidTr="001D7895">
        <w:trPr>
          <w:trHeight w:val="22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8B8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PLT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43D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0E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01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167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7A1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52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45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31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57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0-12</w:t>
            </w:r>
          </w:p>
        </w:tc>
      </w:tr>
      <w:tr w:rsidR="00C90658" w:rsidRPr="001447EA" w14:paraId="47629A2C" w14:textId="77777777" w:rsidTr="0055274C">
        <w:trPr>
          <w:trHeight w:val="242"/>
        </w:trPr>
        <w:tc>
          <w:tcPr>
            <w:tcW w:w="11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25F8" w14:textId="77777777" w:rsidR="00C90658" w:rsidRPr="001447EA" w:rsidRDefault="00C90658" w:rsidP="001D7895">
            <w:pPr>
              <w:rPr>
                <w:rFonts w:ascii="Arial" w:hAnsi="Arial" w:cs="Arial"/>
                <w:b/>
                <w:sz w:val="22"/>
              </w:rPr>
            </w:pPr>
            <w:r w:rsidRPr="001447EA">
              <w:rPr>
                <w:rFonts w:ascii="Arial" w:hAnsi="Arial" w:cs="Arial"/>
                <w:b/>
                <w:sz w:val="22"/>
              </w:rPr>
              <w:t xml:space="preserve">ICU </w:t>
            </w:r>
          </w:p>
        </w:tc>
      </w:tr>
      <w:tr w:rsidR="00C90658" w:rsidRPr="001447EA" w14:paraId="57AB5450" w14:textId="77777777" w:rsidTr="001D7895">
        <w:trPr>
          <w:trHeight w:val="22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663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RBC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6330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F10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D3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9EC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05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CF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7F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216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8A5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0-2</w:t>
            </w:r>
          </w:p>
        </w:tc>
      </w:tr>
      <w:tr w:rsidR="00C90658" w:rsidRPr="001447EA" w14:paraId="45021D6A" w14:textId="77777777" w:rsidTr="001D7895">
        <w:trPr>
          <w:trHeight w:val="22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69D0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35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93B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1BB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CFB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7AB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43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EA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D2B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293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</w:tr>
      <w:tr w:rsidR="00C90658" w:rsidRPr="001447EA" w14:paraId="413CC0B7" w14:textId="77777777" w:rsidTr="001D7895">
        <w:trPr>
          <w:trHeight w:val="22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DB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PLT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63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83E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9A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EBB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BF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8E2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E8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EA0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0A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0-1</w:t>
            </w:r>
          </w:p>
        </w:tc>
      </w:tr>
      <w:tr w:rsidR="00C90658" w:rsidRPr="001447EA" w14:paraId="444C7813" w14:textId="77777777" w:rsidTr="00C90658">
        <w:trPr>
          <w:trHeight w:val="403"/>
        </w:trPr>
        <w:tc>
          <w:tcPr>
            <w:tcW w:w="11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9FDDA" w14:textId="77777777" w:rsidR="00C90658" w:rsidRPr="00C90658" w:rsidRDefault="00C90658" w:rsidP="001D789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0658">
              <w:rPr>
                <w:rFonts w:ascii="Arial" w:hAnsi="Arial" w:cs="Arial"/>
                <w:b/>
                <w:sz w:val="22"/>
              </w:rPr>
              <w:t>CHEST TUBE AND FLUID BALANCE (ML)</w:t>
            </w:r>
          </w:p>
        </w:tc>
      </w:tr>
      <w:tr w:rsidR="00C90658" w:rsidRPr="001447EA" w14:paraId="5C826D7B" w14:textId="77777777" w:rsidTr="001D7895">
        <w:trPr>
          <w:trHeight w:val="40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4F9D" w14:textId="77777777" w:rsidR="00C90658" w:rsidRPr="001447EA" w:rsidRDefault="00C90658" w:rsidP="001D7895">
            <w:pPr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6h chest tube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044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6</w:t>
            </w:r>
            <w:r w:rsidRPr="001447EA">
              <w:rPr>
                <w:rFonts w:ascii="Arial" w:hAnsi="Arial" w:cs="Arial"/>
                <w:sz w:val="18"/>
              </w:rPr>
              <w:t>0</w:t>
            </w:r>
          </w:p>
          <w:p w14:paraId="38FF64F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(120-180)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E7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160</w:t>
            </w:r>
          </w:p>
          <w:p w14:paraId="319174CD" w14:textId="77777777" w:rsidR="00C90658" w:rsidRPr="001447EA" w:rsidRDefault="00C90658" w:rsidP="00D05678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(1</w:t>
            </w:r>
            <w:r>
              <w:rPr>
                <w:rFonts w:ascii="Arial" w:hAnsi="Arial" w:cs="Arial"/>
                <w:sz w:val="18"/>
              </w:rPr>
              <w:t>4</w:t>
            </w:r>
            <w:r w:rsidRPr="001447EA">
              <w:rPr>
                <w:rFonts w:ascii="Arial" w:hAnsi="Arial" w:cs="Arial"/>
                <w:sz w:val="18"/>
              </w:rPr>
              <w:t>0-190)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BD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150</w:t>
            </w:r>
          </w:p>
          <w:p w14:paraId="49DE7ED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(120-180)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D8F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133</w:t>
            </w:r>
          </w:p>
          <w:p w14:paraId="6FF56EC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 xml:space="preserve"> (100-160)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8E5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185</w:t>
            </w:r>
          </w:p>
          <w:p w14:paraId="780CE63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(140-220)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04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155</w:t>
            </w:r>
          </w:p>
          <w:p w14:paraId="1AB7AAC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(87-300)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50F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160</w:t>
            </w:r>
          </w:p>
          <w:p w14:paraId="3372B25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(105-205)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381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295</w:t>
            </w:r>
          </w:p>
          <w:p w14:paraId="1EE5136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(160-420)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A3E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175</w:t>
            </w:r>
          </w:p>
          <w:p w14:paraId="200E37E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(85-210)</w:t>
            </w:r>
          </w:p>
        </w:tc>
      </w:tr>
      <w:tr w:rsidR="00C90658" w:rsidRPr="001447EA" w14:paraId="0831D83A" w14:textId="77777777" w:rsidTr="001D7895">
        <w:trPr>
          <w:trHeight w:val="4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11C" w14:textId="77777777" w:rsidR="00C90658" w:rsidRPr="001447EA" w:rsidRDefault="00C90658" w:rsidP="001D7895">
            <w:pPr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24h chest tube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887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350</w:t>
            </w:r>
          </w:p>
          <w:p w14:paraId="17D39658" w14:textId="77777777" w:rsidR="00C90658" w:rsidRPr="001447EA" w:rsidRDefault="00C90658" w:rsidP="00D05678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(3</w:t>
            </w:r>
            <w:r>
              <w:rPr>
                <w:rFonts w:ascii="Arial" w:hAnsi="Arial" w:cs="Arial"/>
                <w:sz w:val="18"/>
              </w:rPr>
              <w:t>10</w:t>
            </w:r>
            <w:r w:rsidRPr="001447EA">
              <w:rPr>
                <w:rFonts w:ascii="Arial" w:hAnsi="Arial" w:cs="Arial"/>
                <w:sz w:val="18"/>
              </w:rPr>
              <w:t>-39</w:t>
            </w:r>
            <w:r>
              <w:rPr>
                <w:rFonts w:ascii="Arial" w:hAnsi="Arial" w:cs="Arial"/>
                <w:sz w:val="18"/>
              </w:rPr>
              <w:t>0</w:t>
            </w:r>
            <w:r w:rsidRPr="001447E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7D6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70</w:t>
            </w:r>
          </w:p>
          <w:p w14:paraId="244653D9" w14:textId="77777777" w:rsidR="00C90658" w:rsidRPr="001447EA" w:rsidRDefault="00C90658" w:rsidP="00D05678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(4</w:t>
            </w:r>
            <w:r>
              <w:rPr>
                <w:rFonts w:ascii="Arial" w:hAnsi="Arial" w:cs="Arial"/>
                <w:sz w:val="18"/>
              </w:rPr>
              <w:t>40</w:t>
            </w:r>
            <w:r w:rsidRPr="001447EA">
              <w:rPr>
                <w:rFonts w:ascii="Arial" w:hAnsi="Arial" w:cs="Arial"/>
                <w:sz w:val="18"/>
              </w:rPr>
              <w:t>-5</w:t>
            </w:r>
            <w:r>
              <w:rPr>
                <w:rFonts w:ascii="Arial" w:hAnsi="Arial" w:cs="Arial"/>
                <w:sz w:val="18"/>
              </w:rPr>
              <w:t>00</w:t>
            </w:r>
            <w:r w:rsidRPr="001447E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29A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360</w:t>
            </w:r>
          </w:p>
          <w:p w14:paraId="099E0E7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(350-450)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876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 xml:space="preserve">300 </w:t>
            </w:r>
          </w:p>
          <w:p w14:paraId="29605FA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(265-365)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25FD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 xml:space="preserve">688 </w:t>
            </w:r>
          </w:p>
          <w:p w14:paraId="11B84E1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(355-1020)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0FC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520</w:t>
            </w:r>
          </w:p>
          <w:p w14:paraId="72A2668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(350-690)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91C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405</w:t>
            </w:r>
          </w:p>
          <w:p w14:paraId="70994A7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(350-710)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D85F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620</w:t>
            </w:r>
          </w:p>
          <w:p w14:paraId="317E902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(370-700)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E14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430</w:t>
            </w:r>
          </w:p>
          <w:p w14:paraId="6F0AB0E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(405-900)</w:t>
            </w:r>
          </w:p>
        </w:tc>
      </w:tr>
      <w:tr w:rsidR="00C90658" w:rsidRPr="001447EA" w14:paraId="2EEB349A" w14:textId="77777777" w:rsidTr="001D7895">
        <w:trPr>
          <w:trHeight w:val="5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ED07" w14:textId="77777777" w:rsidR="00C90658" w:rsidRPr="001447EA" w:rsidRDefault="00C90658" w:rsidP="001D7895">
            <w:pPr>
              <w:rPr>
                <w:rFonts w:ascii="Arial" w:hAnsi="Arial" w:cs="Arial"/>
                <w:sz w:val="20"/>
              </w:rPr>
            </w:pPr>
            <w:r w:rsidRPr="001447EA">
              <w:rPr>
                <w:rFonts w:ascii="Arial" w:hAnsi="Arial" w:cs="Arial"/>
                <w:sz w:val="20"/>
              </w:rPr>
              <w:t>ICU fluid balance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1C1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675</w:t>
            </w:r>
          </w:p>
          <w:p w14:paraId="0B8C12E5" w14:textId="77777777" w:rsidR="00C90658" w:rsidRPr="001447EA" w:rsidRDefault="00C90658" w:rsidP="00D05678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53</w:t>
            </w:r>
            <w:r w:rsidRPr="001447EA">
              <w:rPr>
                <w:rFonts w:ascii="Arial" w:hAnsi="Arial" w:cs="Arial"/>
                <w:sz w:val="18"/>
              </w:rPr>
              <w:t>3-</w:t>
            </w:r>
            <w:r>
              <w:rPr>
                <w:rFonts w:ascii="Arial" w:hAnsi="Arial" w:cs="Arial"/>
                <w:sz w:val="18"/>
              </w:rPr>
              <w:t>721</w:t>
            </w:r>
            <w:r w:rsidRPr="001447E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96B0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727</w:t>
            </w:r>
          </w:p>
          <w:p w14:paraId="5F4A99F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(-374-</w:t>
            </w:r>
            <w:r>
              <w:rPr>
                <w:rFonts w:ascii="Arial" w:hAnsi="Arial" w:cs="Arial"/>
                <w:sz w:val="18"/>
              </w:rPr>
              <w:t>1525</w:t>
            </w:r>
            <w:r w:rsidRPr="001447E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1270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790       (420-1150)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22A2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1266</w:t>
            </w:r>
          </w:p>
          <w:p w14:paraId="3E9699C9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(657-1651)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44E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 xml:space="preserve">1280 </w:t>
            </w:r>
          </w:p>
          <w:p w14:paraId="55C43778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(972-2539)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ED34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1305</w:t>
            </w:r>
          </w:p>
          <w:p w14:paraId="49E8D256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(333-2330)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FD0B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373</w:t>
            </w:r>
          </w:p>
          <w:p w14:paraId="5CCD53A1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(-66-884)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3003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464</w:t>
            </w:r>
          </w:p>
          <w:p w14:paraId="5754CBD7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(345-562)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E65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516</w:t>
            </w:r>
          </w:p>
          <w:p w14:paraId="4B26E9FC" w14:textId="77777777" w:rsidR="00C90658" w:rsidRPr="001447EA" w:rsidRDefault="00C90658" w:rsidP="001D7895">
            <w:pPr>
              <w:jc w:val="center"/>
              <w:rPr>
                <w:rFonts w:ascii="Arial" w:hAnsi="Arial" w:cs="Arial"/>
                <w:sz w:val="18"/>
              </w:rPr>
            </w:pPr>
            <w:r w:rsidRPr="001447EA">
              <w:rPr>
                <w:rFonts w:ascii="Arial" w:hAnsi="Arial" w:cs="Arial"/>
                <w:sz w:val="18"/>
              </w:rPr>
              <w:t>(-158-1539)</w:t>
            </w:r>
          </w:p>
        </w:tc>
      </w:tr>
    </w:tbl>
    <w:p w14:paraId="104DB970" w14:textId="77777777" w:rsidR="001D7895" w:rsidRDefault="001D7895" w:rsidP="001D7895">
      <w:pPr>
        <w:spacing w:line="480" w:lineRule="auto"/>
        <w:jc w:val="both"/>
        <w:rPr>
          <w:rFonts w:ascii="Arial" w:hAnsi="Arial" w:cs="Arial"/>
          <w:b/>
        </w:rPr>
      </w:pPr>
    </w:p>
    <w:p w14:paraId="10CFA7BA" w14:textId="77777777" w:rsidR="001D7895" w:rsidRPr="001447EA" w:rsidRDefault="001D7895" w:rsidP="001D7895">
      <w:pPr>
        <w:jc w:val="both"/>
        <w:rPr>
          <w:rFonts w:ascii="Arial" w:hAnsi="Arial" w:cs="Arial"/>
          <w:sz w:val="16"/>
        </w:rPr>
      </w:pPr>
      <w:r w:rsidRPr="001447EA">
        <w:rPr>
          <w:rFonts w:ascii="Arial" w:hAnsi="Arial" w:cs="Arial"/>
          <w:sz w:val="16"/>
        </w:rPr>
        <w:t xml:space="preserve">Transfusion units given as range.  Chest tube losses and fluid balance reported as median (interquartile range). </w:t>
      </w:r>
    </w:p>
    <w:p w14:paraId="09623A3A" w14:textId="77777777" w:rsidR="001D7895" w:rsidRDefault="001D7895" w:rsidP="001D7895">
      <w:pPr>
        <w:rPr>
          <w:rFonts w:ascii="Arial" w:hAnsi="Arial" w:cs="Arial"/>
          <w:sz w:val="16"/>
        </w:rPr>
      </w:pPr>
      <w:r w:rsidRPr="001447EA">
        <w:rPr>
          <w:rFonts w:ascii="Arial" w:hAnsi="Arial" w:cs="Arial"/>
          <w:sz w:val="16"/>
        </w:rPr>
        <w:t>RBC Red blood cell; FFP Fresh frozen plasma; PLT platelet; ICU Intensive care unit; GFR Glomerular filtration rate</w:t>
      </w:r>
      <w:r>
        <w:rPr>
          <w:rFonts w:ascii="Arial" w:hAnsi="Arial" w:cs="Arial"/>
          <w:sz w:val="16"/>
        </w:rPr>
        <w:t>.</w:t>
      </w:r>
    </w:p>
    <w:p w14:paraId="18608AA1" w14:textId="77777777" w:rsidR="001D7895" w:rsidRPr="003158C2" w:rsidRDefault="001D7895" w:rsidP="001D789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Units: H</w:t>
      </w:r>
      <w:r w:rsidR="00FE57D8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emoglobin g/L, platelet x 10</w:t>
      </w:r>
      <w:r>
        <w:rPr>
          <w:rFonts w:ascii="Arial" w:hAnsi="Arial" w:cs="Arial"/>
          <w:sz w:val="16"/>
          <w:vertAlign w:val="superscript"/>
        </w:rPr>
        <w:t>9</w:t>
      </w:r>
      <w:r>
        <w:rPr>
          <w:rFonts w:ascii="Arial" w:hAnsi="Arial" w:cs="Arial"/>
          <w:sz w:val="16"/>
        </w:rPr>
        <w:t>/L, GFR and Creatinine Clearance ml/min/1.73m</w:t>
      </w:r>
      <w:r w:rsidRPr="003158C2">
        <w:rPr>
          <w:rFonts w:ascii="Arial" w:hAnsi="Arial" w:cs="Arial"/>
          <w:sz w:val="16"/>
          <w:vertAlign w:val="superscript"/>
        </w:rPr>
        <w:t>2</w:t>
      </w:r>
      <w:r>
        <w:rPr>
          <w:rFonts w:ascii="Arial" w:hAnsi="Arial" w:cs="Arial"/>
          <w:sz w:val="16"/>
        </w:rPr>
        <w:t xml:space="preserve">, </w:t>
      </w:r>
    </w:p>
    <w:p w14:paraId="5141D77E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65F4E2AD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7EA8E1E2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2FEE8F8B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6E058576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64DDE205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2F34D839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1957C698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576A7E6C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2B80E0D5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0A3E1EED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  <w:sectPr w:rsidR="00566BF7" w:rsidSect="00566BF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C3531E2" w14:textId="77777777" w:rsidR="00566BF7" w:rsidRDefault="0098621E" w:rsidP="005A753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09"/>
        <w:gridCol w:w="2482"/>
        <w:gridCol w:w="2271"/>
      </w:tblGrid>
      <w:tr w:rsidR="00E32A05" w:rsidRPr="001447EA" w14:paraId="088405A1" w14:textId="77777777" w:rsidTr="00E32A05">
        <w:trPr>
          <w:trHeight w:val="522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5F06" w14:textId="77777777" w:rsidR="00E32A05" w:rsidRPr="001447EA" w:rsidRDefault="00E32A05" w:rsidP="00566BF7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64A9" w14:textId="77777777" w:rsidR="00E32A05" w:rsidRPr="001447EA" w:rsidRDefault="00E32A05" w:rsidP="00566BF7">
            <w:pPr>
              <w:jc w:val="center"/>
              <w:rPr>
                <w:rFonts w:ascii="Arial" w:hAnsi="Arial" w:cs="Arial"/>
                <w:b/>
              </w:rPr>
            </w:pPr>
            <w:r w:rsidRPr="001447EA">
              <w:rPr>
                <w:rFonts w:ascii="Arial" w:hAnsi="Arial" w:cs="Arial"/>
                <w:b/>
              </w:rPr>
              <w:t>Seizure</w:t>
            </w:r>
          </w:p>
          <w:p w14:paraId="54438E6C" w14:textId="77777777" w:rsidR="00E32A05" w:rsidRPr="001447EA" w:rsidRDefault="00E32A05" w:rsidP="00566BF7">
            <w:pPr>
              <w:jc w:val="center"/>
              <w:rPr>
                <w:rFonts w:ascii="Arial" w:hAnsi="Arial" w:cs="Arial"/>
                <w:b/>
              </w:rPr>
            </w:pPr>
            <w:r w:rsidRPr="001447EA">
              <w:rPr>
                <w:rFonts w:ascii="Arial" w:hAnsi="Arial" w:cs="Arial"/>
                <w:b/>
              </w:rPr>
              <w:t>n=4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95B5" w14:textId="77777777" w:rsidR="00E32A05" w:rsidRPr="001447EA" w:rsidRDefault="00E32A05" w:rsidP="00566BF7">
            <w:pPr>
              <w:jc w:val="center"/>
              <w:rPr>
                <w:rFonts w:ascii="Arial" w:hAnsi="Arial" w:cs="Arial"/>
                <w:b/>
              </w:rPr>
            </w:pPr>
            <w:r w:rsidRPr="001447EA">
              <w:rPr>
                <w:rFonts w:ascii="Arial" w:hAnsi="Arial" w:cs="Arial"/>
                <w:b/>
              </w:rPr>
              <w:t>No seizure</w:t>
            </w:r>
          </w:p>
          <w:p w14:paraId="3D6B1DBE" w14:textId="77777777" w:rsidR="00E32A05" w:rsidRPr="001447EA" w:rsidRDefault="00E32A05" w:rsidP="00566BF7">
            <w:pPr>
              <w:jc w:val="center"/>
              <w:rPr>
                <w:rFonts w:ascii="Arial" w:hAnsi="Arial" w:cs="Arial"/>
                <w:b/>
              </w:rPr>
            </w:pPr>
            <w:r w:rsidRPr="001447EA">
              <w:rPr>
                <w:rFonts w:ascii="Arial" w:hAnsi="Arial" w:cs="Arial"/>
                <w:b/>
              </w:rPr>
              <w:t>n=18</w:t>
            </w:r>
          </w:p>
        </w:tc>
      </w:tr>
      <w:tr w:rsidR="00E32A05" w:rsidRPr="001447EA" w14:paraId="2DCC9C6E" w14:textId="77777777" w:rsidTr="00BF532B">
        <w:trPr>
          <w:trHeight w:val="46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95632" w14:textId="2A19B2DD" w:rsidR="00E32A05" w:rsidRPr="001447EA" w:rsidRDefault="00E32A05" w:rsidP="00E3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</w:t>
            </w:r>
            <w:r w:rsidRPr="001447EA">
              <w:rPr>
                <w:rFonts w:ascii="Arial" w:hAnsi="Arial" w:cs="Arial"/>
                <w:b/>
              </w:rPr>
              <w:t>tient and surgical characteristics</w:t>
            </w:r>
          </w:p>
        </w:tc>
      </w:tr>
      <w:tr w:rsidR="00E32A05" w:rsidRPr="001447EA" w14:paraId="021286C2" w14:textId="77777777" w:rsidTr="00E32A05">
        <w:trPr>
          <w:trHeight w:val="24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2DCB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Age</w:t>
            </w:r>
            <w:r>
              <w:rPr>
                <w:rFonts w:ascii="Arial" w:hAnsi="Arial" w:cs="Arial"/>
              </w:rPr>
              <w:t xml:space="preserve"> (yr)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A793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68.5 (60-75)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A2B8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63.5 (56-77)</w:t>
            </w:r>
          </w:p>
        </w:tc>
      </w:tr>
      <w:tr w:rsidR="00E32A05" w:rsidRPr="001447EA" w14:paraId="1A9551BB" w14:textId="77777777" w:rsidTr="00E32A05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65A5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Male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2203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3 (75)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D157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13 (72.2)</w:t>
            </w:r>
          </w:p>
        </w:tc>
      </w:tr>
      <w:tr w:rsidR="00E32A05" w:rsidRPr="001447EA" w14:paraId="24C43758" w14:textId="77777777" w:rsidTr="00E32A05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2AE7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Diabetes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D40F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1 (25)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0BE7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8 (44.4)</w:t>
            </w:r>
          </w:p>
        </w:tc>
      </w:tr>
      <w:tr w:rsidR="00E32A05" w:rsidRPr="001447EA" w14:paraId="3F1EB451" w14:textId="77777777" w:rsidTr="00E32A05">
        <w:trPr>
          <w:trHeight w:val="24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EF02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Myocardial infarction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D082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C838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3 (16.7)</w:t>
            </w:r>
          </w:p>
        </w:tc>
      </w:tr>
      <w:tr w:rsidR="00E32A05" w:rsidRPr="001447EA" w14:paraId="77A32767" w14:textId="77777777" w:rsidTr="00E32A05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5EDF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Hypertension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4384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3 (75)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E2C4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14 (77.8)</w:t>
            </w:r>
          </w:p>
        </w:tc>
      </w:tr>
      <w:tr w:rsidR="00E32A05" w:rsidRPr="001447EA" w14:paraId="2C314413" w14:textId="77777777" w:rsidTr="00E32A05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93F4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Grade 1 LV function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C318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3 (75)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4630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9 (50)</w:t>
            </w:r>
          </w:p>
        </w:tc>
      </w:tr>
      <w:tr w:rsidR="00E32A05" w:rsidRPr="001447EA" w14:paraId="6528C587" w14:textId="77777777" w:rsidTr="00E32A05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A44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Chronic lung disease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09D8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2 (50)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4FC0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3 (16.7)</w:t>
            </w:r>
          </w:p>
        </w:tc>
      </w:tr>
      <w:tr w:rsidR="00E32A05" w:rsidRPr="001447EA" w14:paraId="71FCAA73" w14:textId="77777777" w:rsidTr="00E32A05">
        <w:trPr>
          <w:trHeight w:val="24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AA9A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Cerebrovascular disease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B8A0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2 (50)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B46E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2 (11.1)</w:t>
            </w:r>
          </w:p>
        </w:tc>
      </w:tr>
      <w:tr w:rsidR="00E32A05" w:rsidRPr="001447EA" w14:paraId="7F3ED4EA" w14:textId="77777777" w:rsidTr="00E32A05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F67E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Dialysis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E4DD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2 (50)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C8C1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2 (11.1)</w:t>
            </w:r>
          </w:p>
        </w:tc>
      </w:tr>
      <w:tr w:rsidR="00E32A05" w:rsidRPr="001447EA" w14:paraId="6687702B" w14:textId="77777777" w:rsidTr="00566BF7">
        <w:trPr>
          <w:trHeight w:val="782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1F1A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 xml:space="preserve">Chronic renal dysfunction </w:t>
            </w:r>
          </w:p>
          <w:p w14:paraId="1664F94C" w14:textId="77777777" w:rsidR="00E32A05" w:rsidRPr="001447EA" w:rsidRDefault="00E32A05" w:rsidP="00566BF7">
            <w:pPr>
              <w:jc w:val="right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Stage 3</w:t>
            </w:r>
          </w:p>
          <w:p w14:paraId="3ABC8BB6" w14:textId="77777777" w:rsidR="00E32A05" w:rsidRPr="001447EA" w:rsidRDefault="00E32A05" w:rsidP="00566BF7">
            <w:pPr>
              <w:jc w:val="right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Stage 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9A4F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</w:p>
          <w:p w14:paraId="7254B6B1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1 (25)</w:t>
            </w:r>
          </w:p>
          <w:p w14:paraId="36F19704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3 (75)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51E3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</w:p>
          <w:p w14:paraId="17C15EB7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5 (27.8)</w:t>
            </w:r>
          </w:p>
          <w:p w14:paraId="705B3FA9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3 (16.7)</w:t>
            </w:r>
          </w:p>
        </w:tc>
      </w:tr>
      <w:tr w:rsidR="00E32A05" w:rsidRPr="001447EA" w14:paraId="46004198" w14:textId="77777777" w:rsidTr="00E32A05">
        <w:trPr>
          <w:trHeight w:val="24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075F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Cardiopulmonary bypass (min)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BAFA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123 (97-236.5)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DF37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120.5 (96-167)</w:t>
            </w:r>
          </w:p>
        </w:tc>
      </w:tr>
      <w:tr w:rsidR="00E32A05" w:rsidRPr="001447EA" w14:paraId="4DCE91B1" w14:textId="77777777" w:rsidTr="00E32A05">
        <w:trPr>
          <w:trHeight w:val="393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8564A" w14:textId="316DBE96" w:rsidR="00E32A05" w:rsidRPr="001447EA" w:rsidRDefault="00E32A05" w:rsidP="00E32A05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  <w:b/>
              </w:rPr>
              <w:t>Postoperative outcomes</w:t>
            </w:r>
          </w:p>
        </w:tc>
      </w:tr>
      <w:tr w:rsidR="00E32A05" w:rsidRPr="001447EA" w14:paraId="47549B54" w14:textId="77777777" w:rsidTr="00E32A05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E1C4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ICU LOS (h)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F3A5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49.7 (40.2-167.8)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D9CF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49.5 (22.8-73.9)</w:t>
            </w:r>
          </w:p>
        </w:tc>
      </w:tr>
      <w:tr w:rsidR="00E32A05" w:rsidRPr="001447EA" w14:paraId="101C0FD1" w14:textId="77777777" w:rsidTr="00E32A05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AEE0" w14:textId="77777777" w:rsidR="00E32A05" w:rsidRPr="001447EA" w:rsidRDefault="00E32A05" w:rsidP="00566BF7">
            <w:pPr>
              <w:ind w:right="-88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Ventilation duration (h)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742E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17.9 (4.7-114.1)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FA60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8.4 (6.1-18.7)</w:t>
            </w:r>
          </w:p>
        </w:tc>
      </w:tr>
      <w:tr w:rsidR="00E32A05" w:rsidRPr="001447EA" w14:paraId="2DFAEAE4" w14:textId="77777777" w:rsidTr="00E32A05">
        <w:trPr>
          <w:trHeight w:val="24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0E9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Hospital LOS (days)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6607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5.5 (3.5-9)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C3AE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9 (5-16)</w:t>
            </w:r>
          </w:p>
        </w:tc>
      </w:tr>
      <w:tr w:rsidR="00E32A05" w:rsidRPr="001447EA" w14:paraId="7162676D" w14:textId="77777777" w:rsidTr="00E32A05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EDB8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Death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ADB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2 (50)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4A8C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2 (11.1)</w:t>
            </w:r>
          </w:p>
        </w:tc>
      </w:tr>
      <w:tr w:rsidR="00E32A05" w:rsidRPr="001447EA" w14:paraId="759C829F" w14:textId="77777777" w:rsidTr="00E32A05">
        <w:trPr>
          <w:trHeight w:val="4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6E2DE" w14:textId="1D6668BD" w:rsidR="00E32A05" w:rsidRPr="001447EA" w:rsidRDefault="00E32A05" w:rsidP="00E32A05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  <w:b/>
              </w:rPr>
              <w:t>Tranexamic acid dosing and kinetics</w:t>
            </w:r>
          </w:p>
        </w:tc>
      </w:tr>
      <w:tr w:rsidR="00E32A05" w:rsidRPr="001447EA" w14:paraId="7F400765" w14:textId="77777777" w:rsidTr="00E32A05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6EEA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Total tranexamic acid dose (g)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BD2E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9.0 (4.8-12.2)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740F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6.8 (6-8.1)</w:t>
            </w:r>
          </w:p>
        </w:tc>
      </w:tr>
      <w:tr w:rsidR="00E32A05" w:rsidRPr="001447EA" w14:paraId="3AB96BCF" w14:textId="77777777" w:rsidTr="00566BF7">
        <w:trPr>
          <w:trHeight w:val="992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9B29" w14:textId="77777777" w:rsidR="00E32A05" w:rsidRPr="001447EA" w:rsidRDefault="00E32A05" w:rsidP="00566BF7">
            <w:pPr>
              <w:ind w:right="-88"/>
              <w:rPr>
                <w:rFonts w:ascii="Arial" w:hAnsi="Arial" w:cs="Arial"/>
                <w:sz w:val="22"/>
                <w:szCs w:val="22"/>
              </w:rPr>
            </w:pPr>
            <w:r w:rsidRPr="001447EA">
              <w:rPr>
                <w:rFonts w:ascii="Arial" w:hAnsi="Arial" w:cs="Arial"/>
                <w:sz w:val="22"/>
                <w:szCs w:val="22"/>
              </w:rPr>
              <w:t>Plasma TXA concentration range, (mg/L)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14:paraId="06155C46" w14:textId="77777777" w:rsidR="00E32A05" w:rsidRPr="001447EA" w:rsidRDefault="00E32A05" w:rsidP="00566BF7">
            <w:pPr>
              <w:jc w:val="right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CRD Stage 3</w:t>
            </w:r>
          </w:p>
          <w:p w14:paraId="7C819DE0" w14:textId="77777777" w:rsidR="00E32A05" w:rsidRPr="001447EA" w:rsidRDefault="00E32A05" w:rsidP="00566BF7">
            <w:pPr>
              <w:jc w:val="right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CRD Stage 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A046" w14:textId="77777777" w:rsidR="00E32A05" w:rsidRPr="001447EA" w:rsidRDefault="00E32A05" w:rsidP="00566BF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1B67AE" w14:textId="77777777" w:rsidR="00E32A05" w:rsidRDefault="00E32A05" w:rsidP="00566BF7">
            <w:pPr>
              <w:jc w:val="center"/>
              <w:rPr>
                <w:rFonts w:ascii="Arial" w:hAnsi="Arial" w:cs="Arial"/>
              </w:rPr>
            </w:pPr>
          </w:p>
          <w:p w14:paraId="65657EA3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184 – 267</w:t>
            </w:r>
          </w:p>
          <w:p w14:paraId="01B819F2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153 – 229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0D84" w14:textId="77777777" w:rsidR="00E32A05" w:rsidRPr="001447EA" w:rsidRDefault="00E32A05" w:rsidP="00566BF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BB4810" w14:textId="77777777" w:rsidR="00E32A05" w:rsidRDefault="00E32A05" w:rsidP="00566BF7">
            <w:pPr>
              <w:jc w:val="center"/>
              <w:rPr>
                <w:rFonts w:ascii="Arial" w:hAnsi="Arial" w:cs="Arial"/>
              </w:rPr>
            </w:pPr>
          </w:p>
          <w:p w14:paraId="4AC866C1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127 – 219</w:t>
            </w:r>
          </w:p>
          <w:p w14:paraId="051AC4E5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137 - 254</w:t>
            </w:r>
          </w:p>
        </w:tc>
      </w:tr>
      <w:tr w:rsidR="00E32A05" w:rsidRPr="001447EA" w14:paraId="0DF13489" w14:textId="77777777" w:rsidTr="00566BF7">
        <w:trPr>
          <w:trHeight w:val="332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B5A5" w14:textId="77777777" w:rsidR="00E32A05" w:rsidRPr="001447EA" w:rsidRDefault="00E32A05" w:rsidP="00566BF7">
            <w:pPr>
              <w:rPr>
                <w:rFonts w:ascii="Arial" w:hAnsi="Arial" w:cs="Arial"/>
                <w:highlight w:val="yellow"/>
              </w:rPr>
            </w:pPr>
            <w:r w:rsidRPr="001447EA">
              <w:rPr>
                <w:rFonts w:ascii="Arial" w:hAnsi="Arial" w:cs="Arial"/>
              </w:rPr>
              <w:t>TXA clearance (L/h/kg)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65CA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0.021</w:t>
            </w:r>
          </w:p>
          <w:p w14:paraId="1CCFD120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(0.018-0.028)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AD3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0.040</w:t>
            </w:r>
          </w:p>
          <w:p w14:paraId="048D1552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(0.027- 0.093)</w:t>
            </w:r>
          </w:p>
        </w:tc>
      </w:tr>
      <w:tr w:rsidR="00E32A05" w:rsidRPr="001447EA" w14:paraId="775B0225" w14:textId="77777777" w:rsidTr="00566BF7">
        <w:trPr>
          <w:trHeight w:val="24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228A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t</w:t>
            </w:r>
            <w:r w:rsidRPr="001447EA">
              <w:rPr>
                <w:rFonts w:ascii="Arial" w:hAnsi="Arial" w:cs="Arial"/>
                <w:vertAlign w:val="subscript"/>
              </w:rPr>
              <w:t>1/2</w:t>
            </w:r>
            <w:r w:rsidRPr="001447EA">
              <w:rPr>
                <w:rFonts w:ascii="Arial" w:hAnsi="Arial" w:cs="Arial"/>
              </w:rPr>
              <w:t xml:space="preserve"> (h)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FFDE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29.6 (18.6-45.1)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CBAE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3.4 (2.3-6.4)</w:t>
            </w:r>
          </w:p>
        </w:tc>
      </w:tr>
      <w:tr w:rsidR="00E32A05" w:rsidRPr="001447EA" w14:paraId="64F1E717" w14:textId="77777777" w:rsidTr="00566BF7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469D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AUC</w:t>
            </w:r>
            <w:r w:rsidRPr="001447EA">
              <w:rPr>
                <w:rFonts w:ascii="Arial" w:hAnsi="Arial" w:cs="Arial"/>
                <w:vertAlign w:val="subscript"/>
              </w:rPr>
              <w:t>∞</w:t>
            </w:r>
            <w:r>
              <w:rPr>
                <w:rFonts w:ascii="Arial" w:hAnsi="Arial" w:cs="Arial"/>
              </w:rPr>
              <w:t xml:space="preserve"> (mg/mL/</w:t>
            </w:r>
            <w:r w:rsidRPr="001447EA">
              <w:rPr>
                <w:rFonts w:ascii="Arial" w:hAnsi="Arial" w:cs="Arial"/>
              </w:rPr>
              <w:t>min)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FAEF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3650 (2784-5000)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D14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2420 (1538-3343)</w:t>
            </w:r>
          </w:p>
        </w:tc>
      </w:tr>
      <w:tr w:rsidR="00E32A05" w:rsidRPr="001447EA" w14:paraId="06605D59" w14:textId="77777777" w:rsidTr="00566BF7">
        <w:trPr>
          <w:trHeight w:val="26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0BF" w14:textId="77777777" w:rsidR="00E32A05" w:rsidRPr="001447EA" w:rsidRDefault="00E32A05" w:rsidP="00566BF7">
            <w:pPr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AUC</w:t>
            </w:r>
            <w:r w:rsidRPr="001447EA">
              <w:rPr>
                <w:rFonts w:ascii="Arial" w:hAnsi="Arial" w:cs="Arial"/>
                <w:vertAlign w:val="subscript"/>
              </w:rPr>
              <w:t xml:space="preserve">&gt;100 mg/L </w:t>
            </w:r>
            <w:r>
              <w:rPr>
                <w:rFonts w:ascii="Arial" w:hAnsi="Arial" w:cs="Arial"/>
              </w:rPr>
              <w:t xml:space="preserve"> (mg/mL/</w:t>
            </w:r>
            <w:r w:rsidRPr="001447EA">
              <w:rPr>
                <w:rFonts w:ascii="Arial" w:hAnsi="Arial" w:cs="Arial"/>
              </w:rPr>
              <w:t>min)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7EBD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880 (599-1104)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D9D9" w14:textId="77777777" w:rsidR="00E32A05" w:rsidRPr="001447EA" w:rsidRDefault="00E32A05" w:rsidP="00566BF7">
            <w:pPr>
              <w:jc w:val="center"/>
              <w:rPr>
                <w:rFonts w:ascii="Arial" w:hAnsi="Arial" w:cs="Arial"/>
              </w:rPr>
            </w:pPr>
            <w:r w:rsidRPr="001447EA">
              <w:rPr>
                <w:rFonts w:ascii="Arial" w:hAnsi="Arial" w:cs="Arial"/>
              </w:rPr>
              <w:t>666 (231-801)</w:t>
            </w:r>
          </w:p>
        </w:tc>
      </w:tr>
    </w:tbl>
    <w:p w14:paraId="39E9E564" w14:textId="449FFA5D" w:rsidR="00566BF7" w:rsidRPr="001447EA" w:rsidRDefault="00E23EAC" w:rsidP="004971AA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 w:rsidR="00566BF7" w:rsidRPr="001447EA">
        <w:rPr>
          <w:rFonts w:ascii="Arial" w:hAnsi="Arial" w:cs="Arial"/>
          <w:sz w:val="16"/>
          <w:szCs w:val="16"/>
        </w:rPr>
        <w:t>Median, lowest and highest tranexamic acid concentration seen between 5 min post bolus administration to chest closure in class 3 and 5 chronic renal dysfunction patients</w:t>
      </w:r>
      <w:r w:rsidR="00566BF7">
        <w:rPr>
          <w:rFonts w:ascii="Arial" w:hAnsi="Arial" w:cs="Arial"/>
          <w:sz w:val="16"/>
          <w:szCs w:val="16"/>
        </w:rPr>
        <w:t>.</w:t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</w:r>
      <w:r w:rsidR="004971AA">
        <w:rPr>
          <w:rFonts w:ascii="Arial" w:hAnsi="Arial" w:cs="Arial"/>
          <w:sz w:val="16"/>
          <w:szCs w:val="16"/>
        </w:rPr>
        <w:tab/>
        <w:t xml:space="preserve">                </w:t>
      </w:r>
      <w:r w:rsidR="00566BF7" w:rsidRPr="001447EA">
        <w:rPr>
          <w:rFonts w:ascii="Arial" w:hAnsi="Arial" w:cs="Arial"/>
          <w:sz w:val="16"/>
          <w:szCs w:val="16"/>
        </w:rPr>
        <w:t xml:space="preserve">Continuous values reported as median (inter-quartile range) and categorical values reported as number (percentage). </w:t>
      </w:r>
      <w:r w:rsidR="004971AA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566BF7" w:rsidRPr="001447EA">
        <w:rPr>
          <w:rFonts w:ascii="Arial" w:hAnsi="Arial" w:cs="Arial"/>
          <w:sz w:val="16"/>
          <w:szCs w:val="16"/>
        </w:rPr>
        <w:t>LV Left ventricle; CRD Chronic renal dysfuncti</w:t>
      </w:r>
      <w:bookmarkStart w:id="0" w:name="_GoBack"/>
      <w:bookmarkEnd w:id="0"/>
      <w:r w:rsidR="00566BF7" w:rsidRPr="001447EA">
        <w:rPr>
          <w:rFonts w:ascii="Arial" w:hAnsi="Arial" w:cs="Arial"/>
          <w:sz w:val="16"/>
          <w:szCs w:val="16"/>
        </w:rPr>
        <w:t>on; TXA Tranexamic acid; LOS Length of stay; ICU Intensive Care Unit; AUC Area under curve</w:t>
      </w:r>
    </w:p>
    <w:p w14:paraId="5D1200CC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  <w:r w:rsidRPr="001447EA">
        <w:rPr>
          <w:rFonts w:ascii="Arial" w:hAnsi="Arial" w:cs="Arial"/>
          <w:b/>
        </w:rPr>
        <w:t xml:space="preserve">  </w:t>
      </w:r>
    </w:p>
    <w:p w14:paraId="16B5794A" w14:textId="77777777" w:rsidR="00E23EAC" w:rsidRDefault="00E23EAC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4AFAC3EE" w14:textId="77777777" w:rsidR="00E23EAC" w:rsidRDefault="00E23EAC" w:rsidP="005A753F">
      <w:pPr>
        <w:spacing w:line="480" w:lineRule="auto"/>
        <w:jc w:val="both"/>
        <w:rPr>
          <w:rFonts w:ascii="Arial" w:hAnsi="Arial" w:cs="Arial"/>
          <w:b/>
        </w:rPr>
        <w:sectPr w:rsidR="00E23EAC" w:rsidSect="00566BF7">
          <w:pgSz w:w="12240" w:h="15840"/>
          <w:pgMar w:top="720" w:right="720" w:bottom="720" w:left="720" w:header="720" w:footer="720" w:gutter="0"/>
          <w:cols w:space="720"/>
        </w:sectPr>
      </w:pPr>
    </w:p>
    <w:p w14:paraId="113B5635" w14:textId="77777777" w:rsidR="00E23EAC" w:rsidRDefault="00E23EAC" w:rsidP="005A753F">
      <w:pPr>
        <w:spacing w:line="480" w:lineRule="auto"/>
        <w:jc w:val="both"/>
        <w:rPr>
          <w:rFonts w:ascii="Arial" w:hAnsi="Arial" w:cs="Arial"/>
          <w:b/>
        </w:rPr>
      </w:pPr>
      <w:r w:rsidRPr="001447EA">
        <w:rPr>
          <w:rFonts w:ascii="Arial" w:hAnsi="Arial" w:cs="Arial"/>
          <w:b/>
        </w:rPr>
        <w:t xml:space="preserve">Table </w:t>
      </w:r>
      <w:r w:rsidR="0098621E">
        <w:rPr>
          <w:rFonts w:ascii="Arial" w:hAnsi="Arial" w:cs="Arial"/>
          <w:b/>
        </w:rPr>
        <w:t>3</w:t>
      </w:r>
      <w:r w:rsidRPr="001447EA">
        <w:rPr>
          <w:rFonts w:ascii="Arial" w:hAnsi="Arial" w:cs="Arial"/>
          <w:b/>
        </w:rPr>
        <w:t xml:space="preserve">  </w:t>
      </w:r>
    </w:p>
    <w:tbl>
      <w:tblPr>
        <w:tblW w:w="1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9"/>
        <w:gridCol w:w="736"/>
        <w:gridCol w:w="1134"/>
        <w:gridCol w:w="682"/>
        <w:gridCol w:w="709"/>
        <w:gridCol w:w="877"/>
        <w:gridCol w:w="682"/>
        <w:gridCol w:w="567"/>
        <w:gridCol w:w="877"/>
        <w:gridCol w:w="682"/>
        <w:gridCol w:w="709"/>
        <w:gridCol w:w="877"/>
        <w:gridCol w:w="682"/>
        <w:gridCol w:w="878"/>
        <w:gridCol w:w="1134"/>
        <w:gridCol w:w="992"/>
      </w:tblGrid>
      <w:tr w:rsidR="00E23EAC" w:rsidRPr="001447EA" w14:paraId="5AFC50F2" w14:textId="77777777" w:rsidTr="00E23EAC">
        <w:trPr>
          <w:trHeight w:val="340"/>
        </w:trPr>
        <w:tc>
          <w:tcPr>
            <w:tcW w:w="118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C66F37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Model</w:t>
            </w:r>
          </w:p>
          <w:p w14:paraId="0495F4C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</w:p>
        </w:tc>
        <w:tc>
          <w:tcPr>
            <w:tcW w:w="736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7DBDE5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OFV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2525" w:type="dxa"/>
            <w:gridSpan w:val="3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8EC9E7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CL</w:t>
            </w:r>
            <w:r w:rsidRPr="001447EA">
              <w:rPr>
                <w:rFonts w:ascii="Arial" w:hAnsi="Arial" w:cs="Arial"/>
                <w:b/>
                <w:bCs/>
                <w:sz w:val="20"/>
                <w:vertAlign w:val="subscript"/>
                <w:lang w:val="en-US"/>
              </w:rPr>
              <w:t xml:space="preserve"> </w:t>
            </w: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(L/h/kg)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88841A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V</w:t>
            </w:r>
            <w:r w:rsidRPr="001447EA">
              <w:rPr>
                <w:rFonts w:ascii="Arial" w:hAnsi="Arial" w:cs="Arial"/>
                <w:b/>
                <w:bCs/>
                <w:sz w:val="20"/>
                <w:vertAlign w:val="subscript"/>
                <w:lang w:val="en-US"/>
              </w:rPr>
              <w:t>1</w:t>
            </w: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(L/kg)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E4B784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CL</w:t>
            </w:r>
            <w:r w:rsidRPr="001447EA">
              <w:rPr>
                <w:rFonts w:ascii="Arial" w:hAnsi="Arial" w:cs="Arial"/>
                <w:b/>
                <w:bCs/>
                <w:sz w:val="20"/>
                <w:vertAlign w:val="subscript"/>
                <w:lang w:val="en-US"/>
              </w:rPr>
              <w:t xml:space="preserve">12 </w:t>
            </w: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or CL</w:t>
            </w:r>
            <w:r w:rsidRPr="001447EA">
              <w:rPr>
                <w:rFonts w:ascii="Arial" w:hAnsi="Arial" w:cs="Arial"/>
                <w:b/>
                <w:bCs/>
                <w:sz w:val="20"/>
                <w:vertAlign w:val="subscript"/>
                <w:lang w:val="en-US"/>
              </w:rPr>
              <w:t xml:space="preserve">21 </w:t>
            </w: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(L/h/kg)</w:t>
            </w:r>
          </w:p>
        </w:tc>
        <w:tc>
          <w:tcPr>
            <w:tcW w:w="2437" w:type="dxa"/>
            <w:gridSpan w:val="3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0517EF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V</w:t>
            </w:r>
            <w:r w:rsidRPr="001447EA">
              <w:rPr>
                <w:rFonts w:ascii="Arial" w:hAnsi="Arial" w:cs="Arial"/>
                <w:b/>
                <w:bCs/>
                <w:sz w:val="20"/>
                <w:vertAlign w:val="subscript"/>
                <w:lang w:val="en-US"/>
              </w:rPr>
              <w:t>2</w:t>
            </w: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(L/kg)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1801D98" w14:textId="77777777" w:rsidR="00E23EAC" w:rsidRPr="00E23EAC" w:rsidRDefault="00E23EAC" w:rsidP="00E23EAC">
            <w:pPr>
              <w:jc w:val="center"/>
              <w:rPr>
                <w:rFonts w:ascii="Times" w:eastAsia="Times New Roman" w:hAnsi="Times"/>
                <w:sz w:val="20"/>
                <w:lang w:val="en-US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Residual Variability </w:t>
            </w:r>
            <w:r w:rsidRPr="00E23EAC">
              <w:rPr>
                <w:rFonts w:ascii="Helvetica Neue" w:eastAsia="Times New Roman" w:hAnsi="Helvetica Neue"/>
                <w:color w:val="000000"/>
                <w:shd w:val="clear" w:color="auto" w:fill="FFFFFF"/>
                <w:vertAlign w:val="superscript"/>
                <w:lang w:val="en-US"/>
              </w:rPr>
              <w:t>||</w:t>
            </w:r>
          </w:p>
        </w:tc>
      </w:tr>
      <w:tr w:rsidR="00E23EAC" w:rsidRPr="001447EA" w14:paraId="0725FF82" w14:textId="77777777" w:rsidTr="00E23EAC">
        <w:trPr>
          <w:trHeight w:val="767"/>
        </w:trPr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1CBA302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2DD612A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89632E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Value</w:t>
            </w:r>
          </w:p>
          <w:p w14:paraId="052BEEDD" w14:textId="77777777" w:rsidR="00E23EAC" w:rsidRPr="00E23EAC" w:rsidRDefault="00E23EAC" w:rsidP="00E23EAC">
            <w:pPr>
              <w:rPr>
                <w:rFonts w:ascii="Times" w:eastAsia="Times New Roman" w:hAnsi="Times"/>
                <w:sz w:val="20"/>
                <w:lang w:val="en-US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±RSD%</w:t>
            </w:r>
            <w:r w:rsidRPr="00E23EAC">
              <w:rPr>
                <w:rFonts w:ascii="Helvetica Neue" w:eastAsia="Times New Roman" w:hAnsi="Helvetica Neue"/>
                <w:color w:val="000000"/>
                <w:shd w:val="clear" w:color="auto" w:fill="FFFFFF"/>
                <w:vertAlign w:val="superscript"/>
                <w:lang w:val="en-US"/>
              </w:rPr>
              <w:t>†</w:t>
            </w:r>
          </w:p>
          <w:p w14:paraId="01773C1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64869AF" w14:textId="77777777" w:rsidR="00E23EAC" w:rsidRPr="00E23EAC" w:rsidRDefault="00E23EAC" w:rsidP="00E23EAC">
            <w:pPr>
              <w:rPr>
                <w:rFonts w:ascii="Times" w:eastAsia="Times New Roman" w:hAnsi="Times"/>
                <w:sz w:val="20"/>
                <w:lang w:val="en-US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BSV</w:t>
            </w:r>
            <w:r w:rsidRPr="00E23EAC">
              <w:rPr>
                <w:rFonts w:ascii="Helvetica Neue" w:eastAsia="Times New Roman" w:hAnsi="Helvetica Neue"/>
                <w:color w:val="000000"/>
                <w:shd w:val="clear" w:color="auto" w:fill="FFFFFF"/>
                <w:vertAlign w:val="superscript"/>
                <w:lang w:val="en-US"/>
              </w:rPr>
              <w:t>‡</w:t>
            </w:r>
          </w:p>
          <w:p w14:paraId="330B550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4CA263E" w14:textId="77777777" w:rsidR="00E23EAC" w:rsidRPr="00E23EAC" w:rsidRDefault="00E23EAC" w:rsidP="00E23EAC">
            <w:pPr>
              <w:jc w:val="center"/>
              <w:rPr>
                <w:rFonts w:ascii="Times" w:eastAsia="Times New Roman" w:hAnsi="Times"/>
                <w:sz w:val="20"/>
                <w:lang w:val="en-US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</w:t>
            </w:r>
            <w:r w:rsidRPr="00E23EAC">
              <w:rPr>
                <w:rFonts w:ascii="Helvetica Neue" w:eastAsia="Times New Roman" w:hAnsi="Helvetica Neue"/>
                <w:color w:val="000000"/>
                <w:shd w:val="clear" w:color="auto" w:fill="FFFFFF"/>
                <w:vertAlign w:val="superscript"/>
                <w:lang w:val="en-US"/>
              </w:rPr>
              <w:t>§</w:t>
            </w:r>
          </w:p>
          <w:p w14:paraId="6A29E88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4CB1C6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Value</w:t>
            </w:r>
          </w:p>
          <w:p w14:paraId="5F0D513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±RSD%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CF194D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BSV%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AE8624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</w:t>
            </w:r>
          </w:p>
          <w:p w14:paraId="400F645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989EF2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Value</w:t>
            </w:r>
          </w:p>
          <w:p w14:paraId="2BA924F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±RSD%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2FC7B4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BSV%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B12920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</w:t>
            </w:r>
          </w:p>
          <w:p w14:paraId="1278458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B10D83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Value</w:t>
            </w:r>
          </w:p>
          <w:p w14:paraId="40436CF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±RSD%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5B8991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BSV%</w:t>
            </w:r>
          </w:p>
        </w:tc>
        <w:tc>
          <w:tcPr>
            <w:tcW w:w="878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5D62B9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</w:t>
            </w:r>
          </w:p>
          <w:p w14:paraId="44536C6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F73048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Value</w:t>
            </w:r>
          </w:p>
          <w:p w14:paraId="0A82CAE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±RSD%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6AFABE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</w:t>
            </w:r>
          </w:p>
          <w:p w14:paraId="2C63AE6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 w:rsidRPr="001447EA">
              <w:rPr>
                <w:rFonts w:ascii="Arial" w:hAnsi="Arial" w:cs="Arial"/>
                <w:b/>
                <w:bCs/>
                <w:sz w:val="20"/>
                <w:lang w:val="en-US"/>
              </w:rPr>
              <w:t>%</w:t>
            </w:r>
          </w:p>
        </w:tc>
      </w:tr>
      <w:tr w:rsidR="00E23EAC" w:rsidRPr="001447EA" w14:paraId="2990445D" w14:textId="77777777" w:rsidTr="00E23EAC">
        <w:trPr>
          <w:trHeight w:val="503"/>
        </w:trPr>
        <w:tc>
          <w:tcPr>
            <w:tcW w:w="1189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7C7D526" w14:textId="77777777" w:rsidR="00E23EAC" w:rsidRPr="00BA379C" w:rsidRDefault="00E23EAC" w:rsidP="00E23EAC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Base Model</w:t>
            </w:r>
          </w:p>
          <w:p w14:paraId="2848F21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(Model I)</w:t>
            </w:r>
          </w:p>
        </w:tc>
        <w:tc>
          <w:tcPr>
            <w:tcW w:w="736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17D1E2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 xml:space="preserve">5123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7FB5D7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0.0412</w:t>
            </w:r>
          </w:p>
          <w:p w14:paraId="513CA1A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±12.6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E114E5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16.3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8F749E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5.7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1DBFFA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0.117</w:t>
            </w:r>
          </w:p>
          <w:p w14:paraId="4FEAD15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±11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E6D576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17.1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3C027F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12.9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DC95B0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0.140</w:t>
            </w:r>
          </w:p>
          <w:p w14:paraId="70B6463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±14.1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BB116B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17.1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3C1E0E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22.4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FDE812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0.248</w:t>
            </w:r>
          </w:p>
          <w:p w14:paraId="460E3AB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±9.4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AF0690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18.4</w:t>
            </w:r>
          </w:p>
        </w:tc>
        <w:tc>
          <w:tcPr>
            <w:tcW w:w="878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3FB3CB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24.9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855114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0.201</w:t>
            </w:r>
          </w:p>
          <w:p w14:paraId="3284674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±2.3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C7AAEC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10.3</w:t>
            </w:r>
          </w:p>
        </w:tc>
      </w:tr>
      <w:tr w:rsidR="00E23EAC" w:rsidRPr="001447EA" w14:paraId="78680E0B" w14:textId="77777777" w:rsidTr="00E23EAC">
        <w:trPr>
          <w:trHeight w:val="503"/>
        </w:trPr>
        <w:tc>
          <w:tcPr>
            <w:tcW w:w="118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E9B7A7B" w14:textId="77777777" w:rsidR="00E23EAC" w:rsidRPr="008A4A09" w:rsidRDefault="00E23EAC" w:rsidP="008A4A09">
            <w:pPr>
              <w:jc w:val="center"/>
              <w:rPr>
                <w:rFonts w:ascii="Times" w:eastAsia="Times New Roman" w:hAnsi="Times"/>
                <w:sz w:val="20"/>
                <w:lang w:val="en-US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Add eGFR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  <w:t xml:space="preserve"> R</w:t>
            </w:r>
            <w:r w:rsidR="008A4A09" w:rsidRPr="008A4A09">
              <w:rPr>
                <w:rFonts w:ascii="Helvetica Neue" w:eastAsia="Times New Roman" w:hAnsi="Helvetica Neue"/>
                <w:color w:val="000000"/>
                <w:shd w:val="clear" w:color="auto" w:fill="FFFFFF"/>
                <w:vertAlign w:val="superscript"/>
                <w:lang w:val="en-US"/>
              </w:rPr>
              <w:t>#</w:t>
            </w:r>
            <w:r w:rsidR="008A4A09">
              <w:rPr>
                <w:rFonts w:ascii="Helvetica Neue" w:eastAsia="Times New Roman" w:hAnsi="Helvetica Neue"/>
                <w:color w:val="000000"/>
                <w:shd w:val="clear" w:color="auto" w:fill="FFFFFF"/>
                <w:vertAlign w:val="superscript"/>
                <w:lang w:val="en-US"/>
              </w:rPr>
              <w:t xml:space="preserve"> 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on CL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  <w:t>1</w:t>
            </w:r>
          </w:p>
          <w:p w14:paraId="4DB67A3A" w14:textId="77777777" w:rsidR="00E23EAC" w:rsidRPr="001447EA" w:rsidRDefault="00E23EAC" w:rsidP="008A4A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(Model II)</w:t>
            </w:r>
          </w:p>
        </w:tc>
        <w:tc>
          <w:tcPr>
            <w:tcW w:w="736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C7BF01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4516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9B6873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0.0545</w:t>
            </w:r>
          </w:p>
          <w:p w14:paraId="1A6DE8F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±8.2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58F87C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8.7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E599A2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4.7</w:t>
            </w:r>
          </w:p>
        </w:tc>
        <w:tc>
          <w:tcPr>
            <w:tcW w:w="87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E7C1D2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0.115</w:t>
            </w:r>
          </w:p>
          <w:p w14:paraId="7A77C14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±12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F3EA5B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15.7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168777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16.0</w:t>
            </w:r>
          </w:p>
        </w:tc>
        <w:tc>
          <w:tcPr>
            <w:tcW w:w="87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FBBA7C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0.130</w:t>
            </w:r>
          </w:p>
          <w:p w14:paraId="7D1F98A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±16.2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030994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21.0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374D6B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22.7</w:t>
            </w:r>
          </w:p>
        </w:tc>
        <w:tc>
          <w:tcPr>
            <w:tcW w:w="87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45D09F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0.229</w:t>
            </w:r>
          </w:p>
          <w:p w14:paraId="1054DF8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±9.2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310868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14.8</w:t>
            </w:r>
          </w:p>
        </w:tc>
        <w:tc>
          <w:tcPr>
            <w:tcW w:w="878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C06ABC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12.2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6F817D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0.206</w:t>
            </w:r>
          </w:p>
          <w:p w14:paraId="66B6FE8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±2.1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54E503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6.8</w:t>
            </w:r>
          </w:p>
        </w:tc>
      </w:tr>
      <w:tr w:rsidR="00E23EAC" w:rsidRPr="001447EA" w14:paraId="353F1CFF" w14:textId="77777777" w:rsidTr="00E23EAC">
        <w:trPr>
          <w:trHeight w:val="344"/>
        </w:trPr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4AEFA17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6611908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AE20CB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</w:t>
            </w:r>
            <w:r w:rsidRPr="001447EA">
              <w:rPr>
                <w:rFonts w:ascii="Arial" w:hAnsi="Arial" w:cs="Arial"/>
                <w:sz w:val="20"/>
                <w:vertAlign w:val="subscript"/>
                <w:lang w:val="en-US"/>
              </w:rPr>
              <w:t>1</w:t>
            </w:r>
            <w:r w:rsidRPr="001447EA">
              <w:rPr>
                <w:rFonts w:ascii="Arial" w:hAnsi="Arial" w:cs="Arial"/>
                <w:sz w:val="20"/>
                <w:lang w:val="en-US"/>
              </w:rPr>
              <w:t>=1 (assigned, same as fitted)</w:t>
            </w: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5D0DBBF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2F1C30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14:paraId="3FD3055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1D8167F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87E953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14:paraId="7B2F766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66DE77A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FA135E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14:paraId="669CEE6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2D71B99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  <w:hideMark/>
          </w:tcPr>
          <w:p w14:paraId="7EEA5C4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FE2077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D4683E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E23EAC" w:rsidRPr="001447EA" w14:paraId="63EBDE74" w14:textId="77777777" w:rsidTr="00E23EAC">
        <w:trPr>
          <w:trHeight w:val="503"/>
        </w:trPr>
        <w:tc>
          <w:tcPr>
            <w:tcW w:w="118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1482193" w14:textId="77777777" w:rsidR="00E23EAC" w:rsidRPr="00BA379C" w:rsidRDefault="00E23EAC" w:rsidP="00E23EAC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Add eGFR on CL &amp; V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  <w:t>1</w:t>
            </w:r>
          </w:p>
          <w:p w14:paraId="573CF46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(Model III)</w:t>
            </w:r>
          </w:p>
        </w:tc>
        <w:tc>
          <w:tcPr>
            <w:tcW w:w="736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8799BE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4535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C5F413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0.0567</w:t>
            </w:r>
          </w:p>
          <w:p w14:paraId="7D54BED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±8.8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729B68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3.9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64C98C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3.8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38E29E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0.119</w:t>
            </w:r>
          </w:p>
          <w:p w14:paraId="0FE9E5A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±11.8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B1ADDC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16.6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0BAED0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14.3</w:t>
            </w:r>
          </w:p>
        </w:tc>
        <w:tc>
          <w:tcPr>
            <w:tcW w:w="87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E2478F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0.127</w:t>
            </w:r>
          </w:p>
          <w:p w14:paraId="6842728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±16.7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8307F1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21.2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789156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23.2</w:t>
            </w:r>
          </w:p>
        </w:tc>
        <w:tc>
          <w:tcPr>
            <w:tcW w:w="87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10643F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0.213</w:t>
            </w:r>
          </w:p>
          <w:p w14:paraId="286B36A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±9.4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41B595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12.7</w:t>
            </w:r>
          </w:p>
        </w:tc>
        <w:tc>
          <w:tcPr>
            <w:tcW w:w="878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83E2CF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8.4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44F4CC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0.207</w:t>
            </w:r>
          </w:p>
          <w:p w14:paraId="11415AB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±2.5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341F1F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8.9</w:t>
            </w:r>
          </w:p>
        </w:tc>
      </w:tr>
      <w:tr w:rsidR="00E23EAC" w:rsidRPr="001447EA" w14:paraId="4401943A" w14:textId="77777777" w:rsidTr="00E23EAC">
        <w:trPr>
          <w:trHeight w:val="754"/>
        </w:trPr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6AC1E68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2BB683F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3F1854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</w:t>
            </w:r>
            <w:r w:rsidRPr="001447EA">
              <w:rPr>
                <w:rFonts w:ascii="Arial" w:hAnsi="Arial" w:cs="Arial"/>
                <w:sz w:val="20"/>
                <w:vertAlign w:val="subscript"/>
                <w:lang w:val="en-US"/>
              </w:rPr>
              <w:t>1</w:t>
            </w:r>
            <w:r w:rsidRPr="001447EA">
              <w:rPr>
                <w:rFonts w:ascii="Arial" w:hAnsi="Arial" w:cs="Arial"/>
                <w:sz w:val="20"/>
                <w:lang w:val="en-US"/>
              </w:rPr>
              <w:t>=1 (assigned)</w:t>
            </w: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3392D9D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3BD1B2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8C66FA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</w:t>
            </w:r>
            <w:r w:rsidRPr="001447EA">
              <w:rPr>
                <w:rFonts w:ascii="Arial" w:hAnsi="Arial" w:cs="Arial"/>
                <w:sz w:val="20"/>
                <w:vertAlign w:val="subscript"/>
                <w:lang w:val="en-US"/>
              </w:rPr>
              <w:t xml:space="preserve"> 2</w:t>
            </w:r>
            <w:r w:rsidRPr="001447EA">
              <w:rPr>
                <w:rFonts w:ascii="Arial" w:hAnsi="Arial" w:cs="Arial"/>
                <w:sz w:val="20"/>
                <w:lang w:val="en-US"/>
              </w:rPr>
              <w:t>=</w:t>
            </w:r>
          </w:p>
          <w:p w14:paraId="5FB6D32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0.0731</w:t>
            </w:r>
          </w:p>
          <w:p w14:paraId="03D0604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±92.5</w:t>
            </w: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6C0B6CF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D5F6D3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14:paraId="20EE713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767AEDD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503A2F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14:paraId="5790487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5539739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  <w:hideMark/>
          </w:tcPr>
          <w:p w14:paraId="1814710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341C99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DDFF68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E23EAC" w:rsidRPr="001447EA" w14:paraId="00F2E7E7" w14:textId="77777777" w:rsidTr="00E23EAC">
        <w:trPr>
          <w:trHeight w:val="503"/>
        </w:trPr>
        <w:tc>
          <w:tcPr>
            <w:tcW w:w="118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BA0403A" w14:textId="77777777" w:rsidR="00E23EAC" w:rsidRPr="00BA379C" w:rsidRDefault="00E23EAC" w:rsidP="00E23EAC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Add eGFR on CL &amp; CL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  <w:t xml:space="preserve">12 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or CL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  <w:t>21</w:t>
            </w:r>
          </w:p>
          <w:p w14:paraId="1DCCABA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(Model IV)</w:t>
            </w:r>
          </w:p>
        </w:tc>
        <w:tc>
          <w:tcPr>
            <w:tcW w:w="736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FE2743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4493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D92666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0.056</w:t>
            </w:r>
          </w:p>
          <w:p w14:paraId="346F959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±9.1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7CAE50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8.6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DC1EEB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4.1</w:t>
            </w:r>
          </w:p>
        </w:tc>
        <w:tc>
          <w:tcPr>
            <w:tcW w:w="87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3F0289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0.115</w:t>
            </w:r>
          </w:p>
          <w:p w14:paraId="7F520C9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±12.7</w:t>
            </w:r>
          </w:p>
          <w:p w14:paraId="09B9A74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252AE5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18.4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8F7739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15.4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81A008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0.126</w:t>
            </w:r>
          </w:p>
          <w:p w14:paraId="58924BD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±19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F74AEC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20.1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A6103A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22</w:t>
            </w:r>
          </w:p>
        </w:tc>
        <w:tc>
          <w:tcPr>
            <w:tcW w:w="87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6D6A42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0.213</w:t>
            </w:r>
          </w:p>
          <w:p w14:paraId="6363DDE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±10.4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945E00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13.7</w:t>
            </w:r>
          </w:p>
        </w:tc>
        <w:tc>
          <w:tcPr>
            <w:tcW w:w="878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8B0745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46B000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0.206</w:t>
            </w:r>
          </w:p>
          <w:p w14:paraId="17EBB8C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±2.4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91D37C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7.8</w:t>
            </w:r>
          </w:p>
        </w:tc>
      </w:tr>
      <w:tr w:rsidR="00E23EAC" w:rsidRPr="001447EA" w14:paraId="3D36858C" w14:textId="77777777" w:rsidTr="00E23EAC">
        <w:trPr>
          <w:trHeight w:val="720"/>
        </w:trPr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01B74B6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6FD3A67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5A74EC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</w:t>
            </w:r>
            <w:r w:rsidRPr="001447EA">
              <w:rPr>
                <w:rFonts w:ascii="Arial" w:hAnsi="Arial" w:cs="Arial"/>
                <w:sz w:val="20"/>
                <w:vertAlign w:val="subscript"/>
                <w:lang w:val="en-US"/>
              </w:rPr>
              <w:t>1</w:t>
            </w:r>
            <w:r w:rsidRPr="001447EA">
              <w:rPr>
                <w:rFonts w:ascii="Arial" w:hAnsi="Arial" w:cs="Arial"/>
                <w:sz w:val="20"/>
                <w:lang w:val="en-US"/>
              </w:rPr>
              <w:t>=1 (assigned)</w:t>
            </w: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1E871F5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0C8F7C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14:paraId="78D79F6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030C39F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719A90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E755C2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</w:t>
            </w:r>
            <w:r w:rsidRPr="001447EA">
              <w:rPr>
                <w:rFonts w:ascii="Arial" w:hAnsi="Arial" w:cs="Arial"/>
                <w:sz w:val="20"/>
                <w:vertAlign w:val="subscript"/>
                <w:lang w:val="en-US"/>
              </w:rPr>
              <w:t>3</w:t>
            </w:r>
            <w:r w:rsidRPr="001447EA">
              <w:rPr>
                <w:rFonts w:ascii="Arial" w:hAnsi="Arial" w:cs="Arial"/>
                <w:sz w:val="20"/>
                <w:lang w:val="en-US"/>
              </w:rPr>
              <w:t>=0</w:t>
            </w:r>
          </w:p>
          <w:p w14:paraId="775C943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±25000</w:t>
            </w: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35AE765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0FFC82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14:paraId="6FADFEA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010FCE0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  <w:hideMark/>
          </w:tcPr>
          <w:p w14:paraId="5660855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FE8326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9E33A0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E23EAC" w:rsidRPr="001447EA" w14:paraId="180CBC70" w14:textId="77777777" w:rsidTr="00E23EAC">
        <w:trPr>
          <w:trHeight w:val="754"/>
        </w:trPr>
        <w:tc>
          <w:tcPr>
            <w:tcW w:w="118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FAE259F" w14:textId="77777777" w:rsidR="00E23EAC" w:rsidRPr="00BA379C" w:rsidRDefault="00E23EAC" w:rsidP="00E23EAC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Add eGFR on CL &amp; RISK</w:t>
            </w:r>
            <w:r w:rsidR="008A4A09">
              <w:rPr>
                <w:rFonts w:ascii="Arial" w:hAnsi="Arial" w:cs="Arial"/>
                <w:b/>
                <w:bCs/>
                <w:sz w:val="20"/>
                <w:szCs w:val="18"/>
                <w:vertAlign w:val="superscript"/>
                <w:lang w:val="en-US"/>
              </w:rPr>
              <w:t>**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on V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  <w:t>1</w:t>
            </w:r>
          </w:p>
          <w:p w14:paraId="06E635D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(Model V)</w:t>
            </w:r>
          </w:p>
        </w:tc>
        <w:tc>
          <w:tcPr>
            <w:tcW w:w="736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8ABE39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4526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5475FC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0.0481</w:t>
            </w:r>
          </w:p>
          <w:p w14:paraId="1E31AD5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±9.4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2D45D0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10.4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8013DF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4.9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2B2182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V</w:t>
            </w:r>
            <w:r w:rsidRPr="001447EA">
              <w:rPr>
                <w:rFonts w:ascii="Arial" w:hAnsi="Arial" w:cs="Arial"/>
                <w:sz w:val="20"/>
                <w:vertAlign w:val="subscript"/>
                <w:lang w:val="en-US"/>
              </w:rPr>
              <w:t>1H</w:t>
            </w:r>
            <w:r w:rsidRPr="001447EA">
              <w:rPr>
                <w:rFonts w:ascii="Arial" w:hAnsi="Arial" w:cs="Arial"/>
                <w:sz w:val="20"/>
                <w:lang w:val="en-US"/>
              </w:rPr>
              <w:t>= 0.0972</w:t>
            </w:r>
          </w:p>
          <w:p w14:paraId="45553C3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±12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1F44F6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14.4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497874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18.3</w:t>
            </w:r>
          </w:p>
        </w:tc>
        <w:tc>
          <w:tcPr>
            <w:tcW w:w="87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42C71E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0.128</w:t>
            </w:r>
          </w:p>
          <w:p w14:paraId="381A619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±22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71FB4C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15.2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668047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19.4</w:t>
            </w:r>
          </w:p>
        </w:tc>
        <w:tc>
          <w:tcPr>
            <w:tcW w:w="87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F80744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0.247 ±9.4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DFA2F0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20.3</w:t>
            </w:r>
          </w:p>
        </w:tc>
        <w:tc>
          <w:tcPr>
            <w:tcW w:w="878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1EAC17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14.2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60D96C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0.204</w:t>
            </w:r>
          </w:p>
          <w:p w14:paraId="125D226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±2.1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9FCF34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5.2</w:t>
            </w:r>
          </w:p>
        </w:tc>
      </w:tr>
      <w:tr w:rsidR="00E23EAC" w:rsidRPr="001447EA" w14:paraId="537036D7" w14:textId="77777777" w:rsidTr="00E23EAC">
        <w:trPr>
          <w:trHeight w:val="754"/>
        </w:trPr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3BA5D48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63D70F9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C7DF7C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1798A5E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6206ED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54A3B7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V</w:t>
            </w:r>
            <w:r w:rsidRPr="001447EA">
              <w:rPr>
                <w:rFonts w:ascii="Arial" w:hAnsi="Arial" w:cs="Arial"/>
                <w:sz w:val="20"/>
                <w:vertAlign w:val="subscript"/>
                <w:lang w:val="en-US"/>
              </w:rPr>
              <w:t>1L</w:t>
            </w:r>
            <w:r w:rsidRPr="001447EA">
              <w:rPr>
                <w:rFonts w:ascii="Arial" w:hAnsi="Arial" w:cs="Arial"/>
                <w:sz w:val="20"/>
                <w:lang w:val="en-US"/>
              </w:rPr>
              <w:t>= 0.129</w:t>
            </w:r>
          </w:p>
          <w:p w14:paraId="7BD78DD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±13.3</w:t>
            </w: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1769032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2AB338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14:paraId="6CE5AB7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41F109F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718390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14:paraId="575165E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68BF92B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  <w:hideMark/>
          </w:tcPr>
          <w:p w14:paraId="186BF54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0ADA89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29961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E23EAC" w:rsidRPr="001447EA" w14:paraId="258F5F99" w14:textId="77777777" w:rsidTr="00E23EAC">
        <w:trPr>
          <w:trHeight w:val="535"/>
        </w:trPr>
        <w:tc>
          <w:tcPr>
            <w:tcW w:w="118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2F4C1D1" w14:textId="77777777" w:rsidR="00E23EAC" w:rsidRPr="00BA379C" w:rsidRDefault="00E23EAC" w:rsidP="00E23EAC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Add eGFR on CL &amp; Risk on V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  <w:t>1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and CL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  <w:t xml:space="preserve">12 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or CL</w:t>
            </w:r>
            <w:r w:rsidRPr="00BA379C"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val="en-US"/>
              </w:rPr>
              <w:t>21</w:t>
            </w:r>
          </w:p>
          <w:p w14:paraId="52BC39B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(Model VI)</w:t>
            </w:r>
          </w:p>
        </w:tc>
        <w:tc>
          <w:tcPr>
            <w:tcW w:w="736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9FE92D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3311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6553EB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0.0625</w:t>
            </w:r>
          </w:p>
          <w:p w14:paraId="1F54CEA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±10.2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389798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11.5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C08BA4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9.9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5DE845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V</w:t>
            </w:r>
            <w:r w:rsidRPr="001447EA">
              <w:rPr>
                <w:rFonts w:ascii="Arial" w:hAnsi="Arial" w:cs="Arial"/>
                <w:sz w:val="20"/>
                <w:vertAlign w:val="subscript"/>
                <w:lang w:val="en-US"/>
              </w:rPr>
              <w:t>1H</w:t>
            </w:r>
            <w:r w:rsidRPr="001447EA">
              <w:rPr>
                <w:rFonts w:ascii="Arial" w:hAnsi="Arial" w:cs="Arial"/>
                <w:sz w:val="20"/>
                <w:lang w:val="en-US"/>
              </w:rPr>
              <w:t>= 0.0354</w:t>
            </w:r>
          </w:p>
          <w:p w14:paraId="1487DBF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±37.3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B0D7A5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22.6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F1AB0D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36.1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DFE4CF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CL</w:t>
            </w:r>
            <w:r w:rsidRPr="001447EA">
              <w:rPr>
                <w:rFonts w:ascii="Arial" w:hAnsi="Arial" w:cs="Arial"/>
                <w:bCs/>
                <w:sz w:val="20"/>
                <w:vertAlign w:val="subscript"/>
                <w:lang w:val="en-US"/>
              </w:rPr>
              <w:t>2H</w:t>
            </w:r>
            <w:r w:rsidRPr="001447EA">
              <w:rPr>
                <w:rFonts w:ascii="Arial" w:hAnsi="Arial" w:cs="Arial"/>
                <w:bCs/>
                <w:sz w:val="20"/>
                <w:lang w:val="en-US"/>
              </w:rPr>
              <w:t>=</w:t>
            </w:r>
          </w:p>
          <w:p w14:paraId="6FDC8AE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0.432</w:t>
            </w:r>
          </w:p>
          <w:p w14:paraId="7AC9CFE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±15.8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B3ABBC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17.7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7434EF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25.5</w:t>
            </w:r>
          </w:p>
        </w:tc>
        <w:tc>
          <w:tcPr>
            <w:tcW w:w="87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C3902A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0.229</w:t>
            </w:r>
          </w:p>
          <w:p w14:paraId="72272E2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±7.4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422B9E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7.5</w:t>
            </w:r>
          </w:p>
        </w:tc>
        <w:tc>
          <w:tcPr>
            <w:tcW w:w="878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342B90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20.1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1C1CAF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0.193</w:t>
            </w:r>
          </w:p>
          <w:p w14:paraId="1293414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±2.1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63B8CA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9.2</w:t>
            </w:r>
          </w:p>
        </w:tc>
      </w:tr>
      <w:tr w:rsidR="00E23EAC" w:rsidRPr="001447EA" w14:paraId="1D8756BB" w14:textId="77777777" w:rsidTr="00E23EAC">
        <w:trPr>
          <w:trHeight w:val="503"/>
        </w:trPr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0853394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7BC8A08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AC2FEB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05B2514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4E4DD5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B0D516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V</w:t>
            </w:r>
            <w:r w:rsidRPr="001447EA">
              <w:rPr>
                <w:rFonts w:ascii="Arial" w:hAnsi="Arial" w:cs="Arial"/>
                <w:sz w:val="20"/>
                <w:vertAlign w:val="subscript"/>
                <w:lang w:val="en-US"/>
              </w:rPr>
              <w:t>1L</w:t>
            </w:r>
            <w:r w:rsidRPr="001447EA">
              <w:rPr>
                <w:rFonts w:ascii="Arial" w:hAnsi="Arial" w:cs="Arial"/>
                <w:sz w:val="20"/>
                <w:lang w:val="en-US"/>
              </w:rPr>
              <w:t>= 0.16</w:t>
            </w:r>
          </w:p>
          <w:p w14:paraId="48F9296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±0.4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9B6ECE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23.6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9AA22A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EFFE28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CL</w:t>
            </w:r>
            <w:r w:rsidRPr="001447EA">
              <w:rPr>
                <w:rFonts w:ascii="Arial" w:hAnsi="Arial" w:cs="Arial"/>
                <w:bCs/>
                <w:sz w:val="20"/>
                <w:vertAlign w:val="subscript"/>
                <w:lang w:val="en-US"/>
              </w:rPr>
              <w:t>2L</w:t>
            </w:r>
            <w:r w:rsidRPr="001447EA">
              <w:rPr>
                <w:rFonts w:ascii="Arial" w:hAnsi="Arial" w:cs="Arial"/>
                <w:bCs/>
                <w:sz w:val="20"/>
                <w:lang w:val="en-US"/>
              </w:rPr>
              <w:t>=</w:t>
            </w:r>
          </w:p>
          <w:p w14:paraId="29A2B6B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0.115</w:t>
            </w:r>
          </w:p>
          <w:p w14:paraId="6248DB4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±22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012221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sz w:val="20"/>
                <w:lang w:val="en-US"/>
              </w:rPr>
              <w:t>18.8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2B2B5A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  <w:hideMark/>
          </w:tcPr>
          <w:p w14:paraId="4CEEC33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7EC3299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  <w:hideMark/>
          </w:tcPr>
          <w:p w14:paraId="2020145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B969A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9181FC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E23EAC" w:rsidRPr="001447EA" w14:paraId="2E74E54A" w14:textId="77777777" w:rsidTr="00E23EAC">
        <w:trPr>
          <w:trHeight w:val="554"/>
        </w:trPr>
        <w:tc>
          <w:tcPr>
            <w:tcW w:w="118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C170412" w14:textId="77777777" w:rsidR="00E23EAC" w:rsidRPr="00BA379C" w:rsidRDefault="00E23EAC" w:rsidP="00E23EAC">
            <w:pPr>
              <w:jc w:val="center"/>
              <w:rPr>
                <w:rFonts w:ascii="Arial" w:hAnsi="Arial" w:cs="Arial"/>
                <w:b/>
                <w:bCs/>
                <w:sz w:val="20"/>
                <w:vertAlign w:val="subscript"/>
                <w:lang w:val="en-US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lang w:val="en-US"/>
              </w:rPr>
              <w:t>Add eGFR on CL &amp; Risk on V</w:t>
            </w:r>
            <w:r w:rsidRPr="00BA379C">
              <w:rPr>
                <w:rFonts w:ascii="Arial" w:hAnsi="Arial" w:cs="Arial"/>
                <w:b/>
                <w:bCs/>
                <w:sz w:val="20"/>
                <w:vertAlign w:val="subscript"/>
                <w:lang w:val="en-US"/>
              </w:rPr>
              <w:t>1</w:t>
            </w:r>
            <w:r w:rsidRPr="00BA379C">
              <w:rPr>
                <w:rFonts w:ascii="Arial" w:hAnsi="Arial" w:cs="Arial"/>
                <w:b/>
                <w:bCs/>
                <w:sz w:val="20"/>
                <w:lang w:val="en-US"/>
              </w:rPr>
              <w:t>, CL</w:t>
            </w:r>
            <w:r w:rsidRPr="00BA379C">
              <w:rPr>
                <w:rFonts w:ascii="Arial" w:hAnsi="Arial" w:cs="Arial"/>
                <w:b/>
                <w:bCs/>
                <w:sz w:val="20"/>
                <w:vertAlign w:val="subscript"/>
                <w:lang w:val="en-US"/>
              </w:rPr>
              <w:t xml:space="preserve">12 </w:t>
            </w:r>
            <w:r w:rsidRPr="00BA379C">
              <w:rPr>
                <w:rFonts w:ascii="Arial" w:hAnsi="Arial" w:cs="Arial"/>
                <w:b/>
                <w:bCs/>
                <w:sz w:val="20"/>
                <w:lang w:val="en-US"/>
              </w:rPr>
              <w:t>or CL</w:t>
            </w:r>
            <w:r w:rsidRPr="00BA379C">
              <w:rPr>
                <w:rFonts w:ascii="Arial" w:hAnsi="Arial" w:cs="Arial"/>
                <w:b/>
                <w:bCs/>
                <w:sz w:val="20"/>
                <w:vertAlign w:val="subscript"/>
                <w:lang w:val="en-US"/>
              </w:rPr>
              <w:t xml:space="preserve">21 </w:t>
            </w:r>
            <w:r w:rsidRPr="00BA379C">
              <w:rPr>
                <w:rFonts w:ascii="Arial" w:hAnsi="Arial" w:cs="Arial"/>
                <w:b/>
                <w:bCs/>
                <w:sz w:val="20"/>
                <w:lang w:val="en-US"/>
              </w:rPr>
              <w:t>and V</w:t>
            </w:r>
            <w:r w:rsidRPr="00BA379C">
              <w:rPr>
                <w:rFonts w:ascii="Arial" w:hAnsi="Arial" w:cs="Arial"/>
                <w:b/>
                <w:bCs/>
                <w:sz w:val="20"/>
                <w:vertAlign w:val="subscript"/>
                <w:lang w:val="en-US"/>
              </w:rPr>
              <w:t>2</w:t>
            </w:r>
          </w:p>
          <w:p w14:paraId="4A0412F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BA379C">
              <w:rPr>
                <w:rFonts w:ascii="Arial" w:hAnsi="Arial" w:cs="Arial"/>
                <w:b/>
                <w:bCs/>
                <w:sz w:val="20"/>
                <w:lang w:val="en-US"/>
              </w:rPr>
              <w:t>(Model VII)</w:t>
            </w:r>
          </w:p>
        </w:tc>
        <w:tc>
          <w:tcPr>
            <w:tcW w:w="736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9583AE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2950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8D8EAC9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0.0643</w:t>
            </w:r>
          </w:p>
          <w:p w14:paraId="64B421A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±10.0</w:t>
            </w:r>
          </w:p>
        </w:tc>
        <w:tc>
          <w:tcPr>
            <w:tcW w:w="68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D7C989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11.6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FF732F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8.1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296B4B0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V</w:t>
            </w:r>
            <w:r w:rsidRPr="001447EA">
              <w:rPr>
                <w:rFonts w:ascii="Arial" w:hAnsi="Arial" w:cs="Arial"/>
                <w:bCs/>
                <w:sz w:val="20"/>
                <w:vertAlign w:val="subscript"/>
                <w:lang w:val="en-US"/>
              </w:rPr>
              <w:t>1H</w:t>
            </w:r>
            <w:r w:rsidRPr="001447EA">
              <w:rPr>
                <w:rFonts w:ascii="Arial" w:hAnsi="Arial" w:cs="Arial"/>
                <w:bCs/>
                <w:sz w:val="20"/>
                <w:lang w:val="en-US"/>
              </w:rPr>
              <w:t>=</w:t>
            </w:r>
          </w:p>
          <w:p w14:paraId="1429495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0.0326 ±27.2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EEE8E1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19.5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70CE67F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19.1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397662F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CL</w:t>
            </w:r>
            <w:r w:rsidRPr="001447EA">
              <w:rPr>
                <w:rFonts w:ascii="Arial" w:hAnsi="Arial" w:cs="Arial"/>
                <w:bCs/>
                <w:sz w:val="20"/>
                <w:vertAlign w:val="subscript"/>
                <w:lang w:val="en-US"/>
              </w:rPr>
              <w:t>2H</w:t>
            </w:r>
            <w:r w:rsidRPr="001447EA">
              <w:rPr>
                <w:rFonts w:ascii="Arial" w:hAnsi="Arial" w:cs="Arial"/>
                <w:bCs/>
                <w:sz w:val="20"/>
                <w:lang w:val="en-US"/>
              </w:rPr>
              <w:t>=</w:t>
            </w:r>
          </w:p>
          <w:p w14:paraId="0DC0670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0.467</w:t>
            </w:r>
          </w:p>
          <w:p w14:paraId="293DD06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±11.3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370331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11.7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4263E97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24.2</w:t>
            </w: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E016A3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V</w:t>
            </w:r>
            <w:r w:rsidRPr="001447EA">
              <w:rPr>
                <w:rFonts w:ascii="Arial" w:hAnsi="Arial" w:cs="Arial"/>
                <w:bCs/>
                <w:sz w:val="20"/>
                <w:vertAlign w:val="subscript"/>
                <w:lang w:val="en-US"/>
              </w:rPr>
              <w:t>2H</w:t>
            </w:r>
            <w:r w:rsidRPr="001447EA">
              <w:rPr>
                <w:rFonts w:ascii="Arial" w:hAnsi="Arial" w:cs="Arial"/>
                <w:bCs/>
                <w:sz w:val="20"/>
                <w:lang w:val="en-US"/>
              </w:rPr>
              <w:t>=</w:t>
            </w:r>
          </w:p>
          <w:p w14:paraId="6754282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0.251</w:t>
            </w:r>
          </w:p>
          <w:p w14:paraId="22954326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±8.1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533DE09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18.4</w:t>
            </w:r>
          </w:p>
        </w:tc>
        <w:tc>
          <w:tcPr>
            <w:tcW w:w="878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7DF091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23.1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26D266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0.193</w:t>
            </w:r>
          </w:p>
          <w:p w14:paraId="00661B5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±2.1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834037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8.6</w:t>
            </w:r>
          </w:p>
        </w:tc>
      </w:tr>
      <w:tr w:rsidR="00E23EAC" w:rsidRPr="001447EA" w14:paraId="36A8363D" w14:textId="77777777" w:rsidTr="00E23EAC">
        <w:trPr>
          <w:trHeight w:val="623"/>
        </w:trPr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558D049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1DF55A30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891B4A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14:paraId="38CC8D5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A57033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7225EA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V</w:t>
            </w:r>
            <w:r w:rsidRPr="001447EA">
              <w:rPr>
                <w:rFonts w:ascii="Arial" w:hAnsi="Arial" w:cs="Arial"/>
                <w:bCs/>
                <w:sz w:val="20"/>
                <w:vertAlign w:val="subscript"/>
                <w:lang w:val="en-US"/>
              </w:rPr>
              <w:t>1L</w:t>
            </w:r>
            <w:r w:rsidRPr="001447EA">
              <w:rPr>
                <w:rFonts w:ascii="Arial" w:hAnsi="Arial" w:cs="Arial"/>
                <w:bCs/>
                <w:sz w:val="20"/>
                <w:lang w:val="en-US"/>
              </w:rPr>
              <w:t>=</w:t>
            </w:r>
          </w:p>
          <w:p w14:paraId="1C96A73B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0.169</w:t>
            </w:r>
          </w:p>
          <w:p w14:paraId="5A9A457E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±8.3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6B68E26A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18.2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1C2EF13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1E5A7B6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CL</w:t>
            </w:r>
            <w:r w:rsidRPr="001447EA">
              <w:rPr>
                <w:rFonts w:ascii="Arial" w:hAnsi="Arial" w:cs="Arial"/>
                <w:bCs/>
                <w:sz w:val="20"/>
                <w:vertAlign w:val="subscript"/>
                <w:lang w:val="en-US"/>
              </w:rPr>
              <w:t>2L</w:t>
            </w:r>
            <w:r w:rsidRPr="001447EA">
              <w:rPr>
                <w:rFonts w:ascii="Arial" w:hAnsi="Arial" w:cs="Arial"/>
                <w:bCs/>
                <w:sz w:val="20"/>
                <w:lang w:val="en-US"/>
              </w:rPr>
              <w:t>=</w:t>
            </w:r>
          </w:p>
          <w:p w14:paraId="103CED8C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0.096</w:t>
            </w:r>
          </w:p>
          <w:p w14:paraId="0C71C02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±17.4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2E50C5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10.8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816D7E5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877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F653CD2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V</w:t>
            </w:r>
            <w:r w:rsidRPr="001447EA">
              <w:rPr>
                <w:rFonts w:ascii="Arial" w:hAnsi="Arial" w:cs="Arial"/>
                <w:bCs/>
                <w:sz w:val="20"/>
                <w:vertAlign w:val="subscript"/>
                <w:lang w:val="en-US"/>
              </w:rPr>
              <w:t>2L</w:t>
            </w:r>
            <w:r w:rsidRPr="001447EA">
              <w:rPr>
                <w:rFonts w:ascii="Arial" w:hAnsi="Arial" w:cs="Arial"/>
                <w:bCs/>
                <w:sz w:val="20"/>
                <w:lang w:val="en-US"/>
              </w:rPr>
              <w:t>=</w:t>
            </w:r>
          </w:p>
          <w:p w14:paraId="39DAF97D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0.17</w:t>
            </w:r>
          </w:p>
          <w:p w14:paraId="20A208E7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±10.7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14:paraId="033C4D41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447EA">
              <w:rPr>
                <w:rFonts w:ascii="Arial" w:hAnsi="Arial" w:cs="Arial"/>
                <w:bCs/>
                <w:sz w:val="20"/>
                <w:lang w:val="en-US"/>
              </w:rPr>
              <w:t>15.6</w:t>
            </w:r>
          </w:p>
        </w:tc>
        <w:tc>
          <w:tcPr>
            <w:tcW w:w="878" w:type="dxa"/>
            <w:vMerge/>
            <w:shd w:val="clear" w:color="auto" w:fill="auto"/>
            <w:vAlign w:val="center"/>
            <w:hideMark/>
          </w:tcPr>
          <w:p w14:paraId="3B6C6718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8BBCB34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76F5F4F" w14:textId="77777777" w:rsidR="00E23EAC" w:rsidRPr="001447EA" w:rsidRDefault="00E23EAC" w:rsidP="00E23EAC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</w:p>
        </w:tc>
      </w:tr>
    </w:tbl>
    <w:p w14:paraId="6E358225" w14:textId="77777777" w:rsidR="00E23EAC" w:rsidRDefault="00E23EAC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15CECA4B" w14:textId="77777777" w:rsidR="00E23EAC" w:rsidRPr="001447EA" w:rsidRDefault="00E23EAC" w:rsidP="00E23EAC">
      <w:pPr>
        <w:spacing w:before="120" w:line="264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 w:rsidRPr="001447E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447EA">
        <w:rPr>
          <w:rFonts w:ascii="Arial" w:hAnsi="Arial" w:cs="Arial"/>
          <w:sz w:val="16"/>
          <w:szCs w:val="16"/>
        </w:rPr>
        <w:t xml:space="preserve">Objective Function Value (OFV) </w:t>
      </w:r>
    </w:p>
    <w:p w14:paraId="393354AC" w14:textId="77777777" w:rsidR="00E23EAC" w:rsidRPr="001447EA" w:rsidRDefault="00E23EAC" w:rsidP="00E23EAC">
      <w:pPr>
        <w:spacing w:before="120" w:line="264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23EAC">
        <w:rPr>
          <w:rFonts w:ascii="Helvetica Neue" w:eastAsia="Times New Roman" w:hAnsi="Helvetica Neue"/>
          <w:color w:val="000000"/>
          <w:shd w:val="clear" w:color="auto" w:fill="FFFFFF"/>
          <w:vertAlign w:val="superscript"/>
          <w:lang w:val="en-US"/>
        </w:rPr>
        <w:t>†</w:t>
      </w:r>
      <w:r w:rsidRPr="001447EA">
        <w:rPr>
          <w:rFonts w:ascii="Arial" w:hAnsi="Arial" w:cs="Arial"/>
          <w:sz w:val="16"/>
          <w:szCs w:val="16"/>
        </w:rPr>
        <w:t xml:space="preserve"> Relative Standard deviation (RSD) = standard deviation /parameter estimate  </w:t>
      </w:r>
    </w:p>
    <w:p w14:paraId="01441185" w14:textId="77777777" w:rsidR="00E23EAC" w:rsidRPr="001447EA" w:rsidRDefault="00E23EAC" w:rsidP="00E23EAC">
      <w:pPr>
        <w:spacing w:line="264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23EAC">
        <w:rPr>
          <w:rFonts w:ascii="Helvetica Neue" w:eastAsia="Times New Roman" w:hAnsi="Helvetica Neue"/>
          <w:color w:val="000000"/>
          <w:shd w:val="clear" w:color="auto" w:fill="FFFFFF"/>
          <w:vertAlign w:val="superscript"/>
          <w:lang w:val="en-US"/>
        </w:rPr>
        <w:t>‡</w:t>
      </w:r>
      <w:r w:rsidRPr="001447EA">
        <w:rPr>
          <w:rFonts w:ascii="Arial" w:hAnsi="Arial" w:cs="Arial"/>
          <w:sz w:val="16"/>
          <w:szCs w:val="16"/>
        </w:rPr>
        <w:t xml:space="preserve"> Between Subject Variability (BSV) </w:t>
      </w:r>
    </w:p>
    <w:p w14:paraId="2B60D649" w14:textId="77777777" w:rsidR="00E23EAC" w:rsidRPr="001447EA" w:rsidRDefault="00E23EAC" w:rsidP="00E23EAC">
      <w:pPr>
        <w:spacing w:line="264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23EAC">
        <w:rPr>
          <w:rFonts w:ascii="Helvetica Neue" w:eastAsia="Times New Roman" w:hAnsi="Helvetica Neue"/>
          <w:color w:val="000000"/>
          <w:shd w:val="clear" w:color="auto" w:fill="FFFFFF"/>
          <w:vertAlign w:val="superscript"/>
          <w:lang w:val="en-US"/>
        </w:rPr>
        <w:t>§</w:t>
      </w:r>
      <w:r w:rsidRPr="001447EA">
        <w:rPr>
          <w:rFonts w:ascii="Arial" w:hAnsi="Arial" w:cs="Arial"/>
          <w:sz w:val="16"/>
          <w:szCs w:val="16"/>
        </w:rPr>
        <w:t xml:space="preserve"> </w:t>
      </w:r>
      <w:r w:rsidRPr="001447EA">
        <w:rPr>
          <w:rFonts w:ascii="Arial" w:hAnsi="Arial" w:cs="Arial"/>
          <w:sz w:val="16"/>
          <w:szCs w:val="16"/>
        </w:rPr>
        <w:t xml:space="preserve">% represents %Shrinkage for between-subject variability; if </w:t>
      </w:r>
      <w:r w:rsidRPr="001447EA">
        <w:rPr>
          <w:rFonts w:ascii="Arial" w:hAnsi="Arial" w:cs="Arial"/>
          <w:sz w:val="16"/>
          <w:szCs w:val="16"/>
        </w:rPr>
        <w:t xml:space="preserve">% is substantial (&gt;30%), it suggests that covariates might be falsely introduced or the covariate relationship is spurious; if % shrinkage is ~0, then estimated parameters and incorporated covariate relationship are relatively more reliable </w:t>
      </w:r>
    </w:p>
    <w:p w14:paraId="3D09867D" w14:textId="77777777" w:rsidR="00E23EAC" w:rsidRPr="001447EA" w:rsidRDefault="008A4A09" w:rsidP="00E23EAC">
      <w:pPr>
        <w:spacing w:line="264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E23EAC">
        <w:rPr>
          <w:rFonts w:ascii="Helvetica Neue" w:eastAsia="Times New Roman" w:hAnsi="Helvetica Neue"/>
          <w:color w:val="000000"/>
          <w:shd w:val="clear" w:color="auto" w:fill="FFFFFF"/>
          <w:vertAlign w:val="superscript"/>
          <w:lang w:val="en-US"/>
        </w:rPr>
        <w:t>||</w:t>
      </w:r>
      <w:r w:rsidR="00E23EAC" w:rsidRPr="001447E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23EAC" w:rsidRPr="001447EA">
        <w:rPr>
          <w:rFonts w:ascii="Arial" w:hAnsi="Arial" w:cs="Arial"/>
          <w:sz w:val="16"/>
          <w:szCs w:val="16"/>
        </w:rPr>
        <w:t xml:space="preserve">Residual variability denotes the remaining, random variability, after adjustment for inter-subject variability (and/or inter-occasion variability) </w:t>
      </w:r>
    </w:p>
    <w:p w14:paraId="317931D4" w14:textId="77777777" w:rsidR="00E23EAC" w:rsidRPr="001447EA" w:rsidRDefault="008A4A09" w:rsidP="00E23EAC">
      <w:pPr>
        <w:spacing w:line="264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A4A09">
        <w:rPr>
          <w:rFonts w:ascii="Helvetica Neue" w:eastAsia="Times New Roman" w:hAnsi="Helvetica Neue"/>
          <w:color w:val="000000"/>
          <w:shd w:val="clear" w:color="auto" w:fill="FFFFFF"/>
          <w:vertAlign w:val="superscript"/>
          <w:lang w:val="en-US"/>
        </w:rPr>
        <w:t>#</w:t>
      </w:r>
      <w:r w:rsidR="00E23EAC" w:rsidRPr="001447EA">
        <w:rPr>
          <w:rFonts w:ascii="Arial" w:hAnsi="Arial" w:cs="Arial"/>
          <w:sz w:val="16"/>
          <w:szCs w:val="16"/>
        </w:rPr>
        <w:t xml:space="preserve"> covariate baseline eGFR was added to pharmacokinetic parameter in the form of  </w:t>
      </w:r>
      <w:r w:rsidR="00E23EAC" w:rsidRPr="001447EA">
        <w:rPr>
          <w:rFonts w:ascii="Arial" w:hAnsi="Arial" w:cs="Arial"/>
          <w:position w:val="-10"/>
          <w:sz w:val="16"/>
          <w:szCs w:val="16"/>
        </w:rPr>
        <w:object w:dxaOrig="1540" w:dyaOrig="380" w14:anchorId="5501BB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9pt" o:ole="">
            <v:imagedata r:id="rId13" o:title=""/>
          </v:shape>
          <o:OLEObject Type="Embed" ProgID="Equation.DSMT4" ShapeID="_x0000_i1025" DrawAspect="Content" ObjectID="_1442256070" r:id="rId14"/>
        </w:object>
      </w:r>
      <w:r w:rsidR="00E23EAC" w:rsidRPr="001447EA">
        <w:rPr>
          <w:rFonts w:ascii="Arial" w:hAnsi="Arial" w:cs="Arial"/>
          <w:sz w:val="16"/>
          <w:szCs w:val="16"/>
        </w:rPr>
        <w:t xml:space="preserve">, where </w:t>
      </w:r>
      <w:r w:rsidR="00E23EAC" w:rsidRPr="001447EA">
        <w:rPr>
          <w:rFonts w:ascii="Arial" w:hAnsi="Arial" w:cs="Arial"/>
          <w:position w:val="-6"/>
          <w:sz w:val="16"/>
          <w:szCs w:val="16"/>
        </w:rPr>
        <w:object w:dxaOrig="660" w:dyaOrig="340" w14:anchorId="3E858C95">
          <v:shape id="_x0000_i1026" type="#_x0000_t75" style="width:33pt;height:17pt" o:ole="">
            <v:imagedata r:id="rId15" o:title=""/>
          </v:shape>
          <o:OLEObject Type="Embed" ProgID="Equation.DSMT4" ShapeID="_x0000_i1026" DrawAspect="Content" ObjectID="_1442256071" r:id="rId16"/>
        </w:object>
      </w:r>
      <w:r w:rsidR="00E23EAC" w:rsidRPr="001447EA">
        <w:rPr>
          <w:rFonts w:ascii="Arial" w:hAnsi="Arial" w:cs="Arial"/>
          <w:sz w:val="16"/>
          <w:szCs w:val="16"/>
        </w:rPr>
        <w:t xml:space="preserve"> is the median value of eGFR and  Ө is the power coefficient. </w:t>
      </w:r>
    </w:p>
    <w:p w14:paraId="11796E08" w14:textId="77777777" w:rsidR="00E23EAC" w:rsidRPr="001447EA" w:rsidRDefault="008A4A09" w:rsidP="00E23EAC">
      <w:pPr>
        <w:spacing w:line="264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**</w:t>
      </w:r>
      <w:r w:rsidR="00E23EAC" w:rsidRPr="001447EA">
        <w:rPr>
          <w:rFonts w:ascii="Arial" w:hAnsi="Arial" w:cs="Arial"/>
          <w:sz w:val="16"/>
          <w:szCs w:val="16"/>
        </w:rPr>
        <w:t xml:space="preserve"> RISK stands for categorical covariate High vs. Low Risk Group; In the data file, high and low risk groups were</w:t>
      </w:r>
      <w:r>
        <w:rPr>
          <w:rFonts w:ascii="Arial" w:hAnsi="Arial" w:cs="Arial"/>
          <w:sz w:val="16"/>
          <w:szCs w:val="16"/>
        </w:rPr>
        <w:t xml:space="preserve"> set as 1 and 0, respectively; </w:t>
      </w:r>
      <w:r w:rsidR="00E23EAC" w:rsidRPr="001447EA">
        <w:rPr>
          <w:rFonts w:ascii="Arial" w:hAnsi="Arial" w:cs="Arial"/>
          <w:sz w:val="16"/>
          <w:szCs w:val="16"/>
        </w:rPr>
        <w:t>pharmacokinetic parameters were modified, for example: CL</w:t>
      </w:r>
      <w:r w:rsidR="00E23EAC" w:rsidRPr="001447EA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E23EAC" w:rsidRPr="001447EA">
        <w:rPr>
          <w:rFonts w:ascii="Arial" w:hAnsi="Arial" w:cs="Arial"/>
          <w:sz w:val="16"/>
          <w:szCs w:val="16"/>
        </w:rPr>
        <w:t>= (1-RISK)*CL</w:t>
      </w:r>
      <w:r w:rsidR="00E23EAC" w:rsidRPr="001447EA">
        <w:rPr>
          <w:rFonts w:ascii="Arial" w:hAnsi="Arial" w:cs="Arial"/>
          <w:sz w:val="16"/>
          <w:szCs w:val="16"/>
          <w:vertAlign w:val="subscript"/>
        </w:rPr>
        <w:t>1L</w:t>
      </w:r>
      <w:r w:rsidR="00E23EAC" w:rsidRPr="001447EA">
        <w:rPr>
          <w:rFonts w:ascii="Arial" w:hAnsi="Arial" w:cs="Arial"/>
          <w:sz w:val="16"/>
          <w:szCs w:val="16"/>
        </w:rPr>
        <w:t>+RISK*CL</w:t>
      </w:r>
      <w:r w:rsidR="00E23EAC" w:rsidRPr="001447EA">
        <w:rPr>
          <w:rFonts w:ascii="Arial" w:hAnsi="Arial" w:cs="Arial"/>
          <w:sz w:val="16"/>
          <w:szCs w:val="16"/>
          <w:vertAlign w:val="subscript"/>
        </w:rPr>
        <w:t>1H</w:t>
      </w:r>
      <w:r w:rsidR="00E23EAC" w:rsidRPr="001447EA">
        <w:rPr>
          <w:rFonts w:ascii="Arial" w:hAnsi="Arial" w:cs="Arial"/>
          <w:sz w:val="16"/>
          <w:szCs w:val="16"/>
        </w:rPr>
        <w:t>, where CL</w:t>
      </w:r>
      <w:r w:rsidR="00E23EAC" w:rsidRPr="001447EA">
        <w:rPr>
          <w:rFonts w:ascii="Arial" w:hAnsi="Arial" w:cs="Arial"/>
          <w:sz w:val="16"/>
          <w:szCs w:val="16"/>
          <w:vertAlign w:val="subscript"/>
        </w:rPr>
        <w:t>1L</w:t>
      </w:r>
      <w:r w:rsidR="00E23EAC" w:rsidRPr="001447EA">
        <w:rPr>
          <w:rFonts w:ascii="Arial" w:hAnsi="Arial" w:cs="Arial"/>
          <w:sz w:val="16"/>
          <w:szCs w:val="16"/>
        </w:rPr>
        <w:t xml:space="preserve"> and CL</w:t>
      </w:r>
      <w:r w:rsidR="00E23EAC" w:rsidRPr="001447EA">
        <w:rPr>
          <w:rFonts w:ascii="Arial" w:hAnsi="Arial" w:cs="Arial"/>
          <w:sz w:val="16"/>
          <w:szCs w:val="16"/>
          <w:vertAlign w:val="subscript"/>
        </w:rPr>
        <w:t>1H</w:t>
      </w:r>
      <w:r w:rsidR="00E23EAC" w:rsidRPr="001447EA">
        <w:rPr>
          <w:rFonts w:ascii="Arial" w:hAnsi="Arial" w:cs="Arial"/>
          <w:sz w:val="16"/>
          <w:szCs w:val="16"/>
        </w:rPr>
        <w:t xml:space="preserve"> are CL</w:t>
      </w:r>
      <w:r w:rsidR="00E23EAC" w:rsidRPr="001447EA">
        <w:rPr>
          <w:rFonts w:ascii="Arial" w:hAnsi="Arial" w:cs="Arial"/>
          <w:sz w:val="16"/>
          <w:szCs w:val="16"/>
          <w:vertAlign w:val="subscript"/>
        </w:rPr>
        <w:t>1</w:t>
      </w:r>
      <w:r w:rsidR="00E23EAC" w:rsidRPr="001447EA">
        <w:rPr>
          <w:rFonts w:ascii="Arial" w:hAnsi="Arial" w:cs="Arial"/>
          <w:sz w:val="16"/>
          <w:szCs w:val="16"/>
        </w:rPr>
        <w:t xml:space="preserve"> value for low and high risk group, respectively.   </w:t>
      </w:r>
    </w:p>
    <w:p w14:paraId="7A7EDE7A" w14:textId="77777777" w:rsidR="00E23EAC" w:rsidRPr="00566B54" w:rsidRDefault="00E23EAC" w:rsidP="00E23EAC">
      <w:pPr>
        <w:rPr>
          <w:b/>
          <w:sz w:val="16"/>
          <w:szCs w:val="16"/>
        </w:rPr>
      </w:pPr>
    </w:p>
    <w:p w14:paraId="7029E9A6" w14:textId="77777777" w:rsidR="00E23EAC" w:rsidRDefault="00E23EAC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12F584E9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6FF89F01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2FF8EAB1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7B504F8E" w14:textId="77777777" w:rsidR="00566BF7" w:rsidRDefault="00566BF7" w:rsidP="005A753F">
      <w:pPr>
        <w:spacing w:line="480" w:lineRule="auto"/>
        <w:jc w:val="both"/>
        <w:rPr>
          <w:rFonts w:ascii="Arial" w:hAnsi="Arial" w:cs="Arial"/>
          <w:b/>
        </w:rPr>
      </w:pPr>
    </w:p>
    <w:p w14:paraId="5308F0D2" w14:textId="77777777" w:rsidR="007A5974" w:rsidRDefault="00566BF7" w:rsidP="005A753F">
      <w:pPr>
        <w:spacing w:line="480" w:lineRule="auto"/>
        <w:jc w:val="both"/>
        <w:rPr>
          <w:b/>
        </w:rPr>
      </w:pPr>
      <w:r w:rsidRPr="001447EA">
        <w:rPr>
          <w:rFonts w:ascii="Arial" w:hAnsi="Arial" w:cs="Arial"/>
          <w:b/>
        </w:rPr>
        <w:t xml:space="preserve">  </w:t>
      </w:r>
    </w:p>
    <w:p w14:paraId="190B9A68" w14:textId="77777777" w:rsidR="007A5974" w:rsidRPr="00145B4D" w:rsidRDefault="007A5974" w:rsidP="005A753F">
      <w:pPr>
        <w:spacing w:line="480" w:lineRule="auto"/>
        <w:jc w:val="both"/>
        <w:rPr>
          <w:b/>
        </w:rPr>
      </w:pPr>
    </w:p>
    <w:sectPr w:rsidR="007A5974" w:rsidRPr="00145B4D" w:rsidSect="00E23EAC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945E3" w14:textId="77777777" w:rsidR="00E32A05" w:rsidRDefault="00E32A05" w:rsidP="005C6B19">
      <w:r>
        <w:separator/>
      </w:r>
    </w:p>
  </w:endnote>
  <w:endnote w:type="continuationSeparator" w:id="0">
    <w:p w14:paraId="1254E74E" w14:textId="77777777" w:rsidR="00E32A05" w:rsidRDefault="00E32A05" w:rsidP="005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A827" w14:textId="77777777" w:rsidR="00E32A05" w:rsidRDefault="00E32A05" w:rsidP="00FA0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852F" w14:textId="77777777" w:rsidR="00E32A05" w:rsidRDefault="00E32A05" w:rsidP="005C6B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7586" w14:textId="77777777" w:rsidR="00E32A05" w:rsidRDefault="00E32A05" w:rsidP="00FA0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DD8EB0" w14:textId="77777777" w:rsidR="00E32A05" w:rsidRDefault="00E32A05" w:rsidP="005C6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F00FB" w14:textId="77777777" w:rsidR="00E32A05" w:rsidRDefault="00E32A05" w:rsidP="005C6B19">
      <w:r>
        <w:separator/>
      </w:r>
    </w:p>
  </w:footnote>
  <w:footnote w:type="continuationSeparator" w:id="0">
    <w:p w14:paraId="0265D5B8" w14:textId="77777777" w:rsidR="00E32A05" w:rsidRDefault="00E32A05" w:rsidP="005C6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309A9" w14:textId="77777777" w:rsidR="00E32A05" w:rsidRDefault="004971AA">
    <w:pPr>
      <w:pStyle w:val="Header"/>
    </w:pPr>
    <w:sdt>
      <w:sdtPr>
        <w:id w:val="171999623"/>
        <w:placeholder>
          <w:docPart w:val="4470B3E2577F804FB8CDB142446E948A"/>
        </w:placeholder>
        <w:temporary/>
        <w:showingPlcHdr/>
      </w:sdtPr>
      <w:sdtEndPr/>
      <w:sdtContent>
        <w:r w:rsidR="00E32A05">
          <w:t>[Type text]</w:t>
        </w:r>
      </w:sdtContent>
    </w:sdt>
    <w:r w:rsidR="00E32A05">
      <w:ptab w:relativeTo="margin" w:alignment="center" w:leader="none"/>
    </w:r>
    <w:sdt>
      <w:sdtPr>
        <w:id w:val="171999624"/>
        <w:placeholder>
          <w:docPart w:val="A3850CE82EC9D7439EDD5DE1345B119A"/>
        </w:placeholder>
        <w:temporary/>
        <w:showingPlcHdr/>
      </w:sdtPr>
      <w:sdtEndPr/>
      <w:sdtContent>
        <w:r w:rsidR="00E32A05">
          <w:t>[Type text]</w:t>
        </w:r>
      </w:sdtContent>
    </w:sdt>
    <w:r w:rsidR="00E32A05">
      <w:ptab w:relativeTo="margin" w:alignment="right" w:leader="none"/>
    </w:r>
    <w:sdt>
      <w:sdtPr>
        <w:id w:val="171999625"/>
        <w:placeholder>
          <w:docPart w:val="D6CD875FB311984B89D17388A357CC62"/>
        </w:placeholder>
        <w:temporary/>
        <w:showingPlcHdr/>
      </w:sdtPr>
      <w:sdtEndPr/>
      <w:sdtContent>
        <w:r w:rsidR="00E32A05">
          <w:t>[Type text]</w:t>
        </w:r>
      </w:sdtContent>
    </w:sdt>
  </w:p>
  <w:p w14:paraId="1B569A19" w14:textId="77777777" w:rsidR="00E32A05" w:rsidRDefault="00E32A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77B0" w14:textId="77777777" w:rsidR="00E32A05" w:rsidRDefault="00E32A05">
    <w:pPr>
      <w:pStyle w:val="Header"/>
    </w:pPr>
    <w:r>
      <w:t>Supplement</w:t>
    </w:r>
    <w:r>
      <w:ptab w:relativeTo="margin" w:alignment="center" w:leader="none"/>
    </w:r>
    <w:r>
      <w:ptab w:relativeTo="margin" w:alignment="right" w:leader="none"/>
    </w:r>
  </w:p>
  <w:p w14:paraId="286D6C89" w14:textId="77777777" w:rsidR="00E32A05" w:rsidRDefault="00E32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z2x9apvz9vw4epp9iv2svz5esee90ss5ft&quot;&gt;CORTISOL &lt;record-ids&gt;&lt;item&gt;971&lt;/item&gt;&lt;/record-ids&gt;&lt;/item&gt;&lt;/Libraries&gt;"/>
  </w:docVars>
  <w:rsids>
    <w:rsidRoot w:val="001F720C"/>
    <w:rsid w:val="00017903"/>
    <w:rsid w:val="00035698"/>
    <w:rsid w:val="00042BCC"/>
    <w:rsid w:val="000760F9"/>
    <w:rsid w:val="000C7CA6"/>
    <w:rsid w:val="000D62E3"/>
    <w:rsid w:val="000E1483"/>
    <w:rsid w:val="000F6121"/>
    <w:rsid w:val="00134005"/>
    <w:rsid w:val="00145B4D"/>
    <w:rsid w:val="00172BAC"/>
    <w:rsid w:val="001A3500"/>
    <w:rsid w:val="001B1947"/>
    <w:rsid w:val="001C4F73"/>
    <w:rsid w:val="001D2C74"/>
    <w:rsid w:val="001D7895"/>
    <w:rsid w:val="001E7DA9"/>
    <w:rsid w:val="001F720C"/>
    <w:rsid w:val="00223EC9"/>
    <w:rsid w:val="002320D7"/>
    <w:rsid w:val="00296D5A"/>
    <w:rsid w:val="002B37EC"/>
    <w:rsid w:val="002B7AE2"/>
    <w:rsid w:val="00300A63"/>
    <w:rsid w:val="003027C9"/>
    <w:rsid w:val="0031372A"/>
    <w:rsid w:val="003661C9"/>
    <w:rsid w:val="00455BE9"/>
    <w:rsid w:val="004870B2"/>
    <w:rsid w:val="004971AA"/>
    <w:rsid w:val="004F046B"/>
    <w:rsid w:val="005019E4"/>
    <w:rsid w:val="0055274C"/>
    <w:rsid w:val="00566BF7"/>
    <w:rsid w:val="00572AE8"/>
    <w:rsid w:val="005873CE"/>
    <w:rsid w:val="00587832"/>
    <w:rsid w:val="005A753F"/>
    <w:rsid w:val="005B57E7"/>
    <w:rsid w:val="005C6B19"/>
    <w:rsid w:val="005D6A94"/>
    <w:rsid w:val="00621872"/>
    <w:rsid w:val="00626D74"/>
    <w:rsid w:val="006277A4"/>
    <w:rsid w:val="0066770B"/>
    <w:rsid w:val="006B2744"/>
    <w:rsid w:val="006C0317"/>
    <w:rsid w:val="006D01D2"/>
    <w:rsid w:val="006D3EA5"/>
    <w:rsid w:val="006D767E"/>
    <w:rsid w:val="006E69B3"/>
    <w:rsid w:val="00717558"/>
    <w:rsid w:val="00724008"/>
    <w:rsid w:val="00767C31"/>
    <w:rsid w:val="007A5974"/>
    <w:rsid w:val="007A7345"/>
    <w:rsid w:val="007A7C04"/>
    <w:rsid w:val="007B56CF"/>
    <w:rsid w:val="007C783A"/>
    <w:rsid w:val="00831C54"/>
    <w:rsid w:val="008374B3"/>
    <w:rsid w:val="008A4A09"/>
    <w:rsid w:val="008A5683"/>
    <w:rsid w:val="008A601B"/>
    <w:rsid w:val="008A6DDD"/>
    <w:rsid w:val="008E73ED"/>
    <w:rsid w:val="008F240C"/>
    <w:rsid w:val="00906DB0"/>
    <w:rsid w:val="00926097"/>
    <w:rsid w:val="00984924"/>
    <w:rsid w:val="0098621E"/>
    <w:rsid w:val="009D27DA"/>
    <w:rsid w:val="00A01631"/>
    <w:rsid w:val="00AE1520"/>
    <w:rsid w:val="00B2137D"/>
    <w:rsid w:val="00B62565"/>
    <w:rsid w:val="00B93709"/>
    <w:rsid w:val="00B95F35"/>
    <w:rsid w:val="00BF532B"/>
    <w:rsid w:val="00C1400E"/>
    <w:rsid w:val="00C54D9A"/>
    <w:rsid w:val="00C90658"/>
    <w:rsid w:val="00CC236C"/>
    <w:rsid w:val="00CE1757"/>
    <w:rsid w:val="00D05678"/>
    <w:rsid w:val="00D2756F"/>
    <w:rsid w:val="00D71381"/>
    <w:rsid w:val="00D80662"/>
    <w:rsid w:val="00DA2549"/>
    <w:rsid w:val="00DD5DD7"/>
    <w:rsid w:val="00E21814"/>
    <w:rsid w:val="00E23EAC"/>
    <w:rsid w:val="00E32A05"/>
    <w:rsid w:val="00E37C19"/>
    <w:rsid w:val="00E57060"/>
    <w:rsid w:val="00E60B66"/>
    <w:rsid w:val="00E73226"/>
    <w:rsid w:val="00EC4120"/>
    <w:rsid w:val="00EF7EBF"/>
    <w:rsid w:val="00F748CE"/>
    <w:rsid w:val="00F907B9"/>
    <w:rsid w:val="00F95829"/>
    <w:rsid w:val="00FA0AF6"/>
    <w:rsid w:val="00FA6C0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19CAE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0C"/>
    <w:rPr>
      <w:rFonts w:ascii="Lucida Grande" w:hAnsi="Lucida Grande" w:cs="Lucida Grande"/>
      <w:sz w:val="18"/>
      <w:szCs w:val="18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37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2A"/>
    <w:rPr>
      <w:sz w:val="24"/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2A"/>
    <w:rPr>
      <w:b/>
      <w:bCs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5C6B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6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B19"/>
    <w:rPr>
      <w:sz w:val="24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C6B19"/>
  </w:style>
  <w:style w:type="paragraph" w:styleId="Header">
    <w:name w:val="header"/>
    <w:basedOn w:val="Normal"/>
    <w:link w:val="HeaderChar"/>
    <w:uiPriority w:val="99"/>
    <w:unhideWhenUsed/>
    <w:rsid w:val="00621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872"/>
    <w:rPr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0C"/>
    <w:rPr>
      <w:rFonts w:ascii="Lucida Grande" w:hAnsi="Lucida Grande" w:cs="Lucida Grande"/>
      <w:sz w:val="18"/>
      <w:szCs w:val="18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37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2A"/>
    <w:rPr>
      <w:sz w:val="24"/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2A"/>
    <w:rPr>
      <w:b/>
      <w:bCs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5C6B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6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B19"/>
    <w:rPr>
      <w:sz w:val="24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C6B19"/>
  </w:style>
  <w:style w:type="paragraph" w:styleId="Header">
    <w:name w:val="header"/>
    <w:basedOn w:val="Normal"/>
    <w:link w:val="HeaderChar"/>
    <w:uiPriority w:val="99"/>
    <w:unhideWhenUsed/>
    <w:rsid w:val="00621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872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1.emf"/><Relationship Id="rId13" Type="http://schemas.openxmlformats.org/officeDocument/2006/relationships/image" Target="media/image2.wmf"/><Relationship Id="rId14" Type="http://schemas.openxmlformats.org/officeDocument/2006/relationships/oleObject" Target="embeddings/oleObject1.bin"/><Relationship Id="rId15" Type="http://schemas.openxmlformats.org/officeDocument/2006/relationships/image" Target="media/image3.wmf"/><Relationship Id="rId16" Type="http://schemas.openxmlformats.org/officeDocument/2006/relationships/oleObject" Target="embeddings/oleObject2.bin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70B3E2577F804FB8CDB142446E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0C80-3E7A-2B43-AFD1-5900647EEE14}"/>
      </w:docPartPr>
      <w:docPartBody>
        <w:p w14:paraId="3FDC952B" w14:textId="19D7701A" w:rsidR="00983DF8" w:rsidRDefault="00286E6F" w:rsidP="00286E6F">
          <w:pPr>
            <w:pStyle w:val="4470B3E2577F804FB8CDB142446E948A"/>
          </w:pPr>
          <w:r>
            <w:t>[Type text]</w:t>
          </w:r>
        </w:p>
      </w:docPartBody>
    </w:docPart>
    <w:docPart>
      <w:docPartPr>
        <w:name w:val="A3850CE82EC9D7439EDD5DE1345B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A2F-832D-334C-8CA7-140726B7B33A}"/>
      </w:docPartPr>
      <w:docPartBody>
        <w:p w14:paraId="6FEFED15" w14:textId="52D17E76" w:rsidR="00983DF8" w:rsidRDefault="00286E6F" w:rsidP="00286E6F">
          <w:pPr>
            <w:pStyle w:val="A3850CE82EC9D7439EDD5DE1345B119A"/>
          </w:pPr>
          <w:r>
            <w:t>[Type text]</w:t>
          </w:r>
        </w:p>
      </w:docPartBody>
    </w:docPart>
    <w:docPart>
      <w:docPartPr>
        <w:name w:val="D6CD875FB311984B89D17388A357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B0F8-EAA8-994B-9855-404C23CFFF2B}"/>
      </w:docPartPr>
      <w:docPartBody>
        <w:p w14:paraId="6F64E623" w14:textId="03631BFC" w:rsidR="00983DF8" w:rsidRDefault="00286E6F" w:rsidP="00286E6F">
          <w:pPr>
            <w:pStyle w:val="D6CD875FB311984B89D17388A357CC6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F"/>
    <w:rsid w:val="00286E6F"/>
    <w:rsid w:val="004D615D"/>
    <w:rsid w:val="00983DF8"/>
    <w:rsid w:val="00A62FC5"/>
    <w:rsid w:val="00BE5282"/>
    <w:rsid w:val="00CB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1E1F945C7C834FAF3AC4C6E134E1C6">
    <w:name w:val="081E1F945C7C834FAF3AC4C6E134E1C6"/>
    <w:rsid w:val="00286E6F"/>
  </w:style>
  <w:style w:type="paragraph" w:customStyle="1" w:styleId="BBC121193C4B23438C141054935186AB">
    <w:name w:val="BBC121193C4B23438C141054935186AB"/>
    <w:rsid w:val="00286E6F"/>
  </w:style>
  <w:style w:type="paragraph" w:customStyle="1" w:styleId="346DF03F4A1E0744873BA3C8C066E357">
    <w:name w:val="346DF03F4A1E0744873BA3C8C066E357"/>
    <w:rsid w:val="00286E6F"/>
  </w:style>
  <w:style w:type="paragraph" w:customStyle="1" w:styleId="9BAFADA7906A89429D4393800A877F19">
    <w:name w:val="9BAFADA7906A89429D4393800A877F19"/>
    <w:rsid w:val="00286E6F"/>
  </w:style>
  <w:style w:type="paragraph" w:customStyle="1" w:styleId="190148C387114C408A8887E666F9CAD9">
    <w:name w:val="190148C387114C408A8887E666F9CAD9"/>
    <w:rsid w:val="00286E6F"/>
  </w:style>
  <w:style w:type="paragraph" w:customStyle="1" w:styleId="795B66458BF2454AA0CCFEDF524DE34A">
    <w:name w:val="795B66458BF2454AA0CCFEDF524DE34A"/>
    <w:rsid w:val="00286E6F"/>
  </w:style>
  <w:style w:type="paragraph" w:customStyle="1" w:styleId="4470B3E2577F804FB8CDB142446E948A">
    <w:name w:val="4470B3E2577F804FB8CDB142446E948A"/>
    <w:rsid w:val="00286E6F"/>
  </w:style>
  <w:style w:type="paragraph" w:customStyle="1" w:styleId="A3850CE82EC9D7439EDD5DE1345B119A">
    <w:name w:val="A3850CE82EC9D7439EDD5DE1345B119A"/>
    <w:rsid w:val="00286E6F"/>
  </w:style>
  <w:style w:type="paragraph" w:customStyle="1" w:styleId="D6CD875FB311984B89D17388A357CC62">
    <w:name w:val="D6CD875FB311984B89D17388A357CC62"/>
    <w:rsid w:val="00286E6F"/>
  </w:style>
  <w:style w:type="paragraph" w:customStyle="1" w:styleId="1EBD37F6B562DF46A06F75FB59CA1FE2">
    <w:name w:val="1EBD37F6B562DF46A06F75FB59CA1FE2"/>
    <w:rsid w:val="00286E6F"/>
  </w:style>
  <w:style w:type="paragraph" w:customStyle="1" w:styleId="27C2D1264C972540AAED79C5CC4CCE30">
    <w:name w:val="27C2D1264C972540AAED79C5CC4CCE30"/>
    <w:rsid w:val="00286E6F"/>
  </w:style>
  <w:style w:type="paragraph" w:customStyle="1" w:styleId="7482EB7F6D8DE349AC9C859F4A4D244D">
    <w:name w:val="7482EB7F6D8DE349AC9C859F4A4D244D"/>
    <w:rsid w:val="00286E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1E1F945C7C834FAF3AC4C6E134E1C6">
    <w:name w:val="081E1F945C7C834FAF3AC4C6E134E1C6"/>
    <w:rsid w:val="00286E6F"/>
  </w:style>
  <w:style w:type="paragraph" w:customStyle="1" w:styleId="BBC121193C4B23438C141054935186AB">
    <w:name w:val="BBC121193C4B23438C141054935186AB"/>
    <w:rsid w:val="00286E6F"/>
  </w:style>
  <w:style w:type="paragraph" w:customStyle="1" w:styleId="346DF03F4A1E0744873BA3C8C066E357">
    <w:name w:val="346DF03F4A1E0744873BA3C8C066E357"/>
    <w:rsid w:val="00286E6F"/>
  </w:style>
  <w:style w:type="paragraph" w:customStyle="1" w:styleId="9BAFADA7906A89429D4393800A877F19">
    <w:name w:val="9BAFADA7906A89429D4393800A877F19"/>
    <w:rsid w:val="00286E6F"/>
  </w:style>
  <w:style w:type="paragraph" w:customStyle="1" w:styleId="190148C387114C408A8887E666F9CAD9">
    <w:name w:val="190148C387114C408A8887E666F9CAD9"/>
    <w:rsid w:val="00286E6F"/>
  </w:style>
  <w:style w:type="paragraph" w:customStyle="1" w:styleId="795B66458BF2454AA0CCFEDF524DE34A">
    <w:name w:val="795B66458BF2454AA0CCFEDF524DE34A"/>
    <w:rsid w:val="00286E6F"/>
  </w:style>
  <w:style w:type="paragraph" w:customStyle="1" w:styleId="4470B3E2577F804FB8CDB142446E948A">
    <w:name w:val="4470B3E2577F804FB8CDB142446E948A"/>
    <w:rsid w:val="00286E6F"/>
  </w:style>
  <w:style w:type="paragraph" w:customStyle="1" w:styleId="A3850CE82EC9D7439EDD5DE1345B119A">
    <w:name w:val="A3850CE82EC9D7439EDD5DE1345B119A"/>
    <w:rsid w:val="00286E6F"/>
  </w:style>
  <w:style w:type="paragraph" w:customStyle="1" w:styleId="D6CD875FB311984B89D17388A357CC62">
    <w:name w:val="D6CD875FB311984B89D17388A357CC62"/>
    <w:rsid w:val="00286E6F"/>
  </w:style>
  <w:style w:type="paragraph" w:customStyle="1" w:styleId="1EBD37F6B562DF46A06F75FB59CA1FE2">
    <w:name w:val="1EBD37F6B562DF46A06F75FB59CA1FE2"/>
    <w:rsid w:val="00286E6F"/>
  </w:style>
  <w:style w:type="paragraph" w:customStyle="1" w:styleId="27C2D1264C972540AAED79C5CC4CCE30">
    <w:name w:val="27C2D1264C972540AAED79C5CC4CCE30"/>
    <w:rsid w:val="00286E6F"/>
  </w:style>
  <w:style w:type="paragraph" w:customStyle="1" w:styleId="7482EB7F6D8DE349AC9C859F4A4D244D">
    <w:name w:val="7482EB7F6D8DE349AC9C859F4A4D244D"/>
    <w:rsid w:val="00286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7924A-C316-A546-9DE8-D75429F4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1575</Words>
  <Characters>8980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jerath</dc:creator>
  <cp:keywords/>
  <dc:description/>
  <cp:lastModifiedBy>angela jerath</cp:lastModifiedBy>
  <cp:revision>3</cp:revision>
  <dcterms:created xsi:type="dcterms:W3CDTF">2017-10-01T21:31:00Z</dcterms:created>
  <dcterms:modified xsi:type="dcterms:W3CDTF">2017-10-02T01:55:00Z</dcterms:modified>
</cp:coreProperties>
</file>