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6A" w:rsidRPr="00515F8F" w:rsidRDefault="00107913">
      <w:pPr>
        <w:rPr>
          <w:b/>
          <w:sz w:val="24"/>
          <w:lang w:val="en-GB"/>
        </w:rPr>
      </w:pPr>
      <w:proofErr w:type="spellStart"/>
      <w:r w:rsidRPr="00515F8F">
        <w:rPr>
          <w:b/>
          <w:sz w:val="24"/>
          <w:lang w:val="en-GB"/>
        </w:rPr>
        <w:t>eTable</w:t>
      </w:r>
      <w:proofErr w:type="spellEnd"/>
      <w:r w:rsidRPr="00515F8F">
        <w:rPr>
          <w:b/>
          <w:sz w:val="24"/>
          <w:lang w:val="en-GB"/>
        </w:rPr>
        <w:t xml:space="preserve"> 1: randomized controlled trials comparing different sedation methods for elective fibreoptic tracheal intubation in the operative room for anticipated difficult airway. The thick horizontal lines separate similar comparisons.</w:t>
      </w:r>
    </w:p>
    <w:tbl>
      <w:tblPr>
        <w:tblStyle w:val="TableGrid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559"/>
        <w:gridCol w:w="1134"/>
        <w:gridCol w:w="1276"/>
        <w:gridCol w:w="1276"/>
        <w:gridCol w:w="1974"/>
        <w:gridCol w:w="993"/>
        <w:gridCol w:w="1275"/>
        <w:gridCol w:w="851"/>
        <w:gridCol w:w="850"/>
        <w:gridCol w:w="2420"/>
      </w:tblGrid>
      <w:tr w:rsidR="00515F8F" w:rsidRPr="00515F8F" w:rsidTr="00107913">
        <w:trPr>
          <w:trHeight w:val="304"/>
          <w:jc w:val="center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b/>
                <w:sz w:val="16"/>
                <w:szCs w:val="16"/>
                <w:lang w:val="en-GB"/>
              </w:rPr>
              <w:t>First Author (ref)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b/>
                <w:sz w:val="16"/>
                <w:szCs w:val="16"/>
                <w:lang w:val="en-GB"/>
              </w:rPr>
              <w:t>Intervention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b/>
                <w:sz w:val="16"/>
                <w:szCs w:val="16"/>
                <w:lang w:val="en-GB"/>
              </w:rPr>
              <w:t>Comparator (and second comparator</w:t>
            </w:r>
            <w:r w:rsidR="00AB57E1" w:rsidRPr="00515F8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if any</w:t>
            </w:r>
            <w:r w:rsidRPr="00515F8F">
              <w:rPr>
                <w:rFonts w:ascii="Arial" w:hAnsi="Arial" w:cs="Arial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N. </w:t>
            </w:r>
            <w:proofErr w:type="gramStart"/>
            <w:r w:rsidRPr="00515F8F">
              <w:rPr>
                <w:rFonts w:ascii="Arial" w:hAnsi="Arial" w:cs="Arial"/>
                <w:b/>
                <w:sz w:val="16"/>
                <w:szCs w:val="16"/>
                <w:lang w:val="en-GB"/>
              </w:rPr>
              <w:t>patients</w:t>
            </w:r>
            <w:proofErr w:type="gramEnd"/>
            <w:r w:rsidRPr="00515F8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intervention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N. </w:t>
            </w:r>
            <w:proofErr w:type="gramStart"/>
            <w:r w:rsidRPr="00515F8F">
              <w:rPr>
                <w:rFonts w:ascii="Arial" w:hAnsi="Arial" w:cs="Arial"/>
                <w:b/>
                <w:sz w:val="16"/>
                <w:szCs w:val="16"/>
                <w:lang w:val="en-GB"/>
              </w:rPr>
              <w:t>patients</w:t>
            </w:r>
            <w:proofErr w:type="gramEnd"/>
            <w:r w:rsidRPr="00515F8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comparator </w:t>
            </w:r>
            <w:r w:rsidRPr="00515F8F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(n. patients second comparator</w:t>
            </w:r>
            <w:r w:rsidR="00AB57E1" w:rsidRPr="00515F8F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 xml:space="preserve"> i</w:t>
            </w:r>
            <w:r w:rsidR="00F11CF7" w:rsidRPr="00515F8F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f</w:t>
            </w:r>
            <w:r w:rsidR="00AB57E1" w:rsidRPr="00515F8F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 xml:space="preserve"> any</w:t>
            </w:r>
            <w:r w:rsidRPr="00515F8F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b/>
                <w:sz w:val="16"/>
                <w:szCs w:val="16"/>
                <w:lang w:val="en-GB"/>
              </w:rPr>
              <w:t>Premedication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Local </w:t>
            </w:r>
            <w:proofErr w:type="spellStart"/>
            <w:r w:rsidRPr="00515F8F">
              <w:rPr>
                <w:rFonts w:ascii="Arial" w:hAnsi="Arial" w:cs="Arial"/>
                <w:b/>
                <w:sz w:val="16"/>
                <w:szCs w:val="16"/>
                <w:lang w:val="en-GB"/>
              </w:rPr>
              <w:t>anesthesia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b/>
                <w:sz w:val="16"/>
                <w:szCs w:val="16"/>
                <w:lang w:val="en-GB"/>
              </w:rPr>
              <w:t>Success rate intervention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Success rate comparator </w:t>
            </w:r>
            <w:r w:rsidRPr="00515F8F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(success rate second comparator)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b/>
                <w:sz w:val="16"/>
                <w:szCs w:val="16"/>
                <w:lang w:val="en-GB"/>
              </w:rPr>
              <w:t>N. severe adverse events intervention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b/>
                <w:sz w:val="16"/>
                <w:szCs w:val="16"/>
                <w:lang w:val="en-GB"/>
              </w:rPr>
              <w:t>N. severe adverse events comparator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b/>
                <w:sz w:val="16"/>
                <w:szCs w:val="16"/>
                <w:lang w:val="en-GB"/>
              </w:rPr>
              <w:t>Main findings and statistically significant differences</w:t>
            </w:r>
          </w:p>
        </w:tc>
      </w:tr>
      <w:tr w:rsidR="00515F8F" w:rsidRPr="00515F8F" w:rsidTr="00107913">
        <w:trPr>
          <w:trHeight w:val="304"/>
          <w:jc w:val="center"/>
        </w:trPr>
        <w:tc>
          <w:tcPr>
            <w:tcW w:w="988" w:type="dxa"/>
            <w:tcBorders>
              <w:top w:val="single" w:sz="12" w:space="0" w:color="auto"/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Bergese</w:t>
            </w:r>
            <w:proofErr w:type="spellEnd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 SD</w:t>
            </w:r>
            <w:r w:rsidR="008A18B6" w:rsidRPr="00515F8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2</w:t>
            </w:r>
            <w:r w:rsidR="00BD4BDF" w:rsidRPr="00515F8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dexmedetomidine 1mcg/kg + 0.7mcg/kg/h (rescue midazolam)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saline (rescue midazolam)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55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50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glycopyrrolate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lidocaine, any administration, including nerve blocks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100%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100%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12" w:space="0" w:color="auto"/>
            </w:tcBorders>
          </w:tcPr>
          <w:p w:rsidR="008E27A0" w:rsidRPr="00515F8F" w:rsidRDefault="00AB57E1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n</w:t>
            </w:r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o difference in ease of intubation, hemodynamic stability, patient cooperation and recall, but in the placebo group more patients required midazolam, fentanyl and propofol </w:t>
            </w:r>
          </w:p>
        </w:tc>
      </w:tr>
      <w:tr w:rsidR="00515F8F" w:rsidRPr="00515F8F" w:rsidTr="00107913">
        <w:trPr>
          <w:trHeight w:val="304"/>
          <w:jc w:val="center"/>
        </w:trPr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Hassan ME</w:t>
            </w:r>
            <w:r w:rsidR="008A18B6" w:rsidRPr="00515F8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2</w:t>
            </w:r>
            <w:r w:rsidR="00BD4BDF" w:rsidRPr="00515F8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dexmedetomidine 1mcg/kg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dexmedetomidine 2mcg/kg (dexmedetomidine 1mcg/</w:t>
            </w:r>
            <w:proofErr w:type="spellStart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kg+and</w:t>
            </w:r>
            <w:proofErr w:type="spellEnd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 fentanyl 1mcg/kg))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50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50 (50)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</w:rPr>
            </w:pPr>
            <w:r w:rsidRPr="00515F8F">
              <w:rPr>
                <w:rFonts w:ascii="Arial" w:hAnsi="Arial" w:cs="Arial"/>
                <w:sz w:val="16"/>
                <w:szCs w:val="16"/>
              </w:rPr>
              <w:t>metoclopramide 10mg+ ranitidine 50 mg+ atropine 0.3 mg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</w:rPr>
            </w:pPr>
            <w:r w:rsidRPr="00515F8F">
              <w:rPr>
                <w:rFonts w:ascii="Arial" w:hAnsi="Arial" w:cs="Arial"/>
                <w:sz w:val="16"/>
                <w:szCs w:val="16"/>
              </w:rPr>
              <w:t>oximetazoline + lidocaine 2%+ adrenaline + lidocaine 2%nebulizer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100%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100% (100%)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0 (0)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AB57E1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n</w:t>
            </w:r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o difference in patient recall, incidence of airway obstruction and closing of vocal cords. More limb movements in the low dose </w:t>
            </w:r>
            <w:proofErr w:type="spellStart"/>
            <w:r w:rsidR="007E5E80" w:rsidRPr="00515F8F">
              <w:rPr>
                <w:rFonts w:ascii="Arial" w:hAnsi="Arial" w:cs="Arial"/>
                <w:sz w:val="16"/>
                <w:szCs w:val="16"/>
                <w:lang w:val="en-GB"/>
              </w:rPr>
              <w:t>D</w:t>
            </w:r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>ex</w:t>
            </w:r>
            <w:proofErr w:type="spellEnd"/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 group</w:t>
            </w:r>
          </w:p>
        </w:tc>
      </w:tr>
      <w:tr w:rsidR="00515F8F" w:rsidRPr="00515F8F" w:rsidTr="00107913">
        <w:trPr>
          <w:trHeight w:val="304"/>
          <w:jc w:val="center"/>
        </w:trPr>
        <w:tc>
          <w:tcPr>
            <w:tcW w:w="988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Sharma J</w:t>
            </w:r>
            <w:r w:rsidR="008A18B6" w:rsidRPr="00515F8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2</w:t>
            </w:r>
            <w:r w:rsidR="00BD4BDF" w:rsidRPr="00515F8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8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dexmedetomidine 0.5mcg/kg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dexmedetomidine 1mcg/kg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glicopyrrolate</w:t>
            </w:r>
            <w:proofErr w:type="spellEnd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 0.2mg+ midazolam 0.05mg/kg/</w:t>
            </w:r>
            <w:proofErr w:type="spellStart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ev</w:t>
            </w:r>
            <w:proofErr w:type="spellEnd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, ondansetron 4mg, ranitidine 50 mg</w:t>
            </w:r>
          </w:p>
        </w:tc>
        <w:tc>
          <w:tcPr>
            <w:tcW w:w="1974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lidocaine 10%puffs tongue and </w:t>
            </w:r>
            <w:proofErr w:type="spellStart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oropfarynx</w:t>
            </w:r>
            <w:proofErr w:type="spellEnd"/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100%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100%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2420" w:type="dxa"/>
            <w:tcBorders>
              <w:bottom w:val="single" w:sz="12" w:space="0" w:color="auto"/>
            </w:tcBorders>
          </w:tcPr>
          <w:p w:rsidR="008E27A0" w:rsidRPr="00515F8F" w:rsidRDefault="00AB57E1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atients in the high dose group more profoundly sedated, but intubation time, tolerance, vocal cords and limbs movement, and satisfaction score did not differ; no differences in </w:t>
            </w:r>
            <w:proofErr w:type="spellStart"/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>h</w:t>
            </w:r>
            <w:r w:rsidR="008A18B6" w:rsidRPr="00515F8F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>emodynamic</w:t>
            </w: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  <w:proofErr w:type="spellEnd"/>
          </w:p>
        </w:tc>
      </w:tr>
      <w:tr w:rsidR="00515F8F" w:rsidRPr="00515F8F" w:rsidTr="00107913">
        <w:trPr>
          <w:trHeight w:val="304"/>
          <w:jc w:val="center"/>
        </w:trPr>
        <w:tc>
          <w:tcPr>
            <w:tcW w:w="988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Tsai CJ</w:t>
            </w:r>
            <w:r w:rsidR="00BD4BDF" w:rsidRPr="00515F8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29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dexmedetomidine 1mcg/kg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TCI propofol, initial target 3mcg/ml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974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cocaine 6% for nasal canals and lidocaine 10% for </w:t>
            </w:r>
            <w:proofErr w:type="spellStart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thongue</w:t>
            </w:r>
            <w:proofErr w:type="spellEnd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 and </w:t>
            </w:r>
            <w:proofErr w:type="spellStart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hypopharinx</w:t>
            </w:r>
            <w:proofErr w:type="spellEnd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 and lidocaine 2% for glottis and vocal cords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100%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100%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2420" w:type="dxa"/>
            <w:tcBorders>
              <w:top w:val="single" w:sz="12" w:space="0" w:color="auto"/>
            </w:tcBorders>
          </w:tcPr>
          <w:p w:rsidR="008E27A0" w:rsidRPr="00515F8F" w:rsidRDefault="00AB57E1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ntubation scores and final patient satisfaction not different. The </w:t>
            </w:r>
            <w:proofErr w:type="spellStart"/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>Dex</w:t>
            </w:r>
            <w:proofErr w:type="spellEnd"/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 group had a lower incidence of vocal cords closure and airway obstruction, better patient comfort scores, but a higher incidence of recall</w:t>
            </w:r>
          </w:p>
        </w:tc>
      </w:tr>
      <w:tr w:rsidR="00515F8F" w:rsidRPr="00515F8F" w:rsidTr="00107913">
        <w:trPr>
          <w:trHeight w:val="304"/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Gupta K</w:t>
            </w:r>
            <w:r w:rsidR="00BD4BDF" w:rsidRPr="00515F8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dexmedetomidine 1mcg/kg + propofol (dosage not reported)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propofol (dosage not reported)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metoclopramide 10 mg + </w:t>
            </w:r>
            <w:proofErr w:type="spellStart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glicopyrrolate</w:t>
            </w:r>
            <w:proofErr w:type="spellEnd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 0.2 mg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xylometazoline + lidocaine 4% + adrenaline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100%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100%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8E27A0" w:rsidRPr="00515F8F" w:rsidRDefault="00AB57E1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n the </w:t>
            </w:r>
            <w:proofErr w:type="spellStart"/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>Dex</w:t>
            </w:r>
            <w:proofErr w:type="spellEnd"/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 group, sedation was reached with less time (but the total intubation time was similar) and less propofol, the procedure was easier and better tolerated, and airway obstruction less frequent </w:t>
            </w:r>
          </w:p>
        </w:tc>
      </w:tr>
      <w:tr w:rsidR="00515F8F" w:rsidRPr="00515F8F" w:rsidTr="00107913">
        <w:trPr>
          <w:trHeight w:val="304"/>
          <w:jc w:val="center"/>
        </w:trPr>
        <w:tc>
          <w:tcPr>
            <w:tcW w:w="988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Chalam</w:t>
            </w:r>
            <w:proofErr w:type="spellEnd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 KS</w:t>
            </w:r>
            <w:r w:rsidR="00BD4BDF" w:rsidRPr="00515F8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31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dexmedetomidine1mcg/kg + 0.5mcg/kg/h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propofol 1mg/kg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50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50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diazepam 10 mg + ranitidine 150 mg + </w:t>
            </w:r>
            <w:proofErr w:type="spellStart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glicopyrrolate</w:t>
            </w:r>
            <w:proofErr w:type="spellEnd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 0.2 mg kg/</w:t>
            </w:r>
            <w:proofErr w:type="spellStart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ev</w:t>
            </w:r>
            <w:proofErr w:type="spellEnd"/>
          </w:p>
        </w:tc>
        <w:tc>
          <w:tcPr>
            <w:tcW w:w="1974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lidocaine 2% + adrenaline+ recurrent </w:t>
            </w:r>
            <w:proofErr w:type="spellStart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translaringeal</w:t>
            </w:r>
            <w:proofErr w:type="spellEnd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 nerve block with transtracheal injection 2% lidocaine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100%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100%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2420" w:type="dxa"/>
            <w:tcBorders>
              <w:bottom w:val="single" w:sz="12" w:space="0" w:color="auto"/>
            </w:tcBorders>
          </w:tcPr>
          <w:p w:rsidR="008E27A0" w:rsidRPr="00515F8F" w:rsidRDefault="00AB57E1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n</w:t>
            </w:r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o difference in oxygenation during the procedure. In the </w:t>
            </w:r>
            <w:proofErr w:type="spellStart"/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>Dex</w:t>
            </w:r>
            <w:proofErr w:type="spellEnd"/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 group heart rate, systolic and diastolic blood pressure were lower, and respiratory rate higher; in the same </w:t>
            </w:r>
            <w:proofErr w:type="spellStart"/>
            <w:r w:rsidR="00A65508" w:rsidRPr="00515F8F">
              <w:rPr>
                <w:rFonts w:ascii="Arial" w:hAnsi="Arial" w:cs="Arial"/>
                <w:sz w:val="16"/>
                <w:szCs w:val="16"/>
                <w:lang w:val="en-GB"/>
              </w:rPr>
              <w:t>Dex</w:t>
            </w:r>
            <w:proofErr w:type="spellEnd"/>
            <w:r w:rsidR="00A65508"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>group, patients</w:t>
            </w:r>
            <w:r w:rsidR="007E5E80" w:rsidRPr="00515F8F">
              <w:rPr>
                <w:rFonts w:ascii="Arial" w:hAnsi="Arial" w:cs="Arial"/>
                <w:sz w:val="16"/>
                <w:szCs w:val="16"/>
                <w:lang w:val="en-GB"/>
              </w:rPr>
              <w:t>’</w:t>
            </w:r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 sedation and </w:t>
            </w:r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discomfort scores, endoscopy and intubation scores were better (but without differences in post intubation conditions)</w:t>
            </w:r>
          </w:p>
        </w:tc>
      </w:tr>
      <w:tr w:rsidR="00515F8F" w:rsidRPr="00515F8F" w:rsidTr="00107913">
        <w:trPr>
          <w:trHeight w:val="279"/>
          <w:jc w:val="center"/>
        </w:trPr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Hu R</w:t>
            </w:r>
            <w:r w:rsidR="00BD4BDF" w:rsidRPr="00515F8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32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dexmedetomidine 1.5mcg/kg, then 0.7 mcg/kg/h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TCI remifentanil, initial target 3 ng/m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ephedrine, nitrofurazone, lidocaine 7%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100%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100%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2 (bradycardia)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2 (oxygen desaturation)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AB57E1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n</w:t>
            </w:r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o differences in intubation and post intubation scores. The </w:t>
            </w:r>
            <w:proofErr w:type="spellStart"/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>Dex</w:t>
            </w:r>
            <w:proofErr w:type="spellEnd"/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 group had better endoscopy and patient satisfaction scores, less recall and higher oxygen saturation at the end of the procedure, but a higher incidence of cough and longer duration of procedure</w:t>
            </w:r>
          </w:p>
        </w:tc>
      </w:tr>
      <w:tr w:rsidR="00515F8F" w:rsidRPr="00515F8F" w:rsidTr="00107913">
        <w:trPr>
          <w:trHeight w:val="304"/>
          <w:jc w:val="center"/>
        </w:trPr>
        <w:tc>
          <w:tcPr>
            <w:tcW w:w="988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Liu HH</w:t>
            </w:r>
            <w:r w:rsidR="008A18B6" w:rsidRPr="00515F8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3</w:t>
            </w:r>
            <w:r w:rsidR="00BD4BDF" w:rsidRPr="00515F8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dexmedetomidine 1mcg/kg + 0.3 mcg/kg/h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remifentanil 0.75mcg/kg + 0.1 mcg/kg/min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45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45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0.1 mg phenobarbital + 0.5mg atropine</w:t>
            </w:r>
          </w:p>
        </w:tc>
        <w:tc>
          <w:tcPr>
            <w:tcW w:w="1974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lidocaine 2% from mouth to glottis and below vocal cords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100%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100%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2420" w:type="dxa"/>
            <w:tcBorders>
              <w:bottom w:val="single" w:sz="12" w:space="0" w:color="auto"/>
            </w:tcBorders>
          </w:tcPr>
          <w:p w:rsidR="008E27A0" w:rsidRPr="00515F8F" w:rsidRDefault="00AB57E1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n</w:t>
            </w:r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o difference in need of rescue propofol infusion, intubation scores, duration, hemodynamic and oxygenation. Recall more common in the </w:t>
            </w: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r</w:t>
            </w:r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>emif</w:t>
            </w: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entanil</w:t>
            </w:r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 group</w:t>
            </w:r>
          </w:p>
        </w:tc>
      </w:tr>
      <w:tr w:rsidR="00515F8F" w:rsidRPr="00515F8F" w:rsidTr="00107913">
        <w:trPr>
          <w:trHeight w:val="304"/>
          <w:jc w:val="center"/>
        </w:trPr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Shen SL</w:t>
            </w:r>
            <w:r w:rsidR="00BD4BDF" w:rsidRPr="00515F8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34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dexmedetomidine 1mcg/kg/10min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TCI </w:t>
            </w:r>
            <w:proofErr w:type="spellStart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sufentanyl</w:t>
            </w:r>
            <w:proofErr w:type="spellEnd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, initial target 3ng/m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lidocaine 2% nasal and oral and glottis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100%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100%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not reported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not reported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7E5E8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Dex</w:t>
            </w:r>
            <w:proofErr w:type="spellEnd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>group showed more favourable vocal cords and limbs movements, cough, patient tolerance and satisfaction scores, a shorter duration of the procedure, and a lower incidence of hypertension and respiratory depression (but a higher incidence of bradycardia)</w:t>
            </w:r>
          </w:p>
        </w:tc>
      </w:tr>
      <w:tr w:rsidR="00515F8F" w:rsidRPr="00515F8F" w:rsidTr="00107913">
        <w:trPr>
          <w:trHeight w:val="304"/>
          <w:jc w:val="center"/>
        </w:trPr>
        <w:tc>
          <w:tcPr>
            <w:tcW w:w="988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Li CW</w:t>
            </w:r>
            <w:r w:rsidR="00BD4BDF" w:rsidRPr="00515F8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35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dexmedetomidine 0.5mcg/kg+ midazolam 0.25mcg/kg/h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sufentanyl</w:t>
            </w:r>
            <w:proofErr w:type="spellEnd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-midazolam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25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25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midazolam 0.02 mg/kg</w:t>
            </w:r>
          </w:p>
        </w:tc>
        <w:tc>
          <w:tcPr>
            <w:tcW w:w="1974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tetracaine 1% for nostrils, + lidocaine spray as you go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100%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100%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2420" w:type="dxa"/>
            <w:tcBorders>
              <w:bottom w:val="single" w:sz="12" w:space="0" w:color="auto"/>
            </w:tcBorders>
          </w:tcPr>
          <w:p w:rsidR="008E27A0" w:rsidRPr="00515F8F" w:rsidRDefault="007E5E8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easiness</w:t>
            </w:r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 of the procedure, patient reactions, satisfaction and recall, hemodynamic and oxygenation were not different. In </w:t>
            </w:r>
            <w:proofErr w:type="spellStart"/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>Dex</w:t>
            </w:r>
            <w:proofErr w:type="spellEnd"/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 group, sedation level was deeper, BIS index was lower and post intubation end tidal CO2 were lower</w:t>
            </w:r>
          </w:p>
        </w:tc>
      </w:tr>
      <w:tr w:rsidR="00515F8F" w:rsidRPr="00515F8F" w:rsidTr="00107913">
        <w:trPr>
          <w:trHeight w:val="304"/>
          <w:jc w:val="center"/>
        </w:trPr>
        <w:tc>
          <w:tcPr>
            <w:tcW w:w="988" w:type="dxa"/>
            <w:tcBorders>
              <w:top w:val="single" w:sz="12" w:space="0" w:color="auto"/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Chu KS</w:t>
            </w:r>
            <w:r w:rsidR="008A18B6" w:rsidRPr="00515F8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3</w:t>
            </w:r>
            <w:r w:rsidR="00BD4BDF" w:rsidRPr="00515F8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dexmedetomidine 1mcg/kg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fentanyl 1mcg/kg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lidocaine 10% spray and cocaine 6%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100%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100%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12" w:space="0" w:color="auto"/>
            </w:tcBorders>
          </w:tcPr>
          <w:p w:rsidR="008E27A0" w:rsidRPr="00515F8F" w:rsidRDefault="00A65508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n</w:t>
            </w:r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o difference in blood pressure values and oxygenation. In </w:t>
            </w:r>
            <w:proofErr w:type="spellStart"/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>Dex</w:t>
            </w:r>
            <w:proofErr w:type="spellEnd"/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 group, intubation score, patient satisfaction and amnesia were better, and heart rate was lower</w:t>
            </w:r>
          </w:p>
        </w:tc>
      </w:tr>
      <w:tr w:rsidR="00515F8F" w:rsidRPr="00515F8F" w:rsidTr="00107913">
        <w:trPr>
          <w:trHeight w:val="304"/>
          <w:jc w:val="center"/>
        </w:trPr>
        <w:tc>
          <w:tcPr>
            <w:tcW w:w="988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Sayeed T</w:t>
            </w:r>
            <w:r w:rsidR="008A18B6" w:rsidRPr="00515F8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3</w:t>
            </w:r>
            <w:r w:rsidR="00BD4BDF" w:rsidRPr="00515F8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dexmedetomidine 1mcg/kg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fentanyl 1mcg/kg + </w:t>
            </w:r>
            <w:r w:rsidR="00AB57E1" w:rsidRPr="00515F8F">
              <w:rPr>
                <w:rFonts w:ascii="Arial" w:hAnsi="Arial" w:cs="Arial"/>
                <w:sz w:val="16"/>
                <w:szCs w:val="16"/>
                <w:lang w:val="en-GB"/>
              </w:rPr>
              <w:t>m</w:t>
            </w: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idazolam 1 mg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974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oxymetazoline 0.05% nostril, lidocaine for oropharynx and nostrils, lidocaine 2% for trachea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100%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100%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2420" w:type="dxa"/>
            <w:tcBorders>
              <w:top w:val="single" w:sz="12" w:space="0" w:color="auto"/>
            </w:tcBorders>
          </w:tcPr>
          <w:p w:rsidR="008E27A0" w:rsidRPr="00515F8F" w:rsidRDefault="00A65508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n</w:t>
            </w:r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o difference in patient comfort during and after the procedure, in its length, in oxygenation, in the ease of FOB; on the contrary, the ease of intubation and diastolic blood pressure </w:t>
            </w:r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 xml:space="preserve">were better in the </w:t>
            </w:r>
            <w:proofErr w:type="spellStart"/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>Dex</w:t>
            </w:r>
            <w:proofErr w:type="spellEnd"/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 group. Recall was more common with </w:t>
            </w:r>
            <w:proofErr w:type="spellStart"/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>Dex</w:t>
            </w:r>
            <w:proofErr w:type="spellEnd"/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</w:tr>
      <w:tr w:rsidR="00515F8F" w:rsidRPr="00515F8F" w:rsidTr="00107913">
        <w:trPr>
          <w:trHeight w:val="304"/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Agrawal A</w:t>
            </w:r>
            <w:r w:rsidR="008A18B6" w:rsidRPr="00515F8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3</w:t>
            </w:r>
            <w:r w:rsidR="00BD4BDF" w:rsidRPr="00515F8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dexmedetomidine 1mcg/kg + propofol (dosage not reported)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fentanyl 1mcg/kg + </w:t>
            </w:r>
            <w:r w:rsidR="00AB57E1" w:rsidRPr="00515F8F">
              <w:rPr>
                <w:rFonts w:ascii="Arial" w:hAnsi="Arial" w:cs="Arial"/>
                <w:sz w:val="16"/>
                <w:szCs w:val="16"/>
                <w:lang w:val="en-GB"/>
              </w:rPr>
              <w:t>m</w:t>
            </w: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idazolam 1 mg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glycopyrrolate0.2mg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xylometazoline + lidocaine 4%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100%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100%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Comfort scores during FOB and intubation not different, no difference in the ease of the procedure. Respiratory rate and oxygenation higher in </w:t>
            </w:r>
            <w:proofErr w:type="spellStart"/>
            <w:r w:rsidR="007E5E80" w:rsidRPr="00515F8F">
              <w:rPr>
                <w:rFonts w:ascii="Arial" w:hAnsi="Arial" w:cs="Arial"/>
                <w:sz w:val="16"/>
                <w:szCs w:val="16"/>
                <w:lang w:val="en-GB"/>
              </w:rPr>
              <w:t>D</w:t>
            </w: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ex</w:t>
            </w:r>
            <w:proofErr w:type="spellEnd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 group</w:t>
            </w:r>
          </w:p>
        </w:tc>
      </w:tr>
      <w:tr w:rsidR="00515F8F" w:rsidRPr="00515F8F" w:rsidTr="00107913">
        <w:trPr>
          <w:trHeight w:val="304"/>
          <w:jc w:val="center"/>
        </w:trPr>
        <w:tc>
          <w:tcPr>
            <w:tcW w:w="988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Yousuf A</w:t>
            </w:r>
            <w:r w:rsidR="00BD4BDF" w:rsidRPr="00515F8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39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dexmedetomidine 1mcg/kg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fentanyl 2mcg/kg + </w:t>
            </w:r>
            <w:r w:rsidR="00AB57E1" w:rsidRPr="00515F8F">
              <w:rPr>
                <w:rFonts w:ascii="Arial" w:hAnsi="Arial" w:cs="Arial"/>
                <w:sz w:val="16"/>
                <w:szCs w:val="16"/>
                <w:lang w:val="en-GB"/>
              </w:rPr>
              <w:t>m</w:t>
            </w: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idazolam 0.02mg/kg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39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ranitidine 150mg + ondansetron 4 mg</w:t>
            </w:r>
          </w:p>
        </w:tc>
        <w:tc>
          <w:tcPr>
            <w:tcW w:w="1974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spray of 10% lido + nebulization lido 2% 80mg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100%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100%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2420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In </w:t>
            </w:r>
            <w:proofErr w:type="spellStart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Dex</w:t>
            </w:r>
            <w:proofErr w:type="spellEnd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 group, blood pressure and heart rate remained more stable and oxygenation at intubation was better. Sedation scores were similar, but the </w:t>
            </w:r>
            <w:proofErr w:type="spellStart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Dex</w:t>
            </w:r>
            <w:proofErr w:type="spellEnd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 group showed better cough score and post intubation conditions</w:t>
            </w:r>
          </w:p>
        </w:tc>
      </w:tr>
      <w:tr w:rsidR="00515F8F" w:rsidRPr="00515F8F" w:rsidTr="00107913">
        <w:trPr>
          <w:trHeight w:val="304"/>
          <w:jc w:val="center"/>
        </w:trPr>
        <w:tc>
          <w:tcPr>
            <w:tcW w:w="988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Zhang X</w:t>
            </w:r>
            <w:r w:rsidR="00BD4BDF" w:rsidRPr="00515F8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40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TCI remifentanil, initial target 3ng/ml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TCI propofol, initial target 2mcg/ml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18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18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974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intranasal lidocaine 2%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100%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94% (1 failure due to glottic closure and respiratory depression)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2420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No difference in hemodynamic and oxygenation, and in the need to increment dosage. In the propofol group, the sedation was </w:t>
            </w:r>
            <w:r w:rsidR="008A18B6" w:rsidRPr="00515F8F">
              <w:rPr>
                <w:rFonts w:ascii="Arial" w:hAnsi="Arial" w:cs="Arial"/>
                <w:sz w:val="16"/>
                <w:szCs w:val="16"/>
                <w:lang w:val="en-GB"/>
              </w:rPr>
              <w:t>deeper,</w:t>
            </w: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 and the vocal cords more often closed. Patient satisfaction was </w:t>
            </w:r>
            <w:r w:rsidR="008A18B6" w:rsidRPr="00515F8F">
              <w:rPr>
                <w:rFonts w:ascii="Arial" w:hAnsi="Arial" w:cs="Arial"/>
                <w:sz w:val="16"/>
                <w:szCs w:val="16"/>
                <w:lang w:val="en-GB"/>
              </w:rPr>
              <w:t>similar,</w:t>
            </w: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 but recall was more common with </w:t>
            </w:r>
            <w:r w:rsidR="00A65508" w:rsidRPr="00515F8F">
              <w:rPr>
                <w:rFonts w:ascii="Arial" w:hAnsi="Arial" w:cs="Arial"/>
                <w:sz w:val="16"/>
                <w:szCs w:val="16"/>
                <w:lang w:val="en-GB"/>
              </w:rPr>
              <w:t>remifentanil</w:t>
            </w: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  <w:r w:rsidR="00E71315" w:rsidRPr="00515F8F">
              <w:rPr>
                <w:rFonts w:ascii="Arial" w:hAnsi="Arial" w:cs="Arial"/>
                <w:sz w:val="15"/>
                <w:szCs w:val="15"/>
                <w:highlight w:val="yellow"/>
                <w:lang w:val="en-GB"/>
              </w:rPr>
              <w:t xml:space="preserve"> </w:t>
            </w:r>
            <w:r w:rsidR="00E71315" w:rsidRPr="00515F8F">
              <w:rPr>
                <w:rFonts w:ascii="Arial" w:hAnsi="Arial" w:cs="Arial"/>
                <w:sz w:val="16"/>
                <w:szCs w:val="16"/>
                <w:lang w:val="en-GB"/>
              </w:rPr>
              <w:t>Alternative intubation technique applied in the failure case: not reported</w:t>
            </w:r>
          </w:p>
        </w:tc>
      </w:tr>
      <w:tr w:rsidR="00515F8F" w:rsidRPr="00515F8F" w:rsidTr="00107913">
        <w:trPr>
          <w:trHeight w:val="304"/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Lallo</w:t>
            </w:r>
            <w:proofErr w:type="spellEnd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 A</w:t>
            </w:r>
            <w:r w:rsidR="00BD4BDF" w:rsidRPr="00515F8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TCI remifentanil, initial target 1,5ng/ml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TCI propofol, initial target 2,5mcg/ml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hydroxy</w:t>
            </w:r>
            <w:r w:rsidR="00B269EB" w:rsidRPr="00515F8F">
              <w:rPr>
                <w:rFonts w:ascii="Arial" w:hAnsi="Arial" w:cs="Arial"/>
                <w:sz w:val="16"/>
                <w:szCs w:val="16"/>
                <w:lang w:val="en-GB"/>
              </w:rPr>
              <w:t>zi</w:t>
            </w: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ne 1-1.5mg/kg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lidocaine 5% and naphazoline 2%, lidocaine spray and lidocaine trough fiberscope channel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97% (1 failure due to panic)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97% (1 failure due to glottic closure and respiratory depression)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8E27A0" w:rsidRPr="00515F8F" w:rsidRDefault="00A65508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n</w:t>
            </w:r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o difference in oxygenation, duration, dosage increments required and final pain score. Vocal cords opening was better in </w:t>
            </w: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remifentanil</w:t>
            </w:r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 group, but sedation was lighter and recall more common</w:t>
            </w:r>
            <w:r w:rsidR="00E71315" w:rsidRPr="00515F8F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  <w:r w:rsidR="00E71315" w:rsidRPr="00515F8F">
              <w:rPr>
                <w:rFonts w:ascii="Arial" w:hAnsi="Arial" w:cs="Arial"/>
                <w:lang w:val="en-US"/>
              </w:rPr>
              <w:t xml:space="preserve"> </w:t>
            </w:r>
            <w:r w:rsidR="00E71315" w:rsidRPr="00515F8F">
              <w:rPr>
                <w:rFonts w:ascii="Arial" w:hAnsi="Arial" w:cs="Arial"/>
                <w:sz w:val="16"/>
                <w:szCs w:val="16"/>
                <w:lang w:val="en-GB"/>
              </w:rPr>
              <w:t>Alternative intubation technique applied in the failure cases: change of sedative remifentanil case), manual mask ventilation (propofol case)</w:t>
            </w:r>
          </w:p>
        </w:tc>
      </w:tr>
      <w:tr w:rsidR="00515F8F" w:rsidRPr="00515F8F" w:rsidTr="00107913">
        <w:trPr>
          <w:trHeight w:val="304"/>
          <w:jc w:val="center"/>
        </w:trPr>
        <w:tc>
          <w:tcPr>
            <w:tcW w:w="988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Rai MR</w:t>
            </w:r>
            <w:r w:rsidR="00BD4BDF" w:rsidRPr="00515F8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42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TCI remifentanil, initial target 3ng/ml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TCI propofol, initial target 1mcg/ml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glycopirrolate</w:t>
            </w:r>
            <w:proofErr w:type="spellEnd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 0.2mg + midazolam (70 kg, 1 mg; 70–130 kg, 1.5 mg; .130 kg, 2 mg)</w:t>
            </w:r>
          </w:p>
        </w:tc>
        <w:tc>
          <w:tcPr>
            <w:tcW w:w="1974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cocaine 100mg nasally, lidocaine 200mg oropharynx via atomizer + lidocaine 4% vocal cords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100%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100%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2420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No difference in sedation scores, but endoscopy more difficult and requiring more time in the </w:t>
            </w:r>
            <w:r w:rsidR="00A65508" w:rsidRPr="00515F8F"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ropofol group. Patient tolerance was better in the </w:t>
            </w:r>
            <w:r w:rsidR="00A65508" w:rsidRPr="00515F8F">
              <w:rPr>
                <w:rFonts w:ascii="Arial" w:hAnsi="Arial" w:cs="Arial"/>
                <w:sz w:val="16"/>
                <w:szCs w:val="16"/>
                <w:lang w:val="en-GB"/>
              </w:rPr>
              <w:t>remifentanil</w:t>
            </w: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 group, but recall was more common</w:t>
            </w:r>
          </w:p>
        </w:tc>
      </w:tr>
      <w:tr w:rsidR="00515F8F" w:rsidRPr="00515F8F" w:rsidTr="00107913">
        <w:trPr>
          <w:trHeight w:val="304"/>
          <w:jc w:val="center"/>
        </w:trPr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Machata</w:t>
            </w:r>
            <w:proofErr w:type="spellEnd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 AM</w:t>
            </w:r>
            <w:r w:rsidR="00BD4BDF" w:rsidRPr="00515F8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43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remifentanil 0.75mcg/kg + 0,075mcg/kg/min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remifentanil 1.5mcg/kg + 0,15 mcg/kg/min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midazolam 0.05mg/kg + glycopyrrolate 0.2mg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lidocaine 2% and oxymetazoline for nostrils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100%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100%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A65508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n</w:t>
            </w:r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o difference in hemodynamic, oxygenation and discomfort. </w:t>
            </w: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>n the high dose group, sedation was deeper, end tidal CO2 higher and recall less common</w:t>
            </w:r>
          </w:p>
        </w:tc>
      </w:tr>
      <w:tr w:rsidR="00515F8F" w:rsidRPr="00515F8F" w:rsidTr="00107913">
        <w:trPr>
          <w:trHeight w:val="304"/>
          <w:jc w:val="center"/>
        </w:trPr>
        <w:tc>
          <w:tcPr>
            <w:tcW w:w="988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Yeganeh N</w:t>
            </w:r>
            <w:r w:rsidR="00BD4BDF" w:rsidRPr="00515F8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44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TCI remifentanil, initial target 0.8ng/ml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remifentanil 0.75mcg/kg + 0,075mcg/kg/min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scopolamine 20 mg + midazolam 0.03mg/kg </w:t>
            </w:r>
            <w:proofErr w:type="spellStart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ev</w:t>
            </w:r>
            <w:proofErr w:type="spellEnd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, 10' before procedure </w:t>
            </w:r>
          </w:p>
        </w:tc>
        <w:tc>
          <w:tcPr>
            <w:tcW w:w="1974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lidocaine 10% nasal mucosa</w:t>
            </w:r>
            <w:bookmarkStart w:id="0" w:name="_GoBack"/>
            <w:bookmarkEnd w:id="0"/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100%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100%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2420" w:type="dxa"/>
            <w:tcBorders>
              <w:bottom w:val="single" w:sz="12" w:space="0" w:color="auto"/>
            </w:tcBorders>
          </w:tcPr>
          <w:p w:rsidR="008E27A0" w:rsidRPr="00515F8F" w:rsidRDefault="00A65508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n</w:t>
            </w:r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>o difference in hemodynamic, oxygenation, intubation conditions, duration. Recall was more common in the manual group, despite similar mean infusion rates</w:t>
            </w:r>
          </w:p>
        </w:tc>
      </w:tr>
      <w:tr w:rsidR="00515F8F" w:rsidRPr="00515F8F" w:rsidTr="00107913">
        <w:trPr>
          <w:trHeight w:val="304"/>
          <w:jc w:val="center"/>
        </w:trPr>
        <w:tc>
          <w:tcPr>
            <w:tcW w:w="988" w:type="dxa"/>
            <w:tcBorders>
              <w:top w:val="single" w:sz="12" w:space="0" w:color="auto"/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Puchner W</w:t>
            </w:r>
            <w:r w:rsidR="008A18B6" w:rsidRPr="00515F8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4</w:t>
            </w:r>
            <w:r w:rsidR="00BD4BDF" w:rsidRPr="00515F8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remifentanil 0.1mcg/kg/min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8E27A0" w:rsidRPr="00515F8F" w:rsidRDefault="00AB57E1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f</w:t>
            </w:r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>entanest</w:t>
            </w:r>
            <w:proofErr w:type="spellEnd"/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 1.5 mcg/kg + </w:t>
            </w: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m</w:t>
            </w:r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>idazolam 1-10 mg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37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37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midazolam oral 15 mg&lt;50aa, 7.5mg&gt;50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xilometazoline</w:t>
            </w:r>
            <w:proofErr w:type="spellEnd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 and 4% lidocaine+ lidocaine 4% supra and subglottic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100%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97% </w:t>
            </w:r>
            <w:proofErr w:type="gramStart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( 1</w:t>
            </w:r>
            <w:proofErr w:type="gramEnd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 failure due to intolerance)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12" w:space="0" w:color="auto"/>
            </w:tcBorders>
          </w:tcPr>
          <w:p w:rsidR="008E27A0" w:rsidRPr="00515F8F" w:rsidRDefault="00A65508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n</w:t>
            </w:r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o difference in oxygenation and ease of intubation. Duration was shorter in the </w:t>
            </w: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remifentanil</w:t>
            </w:r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 group, with reduced blood pressure increments and reduced patient reactivity, but recall was more common.</w:t>
            </w:r>
            <w:r w:rsidR="00E71315" w:rsidRPr="00515F8F">
              <w:rPr>
                <w:rFonts w:ascii="Arial" w:hAnsi="Arial" w:cs="Arial"/>
                <w:lang w:val="en-US"/>
              </w:rPr>
              <w:t xml:space="preserve"> </w:t>
            </w:r>
            <w:r w:rsidR="00E71315" w:rsidRPr="00515F8F">
              <w:rPr>
                <w:rFonts w:ascii="Arial" w:hAnsi="Arial" w:cs="Arial"/>
                <w:sz w:val="16"/>
                <w:szCs w:val="16"/>
                <w:lang w:val="en-GB"/>
              </w:rPr>
              <w:t>Alternative intubation technique applied in the failure case: not reported</w:t>
            </w:r>
          </w:p>
        </w:tc>
      </w:tr>
      <w:tr w:rsidR="00515F8F" w:rsidRPr="00515F8F" w:rsidTr="00107913">
        <w:trPr>
          <w:trHeight w:val="279"/>
          <w:jc w:val="center"/>
        </w:trPr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Pean</w:t>
            </w:r>
            <w:proofErr w:type="spellEnd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 D</w:t>
            </w:r>
            <w:r w:rsidR="008A18B6" w:rsidRPr="00515F8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4</w:t>
            </w:r>
            <w:r w:rsidR="00BD4BDF" w:rsidRPr="00515F8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TCI propofol, initial target 6mcg/ml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sevoflurane 8%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38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35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lidocaine 5% aerosol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97% (1 failure)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90% (4 failure)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 (hypoxemia)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 (hypoxemia)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4" w:space="0" w:color="auto"/>
            </w:tcBorders>
          </w:tcPr>
          <w:p w:rsidR="008E27A0" w:rsidRPr="00515F8F" w:rsidRDefault="00493AF2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n</w:t>
            </w:r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o difference in hemodynamic, oxygenation, technical difficulty, patient recall and satisfaction. In the </w:t>
            </w: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sevoflurane</w:t>
            </w:r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 group, induction and procedure duration were shorter.</w:t>
            </w:r>
            <w:r w:rsidR="00E71315" w:rsidRPr="00515F8F">
              <w:rPr>
                <w:rFonts w:ascii="Arial" w:hAnsi="Arial" w:cs="Arial"/>
                <w:lang w:val="en-US"/>
              </w:rPr>
              <w:t xml:space="preserve"> </w:t>
            </w:r>
            <w:r w:rsidR="00E71315" w:rsidRPr="00515F8F">
              <w:rPr>
                <w:rFonts w:ascii="Arial" w:hAnsi="Arial" w:cs="Arial"/>
                <w:sz w:val="16"/>
                <w:szCs w:val="16"/>
                <w:lang w:val="en-GB"/>
              </w:rPr>
              <w:t>Alternative intubation technique applied in the failure case: trans-tracheal jet ventilation (2 cases, including the propofol one), patient awakening (2 cases), retrograde intubation (one patient)</w:t>
            </w:r>
          </w:p>
        </w:tc>
      </w:tr>
      <w:tr w:rsidR="00515F8F" w:rsidRPr="00515F8F" w:rsidTr="00107913">
        <w:trPr>
          <w:trHeight w:val="279"/>
          <w:jc w:val="center"/>
        </w:trPr>
        <w:tc>
          <w:tcPr>
            <w:tcW w:w="988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Robba</w:t>
            </w:r>
            <w:proofErr w:type="spellEnd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 C</w:t>
            </w:r>
            <w:r w:rsidR="008A18B6" w:rsidRPr="00515F8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4</w:t>
            </w:r>
            <w:r w:rsidR="00BD4BDF" w:rsidRPr="00515F8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7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TCI propofol, initial target 3,5mcg/ml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sevoflurane 8%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36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36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974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lidocaine 2% topically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100%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100%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2420" w:type="dxa"/>
            <w:tcBorders>
              <w:bottom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Oxygenation, duration and intubation conditions were similar. In the </w:t>
            </w:r>
            <w:r w:rsidR="00493AF2" w:rsidRPr="00515F8F"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ropofol group </w:t>
            </w:r>
            <w:proofErr w:type="spellStart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apnea</w:t>
            </w:r>
            <w:proofErr w:type="spellEnd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, hypotension and low cardiac output were more common</w:t>
            </w:r>
          </w:p>
        </w:tc>
      </w:tr>
      <w:tr w:rsidR="008E27A0" w:rsidRPr="00515F8F" w:rsidTr="00107913">
        <w:trPr>
          <w:trHeight w:val="279"/>
          <w:jc w:val="center"/>
        </w:trPr>
        <w:tc>
          <w:tcPr>
            <w:tcW w:w="988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Schaeuble </w:t>
            </w:r>
            <w:r w:rsidR="00153A42" w:rsidRPr="00515F8F">
              <w:rPr>
                <w:rFonts w:ascii="Arial" w:hAnsi="Arial" w:cs="Arial"/>
                <w:sz w:val="16"/>
                <w:szCs w:val="16"/>
                <w:lang w:val="en-GB"/>
              </w:rPr>
              <w:t>J</w:t>
            </w:r>
            <w:r w:rsidR="008A18B6" w:rsidRPr="00515F8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4</w:t>
            </w:r>
            <w:r w:rsidR="00BD4BDF" w:rsidRPr="00515F8F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etomidate 0.2mg/kg (+ fentanyl, dosage not reported)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propofol 2mg/kg (+ fentanyl, dosage not reported)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25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974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cocaine 10% nasal drops+ </w:t>
            </w:r>
            <w:proofErr w:type="spellStart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transcricoid</w:t>
            </w:r>
            <w:proofErr w:type="spellEnd"/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 injection 1/lidocaine for larynx and proximal trachea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100%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100%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E27A0" w:rsidRPr="00515F8F" w:rsidRDefault="008E27A0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2420" w:type="dxa"/>
            <w:tcBorders>
              <w:top w:val="single" w:sz="12" w:space="0" w:color="auto"/>
            </w:tcBorders>
          </w:tcPr>
          <w:p w:rsidR="008E27A0" w:rsidRPr="00515F8F" w:rsidRDefault="00493AF2" w:rsidP="0010791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n</w:t>
            </w:r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>o difference in oxygenation, hemodynamic, lowest BIS. The etomidate group recovere</w:t>
            </w:r>
            <w:r w:rsidRPr="00515F8F">
              <w:rPr>
                <w:rFonts w:ascii="Arial" w:hAnsi="Arial" w:cs="Arial"/>
                <w:sz w:val="16"/>
                <w:szCs w:val="16"/>
                <w:lang w:val="en-GB"/>
              </w:rPr>
              <w:t>d</w:t>
            </w:r>
            <w:r w:rsidR="008E27A0" w:rsidRPr="00515F8F">
              <w:rPr>
                <w:rFonts w:ascii="Arial" w:hAnsi="Arial" w:cs="Arial"/>
                <w:sz w:val="16"/>
                <w:szCs w:val="16"/>
                <w:lang w:val="en-GB"/>
              </w:rPr>
              <w:t xml:space="preserve"> spontaneous breathing earlier.</w:t>
            </w:r>
          </w:p>
        </w:tc>
      </w:tr>
    </w:tbl>
    <w:p w:rsidR="00F11CF7" w:rsidRPr="00515F8F" w:rsidRDefault="00F11CF7">
      <w:pPr>
        <w:rPr>
          <w:rFonts w:ascii="Arial" w:hAnsi="Arial" w:cs="Arial"/>
          <w:sz w:val="16"/>
          <w:szCs w:val="16"/>
          <w:lang w:val="en-GB"/>
        </w:rPr>
      </w:pPr>
    </w:p>
    <w:p w:rsidR="00F11CF7" w:rsidRPr="00515F8F" w:rsidRDefault="00B269EB">
      <w:pPr>
        <w:rPr>
          <w:rFonts w:ascii="Arial" w:hAnsi="Arial" w:cs="Arial"/>
          <w:sz w:val="16"/>
          <w:szCs w:val="16"/>
          <w:lang w:val="en-GB"/>
        </w:rPr>
      </w:pPr>
      <w:r w:rsidRPr="00515F8F">
        <w:rPr>
          <w:rFonts w:ascii="Arial" w:hAnsi="Arial" w:cs="Arial"/>
          <w:sz w:val="16"/>
          <w:szCs w:val="16"/>
          <w:lang w:val="en-GB"/>
        </w:rPr>
        <w:t xml:space="preserve">BIS: </w:t>
      </w:r>
      <w:proofErr w:type="spellStart"/>
      <w:r w:rsidRPr="00515F8F">
        <w:rPr>
          <w:rFonts w:ascii="Arial" w:hAnsi="Arial" w:cs="Arial"/>
          <w:sz w:val="16"/>
          <w:szCs w:val="16"/>
          <w:lang w:val="en-GB"/>
        </w:rPr>
        <w:t>bispectral</w:t>
      </w:r>
      <w:proofErr w:type="spellEnd"/>
      <w:r w:rsidRPr="00515F8F">
        <w:rPr>
          <w:rFonts w:ascii="Arial" w:hAnsi="Arial" w:cs="Arial"/>
          <w:sz w:val="16"/>
          <w:szCs w:val="16"/>
          <w:lang w:val="en-GB"/>
        </w:rPr>
        <w:t xml:space="preserve"> index</w:t>
      </w:r>
      <w:r w:rsidR="00107913" w:rsidRPr="00515F8F">
        <w:rPr>
          <w:rFonts w:ascii="Arial" w:hAnsi="Arial" w:cs="Arial"/>
          <w:sz w:val="16"/>
          <w:szCs w:val="16"/>
          <w:lang w:val="en-GB"/>
        </w:rPr>
        <w:t xml:space="preserve">; </w:t>
      </w:r>
      <w:proofErr w:type="spellStart"/>
      <w:r w:rsidR="00F11CF7" w:rsidRPr="00515F8F">
        <w:rPr>
          <w:rFonts w:ascii="Arial" w:hAnsi="Arial" w:cs="Arial"/>
          <w:sz w:val="16"/>
          <w:szCs w:val="16"/>
          <w:lang w:val="en-GB"/>
        </w:rPr>
        <w:t>Dex</w:t>
      </w:r>
      <w:proofErr w:type="spellEnd"/>
      <w:r w:rsidR="00F11CF7" w:rsidRPr="00515F8F">
        <w:rPr>
          <w:rFonts w:ascii="Arial" w:hAnsi="Arial" w:cs="Arial"/>
          <w:sz w:val="16"/>
          <w:szCs w:val="16"/>
          <w:lang w:val="en-GB"/>
        </w:rPr>
        <w:t>: dexmedetomidine</w:t>
      </w:r>
      <w:r w:rsidR="00107913" w:rsidRPr="00515F8F">
        <w:rPr>
          <w:rFonts w:ascii="Arial" w:hAnsi="Arial" w:cs="Arial"/>
          <w:sz w:val="16"/>
          <w:szCs w:val="16"/>
          <w:lang w:val="en-GB"/>
        </w:rPr>
        <w:t xml:space="preserve">; </w:t>
      </w:r>
      <w:r w:rsidRPr="00515F8F">
        <w:rPr>
          <w:rFonts w:ascii="Arial" w:hAnsi="Arial" w:cs="Arial"/>
          <w:sz w:val="16"/>
          <w:szCs w:val="16"/>
          <w:lang w:val="en-GB"/>
        </w:rPr>
        <w:t xml:space="preserve">FOB: </w:t>
      </w:r>
      <w:proofErr w:type="spellStart"/>
      <w:r w:rsidRPr="00515F8F">
        <w:rPr>
          <w:rFonts w:ascii="Arial" w:hAnsi="Arial" w:cs="Arial"/>
          <w:sz w:val="16"/>
          <w:szCs w:val="16"/>
          <w:lang w:val="en-GB"/>
        </w:rPr>
        <w:t>fibeoptic</w:t>
      </w:r>
      <w:proofErr w:type="spellEnd"/>
      <w:r w:rsidRPr="00515F8F">
        <w:rPr>
          <w:rFonts w:ascii="Arial" w:hAnsi="Arial" w:cs="Arial"/>
          <w:sz w:val="16"/>
          <w:szCs w:val="16"/>
          <w:lang w:val="en-GB"/>
        </w:rPr>
        <w:t xml:space="preserve"> bronchoscopy</w:t>
      </w:r>
      <w:r w:rsidR="00107913" w:rsidRPr="00515F8F">
        <w:rPr>
          <w:rFonts w:ascii="Arial" w:hAnsi="Arial" w:cs="Arial"/>
          <w:sz w:val="16"/>
          <w:szCs w:val="16"/>
          <w:lang w:val="en-GB"/>
        </w:rPr>
        <w:t xml:space="preserve">; </w:t>
      </w:r>
      <w:r w:rsidR="00F11CF7" w:rsidRPr="00515F8F">
        <w:rPr>
          <w:rFonts w:ascii="Arial" w:hAnsi="Arial" w:cs="Arial"/>
          <w:sz w:val="16"/>
          <w:szCs w:val="16"/>
          <w:lang w:val="en-GB"/>
        </w:rPr>
        <w:t>TCI: target controlled infusion</w:t>
      </w:r>
    </w:p>
    <w:sectPr w:rsidR="00F11CF7" w:rsidRPr="00515F8F" w:rsidSect="004B290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580" w:rsidRDefault="00FB0580" w:rsidP="004B2903">
      <w:pPr>
        <w:spacing w:after="0" w:line="240" w:lineRule="auto"/>
      </w:pPr>
      <w:r>
        <w:separator/>
      </w:r>
    </w:p>
  </w:endnote>
  <w:endnote w:type="continuationSeparator" w:id="0">
    <w:p w:rsidR="00FB0580" w:rsidRDefault="00FB0580" w:rsidP="004B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580" w:rsidRDefault="00FB0580" w:rsidP="004B2903">
      <w:pPr>
        <w:spacing w:after="0" w:line="240" w:lineRule="auto"/>
      </w:pPr>
      <w:r>
        <w:separator/>
      </w:r>
    </w:p>
  </w:footnote>
  <w:footnote w:type="continuationSeparator" w:id="0">
    <w:p w:rsidR="00FB0580" w:rsidRDefault="00FB0580" w:rsidP="004B2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278"/>
    <w:rsid w:val="0003062A"/>
    <w:rsid w:val="00091B7B"/>
    <w:rsid w:val="000C2C21"/>
    <w:rsid w:val="00101D0E"/>
    <w:rsid w:val="00107913"/>
    <w:rsid w:val="00153A42"/>
    <w:rsid w:val="001942A3"/>
    <w:rsid w:val="001D5F1F"/>
    <w:rsid w:val="0024516E"/>
    <w:rsid w:val="002675FC"/>
    <w:rsid w:val="002E1082"/>
    <w:rsid w:val="00493AF2"/>
    <w:rsid w:val="004B2903"/>
    <w:rsid w:val="004D43CD"/>
    <w:rsid w:val="004F3660"/>
    <w:rsid w:val="00515F8F"/>
    <w:rsid w:val="005445E0"/>
    <w:rsid w:val="00546BBE"/>
    <w:rsid w:val="005B407C"/>
    <w:rsid w:val="006E2B00"/>
    <w:rsid w:val="00725BA7"/>
    <w:rsid w:val="0078291C"/>
    <w:rsid w:val="007E5E80"/>
    <w:rsid w:val="008A18B6"/>
    <w:rsid w:val="008E27A0"/>
    <w:rsid w:val="008E4278"/>
    <w:rsid w:val="00A65508"/>
    <w:rsid w:val="00AA61C9"/>
    <w:rsid w:val="00AB57E1"/>
    <w:rsid w:val="00AD0185"/>
    <w:rsid w:val="00B269EB"/>
    <w:rsid w:val="00BD4BDF"/>
    <w:rsid w:val="00C42A0D"/>
    <w:rsid w:val="00CA522E"/>
    <w:rsid w:val="00D20937"/>
    <w:rsid w:val="00D20C54"/>
    <w:rsid w:val="00D53F45"/>
    <w:rsid w:val="00E4268B"/>
    <w:rsid w:val="00E71315"/>
    <w:rsid w:val="00EA317B"/>
    <w:rsid w:val="00EC3BE1"/>
    <w:rsid w:val="00EC4F62"/>
    <w:rsid w:val="00ED4196"/>
    <w:rsid w:val="00F11CF7"/>
    <w:rsid w:val="00F3090E"/>
    <w:rsid w:val="00FB0580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0256BC-1830-4129-B1C6-0AECA25F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903"/>
  </w:style>
  <w:style w:type="paragraph" w:styleId="Footer">
    <w:name w:val="footer"/>
    <w:basedOn w:val="Normal"/>
    <w:link w:val="FooterChar"/>
    <w:uiPriority w:val="99"/>
    <w:unhideWhenUsed/>
    <w:rsid w:val="004B2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903"/>
  </w:style>
  <w:style w:type="paragraph" w:styleId="BalloonText">
    <w:name w:val="Balloon Text"/>
    <w:basedOn w:val="Normal"/>
    <w:link w:val="BalloonTextChar"/>
    <w:uiPriority w:val="99"/>
    <w:semiHidden/>
    <w:unhideWhenUsed/>
    <w:rsid w:val="00ED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7BFDC-161F-46B1-B83F-E3540920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Ospedale San Raffaele</Company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RiaGen</dc:creator>
  <cp:keywords/>
  <dc:description/>
  <cp:lastModifiedBy>Tasha Wilhelmsen</cp:lastModifiedBy>
  <cp:revision>7</cp:revision>
  <dcterms:created xsi:type="dcterms:W3CDTF">2018-09-22T10:48:00Z</dcterms:created>
  <dcterms:modified xsi:type="dcterms:W3CDTF">2019-01-16T14:13:00Z</dcterms:modified>
</cp:coreProperties>
</file>