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98A3" w14:textId="2490E33D" w:rsidR="00C559B1" w:rsidRPr="00526D95" w:rsidRDefault="00C559B1" w:rsidP="003B2ABA">
      <w:pPr>
        <w:snapToGri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A74468">
        <w:rPr>
          <w:rFonts w:ascii="Times New Roman" w:hAnsi="Times New Roman" w:cs="Times New Roman"/>
        </w:rPr>
        <w:t xml:space="preserve">Supplemental Table 1. </w:t>
      </w:r>
      <w:r w:rsidR="00351CE1" w:rsidRPr="00A74468">
        <w:rPr>
          <w:rFonts w:ascii="Times New Roman" w:hAnsi="Times New Roman" w:cs="Times New Roman"/>
        </w:rPr>
        <w:t>Descriptive and statistical analysis of o</w:t>
      </w:r>
      <w:r w:rsidRPr="00A74468">
        <w:rPr>
          <w:rFonts w:ascii="Times New Roman" w:hAnsi="Times New Roman" w:cs="Times New Roman"/>
        </w:rPr>
        <w:t xml:space="preserve">ropharyngeal leak pressures </w:t>
      </w:r>
      <w:r w:rsidR="000D415A" w:rsidRPr="00A74468">
        <w:rPr>
          <w:rFonts w:ascii="Times New Roman" w:hAnsi="Times New Roman" w:cs="Times New Roman"/>
        </w:rPr>
        <w:t xml:space="preserve">during </w:t>
      </w:r>
      <w:r w:rsidRPr="00A74468">
        <w:rPr>
          <w:rFonts w:ascii="Times New Roman" w:hAnsi="Times New Roman" w:cs="Times New Roman"/>
        </w:rPr>
        <w:t xml:space="preserve">head rotation </w:t>
      </w:r>
      <w:r w:rsidR="000D415A" w:rsidRPr="00A74468">
        <w:rPr>
          <w:rFonts w:ascii="Times New Roman" w:hAnsi="Times New Roman" w:cs="Times New Roman"/>
        </w:rPr>
        <w:t xml:space="preserve">when </w:t>
      </w:r>
      <w:r w:rsidR="00BE17F3" w:rsidRPr="00A74468">
        <w:rPr>
          <w:rFonts w:ascii="Times New Roman" w:hAnsi="Times New Roman" w:cs="Times New Roman"/>
        </w:rPr>
        <w:t>using the</w:t>
      </w:r>
      <w:r w:rsidR="005354C8" w:rsidRPr="00A74468">
        <w:rPr>
          <w:rFonts w:ascii="Times New Roman" w:hAnsi="Times New Roman" w:cs="Times New Roman"/>
        </w:rPr>
        <w:t xml:space="preserve"> </w:t>
      </w:r>
      <w:r w:rsidRPr="00A74468">
        <w:rPr>
          <w:rFonts w:ascii="Times New Roman" w:hAnsi="Times New Roman" w:cs="Times New Roman"/>
        </w:rPr>
        <w:t>i-gel</w:t>
      </w:r>
      <w:r w:rsidRPr="00A74468">
        <w:rPr>
          <w:rFonts w:ascii="Times New Roman" w:hAnsi="Times New Roman" w:cs="Times New Roman"/>
          <w:vertAlign w:val="superscript"/>
        </w:rPr>
        <w:t>®</w:t>
      </w:r>
      <w:r w:rsidR="00526D95">
        <w:rPr>
          <w:rFonts w:ascii="Times New Roman" w:hAnsi="Times New Roman" w:cs="Times New Roman"/>
        </w:rPr>
        <w:t xml:space="preserve"> (i-gel) </w:t>
      </w:r>
      <w:r w:rsidRPr="00A74468">
        <w:rPr>
          <w:rFonts w:ascii="Times New Roman" w:hAnsi="Times New Roman" w:cs="Times New Roman"/>
        </w:rPr>
        <w:t>and LMA-Supreme</w:t>
      </w:r>
      <w:r w:rsidRPr="00A74468">
        <w:rPr>
          <w:rFonts w:ascii="Times New Roman" w:hAnsi="Times New Roman" w:cs="Times New Roman"/>
          <w:vertAlign w:val="superscript"/>
        </w:rPr>
        <w:t>TM</w:t>
      </w:r>
      <w:r w:rsidR="00526D95">
        <w:rPr>
          <w:rFonts w:ascii="Times New Roman" w:hAnsi="Times New Roman" w:cs="Times New Roman"/>
        </w:rPr>
        <w:t xml:space="preserve"> (LMA-Supreme)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2124"/>
        <w:gridCol w:w="1411"/>
        <w:gridCol w:w="1672"/>
        <w:gridCol w:w="1705"/>
        <w:gridCol w:w="1560"/>
      </w:tblGrid>
      <w:tr w:rsidR="00C559B1" w:rsidRPr="00A74468" w14:paraId="203D3429" w14:textId="77777777" w:rsidTr="00C92383">
        <w:trPr>
          <w:trHeight w:val="485"/>
        </w:trPr>
        <w:tc>
          <w:tcPr>
            <w:tcW w:w="21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3173D1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34E129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OPLP (cmH</w:t>
            </w:r>
            <w:r w:rsidRPr="00A7446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AE9945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Mean difference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AA876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95% confidence interval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5D8827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C92383" w:rsidRPr="00A74468" w14:paraId="3A5FA468" w14:textId="77777777" w:rsidTr="00C92383">
        <w:trPr>
          <w:trHeight w:val="247"/>
        </w:trPr>
        <w:tc>
          <w:tcPr>
            <w:tcW w:w="69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06C343" w14:textId="77777777" w:rsidR="00C92383" w:rsidRPr="00A74468" w:rsidRDefault="00C92383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i-gel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(Within group </w:t>
            </w:r>
            <w:r w:rsidR="009A647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three head positions)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7DCE4A" w14:textId="77777777" w:rsidR="00C92383" w:rsidRPr="00A74468" w:rsidRDefault="00C92383" w:rsidP="00C92383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  <w:r w:rsidR="008F66E7" w:rsidRPr="008F66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C559B1" w:rsidRPr="00A74468" w14:paraId="54585FE5" w14:textId="77777777" w:rsidTr="00C92383">
        <w:trPr>
          <w:trHeight w:val="485"/>
        </w:trPr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2F41D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BB733" w14:textId="77777777" w:rsidR="00C559B1" w:rsidRPr="00A74468" w:rsidRDefault="00B14106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2.9 ± 7.4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02859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8C2D1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66F4B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9B1" w:rsidRPr="00A74468" w14:paraId="462D2C13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5D63BCB7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30°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564BA13B" w14:textId="77777777" w:rsidR="00C559B1" w:rsidRPr="00A74468" w:rsidRDefault="00B14106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9.4 ± 6.9</w:t>
            </w: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2E752BBA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601B497F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1DF7F8E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9B1" w:rsidRPr="00A74468" w14:paraId="752054B0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4E00A54D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09D250FE" w14:textId="77777777" w:rsidR="00C559B1" w:rsidRPr="00A74468" w:rsidRDefault="00B14106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7.4 ± 5.5</w:t>
            </w: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6479E7D4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33BF9BC3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8C76952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9B1" w:rsidRPr="00A74468" w14:paraId="509BF068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745DE556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° </w:t>
            </w:r>
            <w:r w:rsidR="001A32E3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30°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513408C1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5440BF56" w14:textId="77777777" w:rsidR="00C559B1" w:rsidRPr="00A74468" w:rsidRDefault="001A32E3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52F91D4F" w14:textId="77777777" w:rsidR="00C559B1" w:rsidRPr="00A74468" w:rsidRDefault="001A32E3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0B5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39E63C16" w14:textId="77777777" w:rsidR="00C559B1" w:rsidRPr="00A74468" w:rsidRDefault="001A32E3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C559B1" w:rsidRPr="00A74468" w14:paraId="7CA9731C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0962AC83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30° </w:t>
            </w:r>
            <w:r w:rsidR="00F13211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60°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2980D231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4E0C68E8" w14:textId="77777777" w:rsidR="00C559B1" w:rsidRPr="00A74468" w:rsidRDefault="001A32E3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4D217495" w14:textId="77777777" w:rsidR="00C559B1" w:rsidRPr="00A74468" w:rsidRDefault="00F560B5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- 3.5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7824BFA" w14:textId="77777777" w:rsidR="00C559B1" w:rsidRPr="00A74468" w:rsidRDefault="00F560B5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72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59B1" w:rsidRPr="00A74468" w14:paraId="44A73C45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0BB1E958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0° </w:t>
            </w:r>
            <w:r w:rsidR="00F13211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60°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4351854C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29739485" w14:textId="77777777" w:rsidR="00C559B1" w:rsidRPr="00A74468" w:rsidRDefault="00F560B5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521578F9" w14:textId="77777777" w:rsidR="00C559B1" w:rsidRPr="00A74468" w:rsidRDefault="00F560B5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- 7.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CCECD50" w14:textId="77777777" w:rsidR="00C559B1" w:rsidRPr="00A74468" w:rsidRDefault="00F560B5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C92383" w:rsidRPr="00A74468" w14:paraId="33292DFD" w14:textId="77777777" w:rsidTr="00C92383">
        <w:trPr>
          <w:trHeight w:val="485"/>
        </w:trPr>
        <w:tc>
          <w:tcPr>
            <w:tcW w:w="6912" w:type="dxa"/>
            <w:gridSpan w:val="4"/>
            <w:tcBorders>
              <w:left w:val="nil"/>
              <w:right w:val="nil"/>
            </w:tcBorders>
            <w:vAlign w:val="center"/>
          </w:tcPr>
          <w:p w14:paraId="5EC00479" w14:textId="77777777" w:rsidR="00C92383" w:rsidRPr="00A74468" w:rsidRDefault="00C92383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MA-Supreme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5EE4">
              <w:rPr>
                <w:rFonts w:ascii="Times New Roman" w:hAnsi="Times New Roman" w:cs="Times New Roman"/>
                <w:sz w:val="20"/>
                <w:szCs w:val="20"/>
              </w:rPr>
              <w:t xml:space="preserve">Within group </w:t>
            </w:r>
            <w:r w:rsidR="009A647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7E5EE4">
              <w:rPr>
                <w:rFonts w:ascii="Times New Roman" w:hAnsi="Times New Roman" w:cs="Times New Roman"/>
                <w:sz w:val="20"/>
                <w:szCs w:val="20"/>
              </w:rPr>
              <w:t xml:space="preserve"> three head positions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77874E5" w14:textId="77777777" w:rsidR="00C92383" w:rsidRPr="00A74468" w:rsidRDefault="00C92383" w:rsidP="00C92383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  <w:r w:rsidR="008F66E7" w:rsidRPr="008F66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C559B1" w:rsidRPr="00A74468" w14:paraId="2380FBA8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4DD6109C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28481860" w14:textId="77777777" w:rsidR="00C559B1" w:rsidRPr="00A74468" w:rsidRDefault="00B14106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5.8 ± 7.7</w:t>
            </w: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70DBDD55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3DC70A81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7EABDD3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9B1" w:rsidRPr="00A74468" w14:paraId="7F75E94F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264311C2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30°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760CFC04" w14:textId="77777777" w:rsidR="00C559B1" w:rsidRPr="00A74468" w:rsidRDefault="00B14106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1.7 ± 8.0</w:t>
            </w: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6B2D1CA9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3CB17F4C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06D62DA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9B1" w:rsidRPr="00A74468" w14:paraId="2D849793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69846AAB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17FD07F4" w14:textId="77777777" w:rsidR="00C559B1" w:rsidRPr="00A74468" w:rsidRDefault="00B14106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9.3 ± 7.2</w:t>
            </w: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6126C958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28072D88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366A77D9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9B1" w:rsidRPr="00A74468" w14:paraId="4AB8C5B8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52B7B0C7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° </w:t>
            </w:r>
            <w:r w:rsidR="00F13211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30°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6C059BFB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2E3DD649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155269CA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.6 - 5.5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5B137DD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C559B1" w:rsidRPr="00A74468" w14:paraId="31EDE8C5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2D85F2AB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30° </w:t>
            </w:r>
            <w:r w:rsidR="00F13211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60°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06BB6743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5E752059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4E66DA36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1.1 - 3.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ACE2853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C559B1" w:rsidRPr="00A74468" w14:paraId="70453000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0F07A7A2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0° </w:t>
            </w:r>
            <w:r w:rsidR="00F13211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60°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33B6B211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02DA0335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00B9B13E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7F1" w:rsidRPr="00A74468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6ED158B6" w14:textId="77777777" w:rsidR="00C559B1" w:rsidRPr="00A74468" w:rsidRDefault="00FA1688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C559B1" w:rsidRPr="00A74468" w14:paraId="65402747" w14:textId="77777777" w:rsidTr="00C92383">
        <w:trPr>
          <w:trHeight w:val="485"/>
        </w:trPr>
        <w:tc>
          <w:tcPr>
            <w:tcW w:w="8472" w:type="dxa"/>
            <w:gridSpan w:val="5"/>
            <w:tcBorders>
              <w:left w:val="nil"/>
              <w:right w:val="nil"/>
            </w:tcBorders>
            <w:vAlign w:val="center"/>
          </w:tcPr>
          <w:p w14:paraId="294F60C5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-gel </w:t>
            </w:r>
            <w:r w:rsidR="00A32C6B" w:rsidRPr="00A74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LMA-Supreme</w:t>
            </w:r>
            <w:r w:rsidR="00C92383">
              <w:rPr>
                <w:rFonts w:ascii="Times New Roman" w:hAnsi="Times New Roman" w:cs="Times New Roman"/>
                <w:sz w:val="20"/>
                <w:szCs w:val="20"/>
              </w:rPr>
              <w:t xml:space="preserve"> (Between group</w:t>
            </w:r>
            <w:r w:rsidR="007E5E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923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59B1" w:rsidRPr="00A74468" w14:paraId="438EE78A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692FB418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661CECBC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7EB2D756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F2471D" w:rsidRPr="00A744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2DFC05CA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F2471D" w:rsidRPr="00A74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- 0.7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3876E07D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.117</w:t>
            </w:r>
          </w:p>
        </w:tc>
      </w:tr>
      <w:tr w:rsidR="00C559B1" w:rsidRPr="00A74468" w14:paraId="5A779F3B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5C556196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30°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528DAA22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1FC4B0BF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2471D" w:rsidRPr="00A74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57BD536C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2471D" w:rsidRPr="00A744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 w:rsidR="00F2471D" w:rsidRPr="00A74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5362D61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.207</w:t>
            </w:r>
          </w:p>
        </w:tc>
      </w:tr>
      <w:tr w:rsidR="00C559B1" w:rsidRPr="00A74468" w14:paraId="5683AABB" w14:textId="77777777" w:rsidTr="00C92383">
        <w:trPr>
          <w:trHeight w:val="485"/>
        </w:trPr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3A246EBB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1411" w:type="dxa"/>
            <w:tcBorders>
              <w:left w:val="nil"/>
              <w:right w:val="nil"/>
            </w:tcBorders>
            <w:vAlign w:val="center"/>
          </w:tcPr>
          <w:p w14:paraId="22B8BCAC" w14:textId="77777777" w:rsidR="00C559B1" w:rsidRPr="00A74468" w:rsidRDefault="00C559B1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nil"/>
              <w:right w:val="nil"/>
            </w:tcBorders>
            <w:vAlign w:val="center"/>
          </w:tcPr>
          <w:p w14:paraId="242AE9ED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1D5D01F7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F2471D" w:rsidRPr="00A7446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 w:rsidR="00F2471D" w:rsidRPr="00A74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421248B" w14:textId="77777777" w:rsidR="00C559B1" w:rsidRPr="00A74468" w:rsidRDefault="009D55B7" w:rsidP="00C559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46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A74468">
              <w:rPr>
                <w:rFonts w:ascii="Times New Roman" w:hAnsi="Times New Roman" w:cs="Times New Roman"/>
                <w:sz w:val="20"/>
                <w:szCs w:val="20"/>
              </w:rPr>
              <w:t>.225</w:t>
            </w:r>
          </w:p>
        </w:tc>
      </w:tr>
    </w:tbl>
    <w:p w14:paraId="1439B7A8" w14:textId="77777777" w:rsidR="006E072A" w:rsidRDefault="00C559B1" w:rsidP="006E072A">
      <w:pPr>
        <w:snapToGri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A74468">
        <w:rPr>
          <w:rFonts w:ascii="Times New Roman" w:hAnsi="Times New Roman" w:cs="Times New Roman"/>
        </w:rPr>
        <w:t xml:space="preserve">Data are presented as means ± </w:t>
      </w:r>
      <w:r w:rsidR="00526D95">
        <w:rPr>
          <w:rFonts w:ascii="Times New Roman" w:hAnsi="Times New Roman" w:cs="Times New Roman"/>
        </w:rPr>
        <w:t>standard deviation</w:t>
      </w:r>
      <w:r w:rsidRPr="00A74468">
        <w:rPr>
          <w:rFonts w:ascii="Times New Roman" w:hAnsi="Times New Roman" w:cs="Times New Roman"/>
        </w:rPr>
        <w:t xml:space="preserve">s. </w:t>
      </w:r>
      <w:r w:rsidR="00805252" w:rsidRPr="00A74468">
        <w:rPr>
          <w:rFonts w:ascii="Times New Roman" w:hAnsi="Times New Roman" w:cs="Times New Roman"/>
        </w:rPr>
        <w:t xml:space="preserve">For the analysis of within </w:t>
      </w:r>
      <w:r w:rsidR="006E072A" w:rsidRPr="00A74468">
        <w:rPr>
          <w:rFonts w:ascii="Times New Roman" w:hAnsi="Times New Roman" w:cs="Times New Roman"/>
        </w:rPr>
        <w:t xml:space="preserve">i-gel or LMA-Supreme </w:t>
      </w:r>
      <w:r w:rsidR="00805252" w:rsidRPr="00A74468">
        <w:rPr>
          <w:rFonts w:ascii="Times New Roman" w:hAnsi="Times New Roman" w:cs="Times New Roman"/>
        </w:rPr>
        <w:t xml:space="preserve">group comparisons, repeated measures one-way analysis of variance </w:t>
      </w:r>
      <w:r w:rsidR="00C92383">
        <w:rPr>
          <w:rFonts w:ascii="Times New Roman" w:hAnsi="Times New Roman" w:cs="Times New Roman"/>
        </w:rPr>
        <w:t xml:space="preserve">(ANOVA) followed by paired t-test with Bonferroni correction </w:t>
      </w:r>
      <w:r w:rsidR="006959C7">
        <w:rPr>
          <w:rFonts w:ascii="Times New Roman" w:hAnsi="Times New Roman" w:cs="Times New Roman"/>
        </w:rPr>
        <w:t>were</w:t>
      </w:r>
      <w:r w:rsidR="00805252" w:rsidRPr="00A74468">
        <w:rPr>
          <w:rFonts w:ascii="Times New Roman" w:hAnsi="Times New Roman" w:cs="Times New Roman"/>
        </w:rPr>
        <w:t xml:space="preserve"> </w:t>
      </w:r>
      <w:r w:rsidR="00627DD3" w:rsidRPr="00A74468">
        <w:rPr>
          <w:rFonts w:ascii="Times New Roman" w:hAnsi="Times New Roman" w:cs="Times New Roman"/>
        </w:rPr>
        <w:t>used</w:t>
      </w:r>
      <w:r w:rsidR="006E072A" w:rsidRPr="00A74468">
        <w:rPr>
          <w:rFonts w:ascii="Times New Roman" w:hAnsi="Times New Roman" w:cs="Times New Roman"/>
        </w:rPr>
        <w:t xml:space="preserve">. For analysis </w:t>
      </w:r>
      <w:r w:rsidR="006E072A" w:rsidRPr="00A74468">
        <w:rPr>
          <w:rFonts w:ascii="Times New Roman" w:hAnsi="Times New Roman" w:cs="Times New Roman"/>
        </w:rPr>
        <w:lastRenderedPageBreak/>
        <w:t xml:space="preserve">of between i-gel and LMA-Supreme group comparisons, </w:t>
      </w:r>
      <w:r w:rsidR="005354C8" w:rsidRPr="00A74468">
        <w:rPr>
          <w:rFonts w:ascii="Times New Roman" w:hAnsi="Times New Roman" w:cs="Times New Roman"/>
        </w:rPr>
        <w:t xml:space="preserve">the </w:t>
      </w:r>
      <w:r w:rsidR="006E072A" w:rsidRPr="00A74468">
        <w:rPr>
          <w:rFonts w:ascii="Times New Roman" w:hAnsi="Times New Roman" w:cs="Times New Roman"/>
        </w:rPr>
        <w:t xml:space="preserve">unpaired t-test </w:t>
      </w:r>
      <w:r w:rsidR="006959C7">
        <w:rPr>
          <w:rFonts w:ascii="Times New Roman" w:hAnsi="Times New Roman" w:cs="Times New Roman"/>
        </w:rPr>
        <w:t>was</w:t>
      </w:r>
      <w:r w:rsidR="006E072A" w:rsidRPr="00A74468">
        <w:rPr>
          <w:rFonts w:ascii="Times New Roman" w:hAnsi="Times New Roman" w:cs="Times New Roman"/>
        </w:rPr>
        <w:t xml:space="preserve"> used</w:t>
      </w:r>
      <w:r w:rsidR="00A707F1" w:rsidRPr="00A74468">
        <w:rPr>
          <w:rFonts w:ascii="Times New Roman" w:hAnsi="Times New Roman" w:cs="Times New Roman"/>
        </w:rPr>
        <w:t>.</w:t>
      </w:r>
      <w:r w:rsidR="006E072A" w:rsidRPr="00A74468">
        <w:rPr>
          <w:rFonts w:ascii="Times New Roman" w:hAnsi="Times New Roman" w:cs="Times New Roman"/>
        </w:rPr>
        <w:t xml:space="preserve"> A </w:t>
      </w:r>
      <w:r w:rsidR="006E072A" w:rsidRPr="00A74468">
        <w:rPr>
          <w:rFonts w:ascii="Times New Roman" w:hAnsi="Times New Roman" w:cs="Times New Roman"/>
          <w:i/>
        </w:rPr>
        <w:t>p</w:t>
      </w:r>
      <w:r w:rsidR="006E072A" w:rsidRPr="00A74468">
        <w:rPr>
          <w:rFonts w:ascii="Times New Roman" w:hAnsi="Times New Roman" w:cs="Times New Roman"/>
        </w:rPr>
        <w:t xml:space="preserve"> value</w:t>
      </w:r>
      <w:r w:rsidR="005354C8" w:rsidRPr="00A74468">
        <w:rPr>
          <w:rFonts w:ascii="Times New Roman" w:hAnsi="Times New Roman" w:cs="Times New Roman"/>
        </w:rPr>
        <w:t xml:space="preserve"> of</w:t>
      </w:r>
      <w:r w:rsidR="006E072A" w:rsidRPr="00A74468">
        <w:rPr>
          <w:rFonts w:ascii="Times New Roman" w:hAnsi="Times New Roman" w:cs="Times New Roman"/>
        </w:rPr>
        <w:t xml:space="preserve"> &lt; 0.05 </w:t>
      </w:r>
      <w:r w:rsidR="006959C7">
        <w:rPr>
          <w:rFonts w:ascii="Times New Roman" w:hAnsi="Times New Roman" w:cs="Times New Roman"/>
        </w:rPr>
        <w:t>was</w:t>
      </w:r>
      <w:r w:rsidR="006E072A" w:rsidRPr="00A74468">
        <w:rPr>
          <w:rFonts w:ascii="Times New Roman" w:hAnsi="Times New Roman" w:cs="Times New Roman"/>
        </w:rPr>
        <w:t xml:space="preserve"> considered a statistically significant difference</w:t>
      </w:r>
      <w:r w:rsidR="00C92383">
        <w:rPr>
          <w:rFonts w:ascii="Times New Roman" w:hAnsi="Times New Roman" w:cs="Times New Roman"/>
        </w:rPr>
        <w:t xml:space="preserve"> in repeated measures one-way ANOVA and between group analysis</w:t>
      </w:r>
      <w:r w:rsidR="006E072A" w:rsidRPr="00A74468">
        <w:rPr>
          <w:rFonts w:ascii="Times New Roman" w:hAnsi="Times New Roman" w:cs="Times New Roman"/>
        </w:rPr>
        <w:t>.</w:t>
      </w:r>
      <w:r w:rsidR="00A707F1" w:rsidRPr="00A74468">
        <w:rPr>
          <w:rFonts w:ascii="Times New Roman" w:hAnsi="Times New Roman" w:cs="Times New Roman"/>
        </w:rPr>
        <w:t xml:space="preserve"> </w:t>
      </w:r>
      <w:r w:rsidR="00C92383">
        <w:rPr>
          <w:rFonts w:ascii="Times New Roman" w:hAnsi="Times New Roman" w:cs="Times New Roman"/>
        </w:rPr>
        <w:t xml:space="preserve">A </w:t>
      </w:r>
      <w:r w:rsidR="00C92383" w:rsidRPr="00C92383">
        <w:rPr>
          <w:rFonts w:ascii="Times New Roman" w:hAnsi="Times New Roman" w:cs="Times New Roman"/>
          <w:i/>
        </w:rPr>
        <w:t>p</w:t>
      </w:r>
      <w:r w:rsidR="00C92383">
        <w:rPr>
          <w:rFonts w:ascii="Times New Roman" w:hAnsi="Times New Roman" w:cs="Times New Roman"/>
        </w:rPr>
        <w:t xml:space="preserve"> value of &lt; 0.017 (0.05/3) with Bonferroni correction </w:t>
      </w:r>
      <w:r w:rsidR="006959C7">
        <w:rPr>
          <w:rFonts w:ascii="Times New Roman" w:hAnsi="Times New Roman" w:cs="Times New Roman"/>
        </w:rPr>
        <w:t>was</w:t>
      </w:r>
      <w:r w:rsidR="00C92383">
        <w:rPr>
          <w:rFonts w:ascii="Times New Roman" w:hAnsi="Times New Roman" w:cs="Times New Roman"/>
        </w:rPr>
        <w:t xml:space="preserve"> considered a statistically significant difference. </w:t>
      </w:r>
      <w:r w:rsidR="006E072A" w:rsidRPr="00A74468">
        <w:rPr>
          <w:rFonts w:ascii="Times New Roman" w:hAnsi="Times New Roman" w:cs="Times New Roman" w:hint="eastAsia"/>
        </w:rPr>
        <w:t>A</w:t>
      </w:r>
      <w:r w:rsidR="006E072A" w:rsidRPr="00A74468">
        <w:rPr>
          <w:rFonts w:ascii="Times New Roman" w:hAnsi="Times New Roman" w:cs="Times New Roman"/>
        </w:rPr>
        <w:t>bbreviations: OPLP, oropharyngeal leak pressure</w:t>
      </w:r>
      <w:r w:rsidR="00C92383">
        <w:rPr>
          <w:rFonts w:ascii="Times New Roman" w:hAnsi="Times New Roman" w:cs="Times New Roman"/>
        </w:rPr>
        <w:t>; ANOVA, analysis of variance.</w:t>
      </w:r>
    </w:p>
    <w:p w14:paraId="054754D8" w14:textId="77777777" w:rsidR="008F66E7" w:rsidRPr="00A74468" w:rsidRDefault="008F66E7" w:rsidP="006E072A">
      <w:pPr>
        <w:snapToGri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8F66E7">
        <w:rPr>
          <w:rFonts w:ascii="Times New Roman" w:hAnsi="Times New Roman" w:cs="Times New Roman" w:hint="eastAsia"/>
          <w:vertAlign w:val="superscript"/>
        </w:rPr>
        <w:t>a</w:t>
      </w:r>
      <w:r w:rsidRPr="008F66E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value of repeated measures one-way ANOVA.</w:t>
      </w:r>
    </w:p>
    <w:sectPr w:rsidR="008F66E7" w:rsidRPr="00A74468" w:rsidSect="00DA5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37EA5" w14:textId="77777777" w:rsidR="003B2DB4" w:rsidRDefault="003B2DB4" w:rsidP="0022101A">
      <w:r>
        <w:separator/>
      </w:r>
    </w:p>
  </w:endnote>
  <w:endnote w:type="continuationSeparator" w:id="0">
    <w:p w14:paraId="0EBE2E7A" w14:textId="77777777" w:rsidR="003B2DB4" w:rsidRDefault="003B2DB4" w:rsidP="002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1D2E" w14:textId="77777777" w:rsidR="00B33565" w:rsidRDefault="00B3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BFE8" w14:textId="77777777" w:rsidR="00B33565" w:rsidRDefault="00B33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E204" w14:textId="77777777" w:rsidR="00B33565" w:rsidRDefault="00B3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9648" w14:textId="77777777" w:rsidR="003B2DB4" w:rsidRDefault="003B2DB4" w:rsidP="0022101A">
      <w:r>
        <w:separator/>
      </w:r>
    </w:p>
  </w:footnote>
  <w:footnote w:type="continuationSeparator" w:id="0">
    <w:p w14:paraId="70FF3865" w14:textId="77777777" w:rsidR="003B2DB4" w:rsidRDefault="003B2DB4" w:rsidP="0022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8FAD" w14:textId="77777777" w:rsidR="00B33565" w:rsidRDefault="00B3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851865"/>
      <w:docPartObj>
        <w:docPartGallery w:val="Watermarks"/>
        <w:docPartUnique/>
      </w:docPartObj>
    </w:sdtPr>
    <w:sdtEndPr/>
    <w:sdtContent>
      <w:p w14:paraId="38BC71FE" w14:textId="77777777" w:rsidR="00B33565" w:rsidRDefault="00095ACD">
        <w:pPr>
          <w:pStyle w:val="Header"/>
        </w:pPr>
        <w:r>
          <w:rPr>
            <w:noProof/>
            <w:lang w:eastAsia="zh-TW"/>
          </w:rPr>
          <w:pict w14:anchorId="306DE1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752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6408" w14:textId="77777777" w:rsidR="00B33565" w:rsidRDefault="00B33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9B1"/>
    <w:rsid w:val="00014E05"/>
    <w:rsid w:val="0001694C"/>
    <w:rsid w:val="000848D8"/>
    <w:rsid w:val="00095ACD"/>
    <w:rsid w:val="000C55B9"/>
    <w:rsid w:val="000C7E79"/>
    <w:rsid w:val="000D415A"/>
    <w:rsid w:val="000F0D32"/>
    <w:rsid w:val="000F692D"/>
    <w:rsid w:val="0011559F"/>
    <w:rsid w:val="001166C2"/>
    <w:rsid w:val="001541C0"/>
    <w:rsid w:val="00176574"/>
    <w:rsid w:val="001814D0"/>
    <w:rsid w:val="001A32E3"/>
    <w:rsid w:val="001C595E"/>
    <w:rsid w:val="001E3B2A"/>
    <w:rsid w:val="001E518B"/>
    <w:rsid w:val="001F0CA6"/>
    <w:rsid w:val="001F50AF"/>
    <w:rsid w:val="00201DA6"/>
    <w:rsid w:val="00210AB0"/>
    <w:rsid w:val="002164C5"/>
    <w:rsid w:val="0022101A"/>
    <w:rsid w:val="002217C8"/>
    <w:rsid w:val="00237F71"/>
    <w:rsid w:val="0027289C"/>
    <w:rsid w:val="002743EE"/>
    <w:rsid w:val="002805AC"/>
    <w:rsid w:val="002861FA"/>
    <w:rsid w:val="002A461D"/>
    <w:rsid w:val="002B2817"/>
    <w:rsid w:val="00346C50"/>
    <w:rsid w:val="00351CE1"/>
    <w:rsid w:val="00352F70"/>
    <w:rsid w:val="00387041"/>
    <w:rsid w:val="003A5127"/>
    <w:rsid w:val="003B2ABA"/>
    <w:rsid w:val="003B2DB4"/>
    <w:rsid w:val="003B5B97"/>
    <w:rsid w:val="003D1903"/>
    <w:rsid w:val="003D6A0D"/>
    <w:rsid w:val="00424C70"/>
    <w:rsid w:val="004743EC"/>
    <w:rsid w:val="00482E7B"/>
    <w:rsid w:val="00485D53"/>
    <w:rsid w:val="004E12C7"/>
    <w:rsid w:val="004E2E2E"/>
    <w:rsid w:val="004F4019"/>
    <w:rsid w:val="004F4BDD"/>
    <w:rsid w:val="00501C37"/>
    <w:rsid w:val="00526D95"/>
    <w:rsid w:val="005354C8"/>
    <w:rsid w:val="005411F4"/>
    <w:rsid w:val="00550F60"/>
    <w:rsid w:val="00554418"/>
    <w:rsid w:val="0057640A"/>
    <w:rsid w:val="005809A2"/>
    <w:rsid w:val="00587FE0"/>
    <w:rsid w:val="005945AB"/>
    <w:rsid w:val="005A65E9"/>
    <w:rsid w:val="005D162E"/>
    <w:rsid w:val="005E1E26"/>
    <w:rsid w:val="0061594B"/>
    <w:rsid w:val="0062585E"/>
    <w:rsid w:val="00627DD3"/>
    <w:rsid w:val="00676E79"/>
    <w:rsid w:val="006912E5"/>
    <w:rsid w:val="00695991"/>
    <w:rsid w:val="006959C7"/>
    <w:rsid w:val="006E072A"/>
    <w:rsid w:val="006E1334"/>
    <w:rsid w:val="006E646A"/>
    <w:rsid w:val="0071749F"/>
    <w:rsid w:val="00760637"/>
    <w:rsid w:val="007740A8"/>
    <w:rsid w:val="00781240"/>
    <w:rsid w:val="0079143E"/>
    <w:rsid w:val="007A1734"/>
    <w:rsid w:val="007B6C5E"/>
    <w:rsid w:val="007C10A2"/>
    <w:rsid w:val="007C7523"/>
    <w:rsid w:val="007E5EE4"/>
    <w:rsid w:val="008027D9"/>
    <w:rsid w:val="00805252"/>
    <w:rsid w:val="00827D98"/>
    <w:rsid w:val="00852B94"/>
    <w:rsid w:val="00887555"/>
    <w:rsid w:val="00892EA5"/>
    <w:rsid w:val="008C47B8"/>
    <w:rsid w:val="008F66E7"/>
    <w:rsid w:val="0092499D"/>
    <w:rsid w:val="00926FE0"/>
    <w:rsid w:val="00940A92"/>
    <w:rsid w:val="009665F3"/>
    <w:rsid w:val="009715E8"/>
    <w:rsid w:val="00990477"/>
    <w:rsid w:val="009A647C"/>
    <w:rsid w:val="009C72CD"/>
    <w:rsid w:val="009C7976"/>
    <w:rsid w:val="009D0669"/>
    <w:rsid w:val="009D55B7"/>
    <w:rsid w:val="009E42C0"/>
    <w:rsid w:val="009E4BEE"/>
    <w:rsid w:val="009F669A"/>
    <w:rsid w:val="00A206A2"/>
    <w:rsid w:val="00A30679"/>
    <w:rsid w:val="00A32C6B"/>
    <w:rsid w:val="00A36A34"/>
    <w:rsid w:val="00A707F1"/>
    <w:rsid w:val="00A74468"/>
    <w:rsid w:val="00A973F8"/>
    <w:rsid w:val="00AA307A"/>
    <w:rsid w:val="00AB673D"/>
    <w:rsid w:val="00AC2B67"/>
    <w:rsid w:val="00AE24FB"/>
    <w:rsid w:val="00AF5B45"/>
    <w:rsid w:val="00AF673E"/>
    <w:rsid w:val="00B14106"/>
    <w:rsid w:val="00B2269F"/>
    <w:rsid w:val="00B263B9"/>
    <w:rsid w:val="00B33565"/>
    <w:rsid w:val="00B33BE2"/>
    <w:rsid w:val="00B3583B"/>
    <w:rsid w:val="00B442BF"/>
    <w:rsid w:val="00B97E57"/>
    <w:rsid w:val="00BA31BB"/>
    <w:rsid w:val="00BB3462"/>
    <w:rsid w:val="00BB6560"/>
    <w:rsid w:val="00BE17F3"/>
    <w:rsid w:val="00C001E0"/>
    <w:rsid w:val="00C00C6F"/>
    <w:rsid w:val="00C10253"/>
    <w:rsid w:val="00C559B1"/>
    <w:rsid w:val="00C829FF"/>
    <w:rsid w:val="00C92383"/>
    <w:rsid w:val="00C928C2"/>
    <w:rsid w:val="00CC1927"/>
    <w:rsid w:val="00CD0D2C"/>
    <w:rsid w:val="00CF27F7"/>
    <w:rsid w:val="00D33D10"/>
    <w:rsid w:val="00D70E3A"/>
    <w:rsid w:val="00D752F6"/>
    <w:rsid w:val="00DA5FD5"/>
    <w:rsid w:val="00DB2A78"/>
    <w:rsid w:val="00DB502A"/>
    <w:rsid w:val="00DC2BE3"/>
    <w:rsid w:val="00DF5C28"/>
    <w:rsid w:val="00E0728A"/>
    <w:rsid w:val="00E2436D"/>
    <w:rsid w:val="00E35A90"/>
    <w:rsid w:val="00E55262"/>
    <w:rsid w:val="00E74A69"/>
    <w:rsid w:val="00E966AA"/>
    <w:rsid w:val="00EA073E"/>
    <w:rsid w:val="00EB7051"/>
    <w:rsid w:val="00F00C06"/>
    <w:rsid w:val="00F13211"/>
    <w:rsid w:val="00F2471D"/>
    <w:rsid w:val="00F44ADC"/>
    <w:rsid w:val="00F560B5"/>
    <w:rsid w:val="00FA1688"/>
    <w:rsid w:val="00FB5D7C"/>
    <w:rsid w:val="00FC5486"/>
    <w:rsid w:val="00FD3BAD"/>
    <w:rsid w:val="00FD59A0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621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B1"/>
    <w:rPr>
      <w:rFonts w:ascii="MS PGothic" w:eastAsia="MS PGothic" w:hAnsi="MS PGothic" w:cs="MS PGothic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9B1"/>
    <w:rPr>
      <w:rFonts w:ascii="Times New Roman" w:eastAsia="Meiry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9B1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1"/>
    <w:rPr>
      <w:rFonts w:ascii="MS Mincho" w:eastAsia="MS Mincho" w:hAnsi="MS PGothic" w:cs="MS PGothic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0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01A"/>
    <w:rPr>
      <w:rFonts w:ascii="MS PGothic" w:eastAsia="MS PGothic" w:hAnsi="MS PGothic" w:cs="MS PGothic"/>
      <w:kern w:val="0"/>
    </w:rPr>
  </w:style>
  <w:style w:type="paragraph" w:styleId="Footer">
    <w:name w:val="footer"/>
    <w:basedOn w:val="Normal"/>
    <w:link w:val="FooterChar"/>
    <w:uiPriority w:val="99"/>
    <w:unhideWhenUsed/>
    <w:rsid w:val="002210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101A"/>
    <w:rPr>
      <w:rFonts w:ascii="MS PGothic" w:eastAsia="MS PGothic" w:hAnsi="MS PGothic" w:cs="MS PGothic"/>
      <w:kern w:val="0"/>
    </w:rPr>
  </w:style>
  <w:style w:type="paragraph" w:styleId="NormalWeb">
    <w:name w:val="Normal (Web)"/>
    <w:basedOn w:val="Normal"/>
    <w:uiPriority w:val="99"/>
    <w:semiHidden/>
    <w:unhideWhenUsed/>
    <w:rsid w:val="003B5B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2020-06-10T09:31:00Z</dcterms:created>
  <dcterms:modified xsi:type="dcterms:W3CDTF">2020-07-28T17:18:00Z</dcterms:modified>
  <cp:category/>
  <cp:contentStatus/>
  <dc:language/>
  <cp:version/>
</cp:coreProperties>
</file>