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8074" w14:textId="77777777" w:rsidR="00274697" w:rsidRPr="00217FEE" w:rsidRDefault="00274697" w:rsidP="006358E3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217FEE" w:rsidRPr="00704AE7" w14:paraId="1082AFC3" w14:textId="77777777" w:rsidTr="00D627C1"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C425" w14:textId="6A20F349" w:rsidR="00274697" w:rsidRPr="00704AE7" w:rsidRDefault="00D45D64" w:rsidP="00D627C1">
            <w:pPr>
              <w:spacing w:line="480" w:lineRule="auto"/>
            </w:pPr>
            <w:r w:rsidRPr="00704AE7">
              <w:rPr>
                <w:b/>
              </w:rPr>
              <w:t xml:space="preserve">Supplemental </w:t>
            </w:r>
            <w:r w:rsidR="00274697" w:rsidRPr="00704AE7">
              <w:rPr>
                <w:b/>
              </w:rPr>
              <w:t>Table 1.</w:t>
            </w:r>
            <w:r w:rsidR="00274697" w:rsidRPr="00704AE7">
              <w:t xml:space="preserve"> Working group consensus on intrinsic patient physiology recommendations</w:t>
            </w:r>
          </w:p>
        </w:tc>
      </w:tr>
      <w:tr w:rsidR="00217FEE" w:rsidRPr="00704AE7" w14:paraId="65F3C82C" w14:textId="77777777" w:rsidTr="00D627C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057A" w14:textId="77777777" w:rsidR="00274697" w:rsidRPr="00704AE7" w:rsidRDefault="00274697" w:rsidP="00D627C1">
            <w:pPr>
              <w:widowControl w:val="0"/>
              <w:spacing w:line="480" w:lineRule="auto"/>
              <w:jc w:val="center"/>
              <w:rPr>
                <w:b/>
              </w:rPr>
            </w:pPr>
            <w:r w:rsidRPr="00704AE7">
              <w:rPr>
                <w:b/>
              </w:rPr>
              <w:t>Physiology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28D7" w14:textId="77777777" w:rsidR="00274697" w:rsidRPr="00704AE7" w:rsidRDefault="00274697" w:rsidP="00D627C1">
            <w:pPr>
              <w:widowControl w:val="0"/>
              <w:spacing w:line="480" w:lineRule="auto"/>
              <w:jc w:val="center"/>
              <w:rPr>
                <w:b/>
              </w:rPr>
            </w:pPr>
            <w:r w:rsidRPr="00704AE7">
              <w:rPr>
                <w:b/>
              </w:rPr>
              <w:t>Recommendations</w:t>
            </w:r>
          </w:p>
        </w:tc>
      </w:tr>
      <w:tr w:rsidR="00217FEE" w:rsidRPr="00704AE7" w14:paraId="37E27352" w14:textId="77777777" w:rsidTr="00D627C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3ACA" w14:textId="77777777" w:rsidR="00274697" w:rsidRPr="00704AE7" w:rsidRDefault="00274697" w:rsidP="00D627C1">
            <w:pPr>
              <w:widowControl w:val="0"/>
              <w:spacing w:line="480" w:lineRule="auto"/>
            </w:pPr>
            <w:r w:rsidRPr="00704AE7">
              <w:t xml:space="preserve">Hypoxemia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4C6C" w14:textId="1F127C15" w:rsidR="00274697" w:rsidRPr="00704AE7" w:rsidRDefault="00274697" w:rsidP="002746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>Patients with hypoxemic respiratory failure are at high risk of desaturation during intubation.</w:t>
            </w:r>
            <w:r w:rsidRPr="00704AE7">
              <w:rPr>
                <w:i/>
                <w:iCs/>
              </w:rPr>
              <w:t xml:space="preserve"> 100% agreement (</w:t>
            </w:r>
            <w:r w:rsidR="00B8123C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</w:p>
          <w:p w14:paraId="51979A6F" w14:textId="5AAC6E5C" w:rsidR="00274697" w:rsidRPr="00704AE7" w:rsidRDefault="00274697" w:rsidP="002746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>Desaturation is the biggest risk factor for cardiopulmonary arrest.</w:t>
            </w:r>
            <w:r w:rsidRPr="00704AE7">
              <w:rPr>
                <w:i/>
                <w:iCs/>
              </w:rPr>
              <w:t xml:space="preserve"> 87% agreement (</w:t>
            </w:r>
            <w:r w:rsidR="00B8123C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29%)</w:t>
            </w:r>
          </w:p>
          <w:p w14:paraId="400C6DF0" w14:textId="0230B83D" w:rsidR="00274697" w:rsidRPr="00704AE7" w:rsidRDefault="00274697" w:rsidP="002746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Reduced functional residual capacity, atelectasis, alveolar filling, shunt physiology and increased dead space all contribute to difficulty with adequate preoxygenation. </w:t>
            </w:r>
            <w:r w:rsidRPr="00704AE7">
              <w:rPr>
                <w:i/>
                <w:iCs/>
              </w:rPr>
              <w:t>100% agreement (</w:t>
            </w:r>
            <w:r w:rsidR="00B8123C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  <w:r w:rsidRPr="00704AE7">
              <w:t xml:space="preserve"> </w:t>
            </w:r>
          </w:p>
        </w:tc>
      </w:tr>
      <w:tr w:rsidR="00217FEE" w:rsidRPr="00704AE7" w14:paraId="6781EF1F" w14:textId="77777777" w:rsidTr="00D627C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D02F" w14:textId="77777777" w:rsidR="00274697" w:rsidRPr="00704AE7" w:rsidRDefault="00274697" w:rsidP="00D627C1">
            <w:pPr>
              <w:widowControl w:val="0"/>
              <w:spacing w:line="480" w:lineRule="auto"/>
            </w:pPr>
            <w:r w:rsidRPr="00704AE7">
              <w:t>Hypotension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41D1" w14:textId="5FBF0ABF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Patients with peri-intubation hypotension are at high risk of decompensation with intubation. </w:t>
            </w:r>
            <w:r w:rsidRPr="00704AE7">
              <w:rPr>
                <w:i/>
                <w:iCs/>
              </w:rPr>
              <w:t>100% agreement (</w:t>
            </w:r>
            <w:r w:rsidR="000416FC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</w:p>
          <w:p w14:paraId="212A9EE2" w14:textId="053D3902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Risk factors for decompensation include vascular and cardiac effects of induction agents and effects of positive pressure ventilation. </w:t>
            </w:r>
            <w:r w:rsidRPr="00704AE7">
              <w:rPr>
                <w:i/>
                <w:iCs/>
              </w:rPr>
              <w:t>99% agreement (</w:t>
            </w:r>
            <w:r w:rsidR="000416FC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3%)</w:t>
            </w:r>
          </w:p>
          <w:p w14:paraId="7B1E012A" w14:textId="4F808CD4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Peri-intubation hypotension is independently associated with poor outcomes, including mortality, length of stay and end organ injury. </w:t>
            </w:r>
            <w:r w:rsidRPr="00704AE7">
              <w:rPr>
                <w:i/>
                <w:iCs/>
              </w:rPr>
              <w:t>96% agreement (</w:t>
            </w:r>
            <w:r w:rsidR="00EA4F8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12%)</w:t>
            </w:r>
          </w:p>
          <w:p w14:paraId="491FA9E2" w14:textId="7A654879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Shock index (heart rate/systolic blood pressure) can be useful for predicting PHI, but a normal shock index does not indicate low </w:t>
            </w:r>
            <w:r w:rsidRPr="00704AE7">
              <w:lastRenderedPageBreak/>
              <w:t xml:space="preserve">risk. </w:t>
            </w:r>
            <w:r w:rsidRPr="00704AE7">
              <w:rPr>
                <w:i/>
                <w:iCs/>
              </w:rPr>
              <w:t>98% agreement (</w:t>
            </w:r>
            <w:r w:rsidR="00EA4F8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7.5%)</w:t>
            </w:r>
          </w:p>
          <w:p w14:paraId="5EC5263B" w14:textId="4E181534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Patients should be screened for risk of decompensation. </w:t>
            </w:r>
            <w:r w:rsidRPr="00704AE7">
              <w:rPr>
                <w:i/>
                <w:iCs/>
              </w:rPr>
              <w:t>97.9% agreement (</w:t>
            </w:r>
            <w:r w:rsidR="009F06C5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6.2%)</w:t>
            </w:r>
          </w:p>
          <w:p w14:paraId="4C588B30" w14:textId="59CDDC03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Patients should have intravenous access sufficient for rapid fluid administration prior to intubation. </w:t>
            </w:r>
            <w:r w:rsidRPr="00704AE7">
              <w:rPr>
                <w:i/>
                <w:iCs/>
              </w:rPr>
              <w:t>100% agreement (</w:t>
            </w:r>
            <w:r w:rsidR="009F06C5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</w:p>
          <w:p w14:paraId="7BE07D89" w14:textId="2BCF6EAC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Patients should be screened for high risk of hemodynamic collapse with intubation. Those with a shock index &gt;0.7 are at increased risk. </w:t>
            </w:r>
            <w:r w:rsidRPr="00704AE7">
              <w:rPr>
                <w:i/>
                <w:iCs/>
              </w:rPr>
              <w:t>99% agreement (</w:t>
            </w:r>
            <w:r w:rsidR="00FD7F60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1.5%)</w:t>
            </w:r>
          </w:p>
          <w:p w14:paraId="6E3CED73" w14:textId="4EB44808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Hypotensive patients due to obstructive shock secondary to acute or acute on chronic RV failure should be managed per the RV failure guidelines. </w:t>
            </w:r>
            <w:r w:rsidRPr="00704AE7">
              <w:rPr>
                <w:i/>
                <w:iCs/>
              </w:rPr>
              <w:t>99% agreement (</w:t>
            </w:r>
            <w:r w:rsidR="00FD7F60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3%)</w:t>
            </w:r>
            <w:r w:rsidRPr="00704AE7">
              <w:t xml:space="preserve"> </w:t>
            </w:r>
          </w:p>
          <w:p w14:paraId="326E3835" w14:textId="50511E77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Fluid responsive and tolerant patients should be fluid resuscitated prior to intubation, or at least during the intubation attempt. </w:t>
            </w:r>
            <w:r w:rsidRPr="00704AE7">
              <w:rPr>
                <w:i/>
                <w:iCs/>
              </w:rPr>
              <w:t>99.5% agreement (</w:t>
            </w:r>
            <w:r w:rsidR="00FD7F60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1.5%)</w:t>
            </w:r>
          </w:p>
          <w:p w14:paraId="496F2497" w14:textId="25DEE0AD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When possible, vasopressor infusions should be started prior to intubation in patients that are not volume responsive or fluid tolerant. </w:t>
            </w:r>
            <w:r w:rsidRPr="00704AE7">
              <w:rPr>
                <w:i/>
                <w:iCs/>
              </w:rPr>
              <w:t>99.5% agreement (</w:t>
            </w:r>
            <w:r w:rsidR="00FD7F60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1.5%)</w:t>
            </w:r>
          </w:p>
          <w:p w14:paraId="47DB9ECE" w14:textId="06B52951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When vasopressor infusions are not possible, bolus-dosed vasopressors should be available and used to maintain systemic pressure during and after the intubation, until an infusion can be started. </w:t>
            </w:r>
            <w:r w:rsidRPr="00704AE7">
              <w:rPr>
                <w:i/>
                <w:iCs/>
              </w:rPr>
              <w:t>100% agreement (</w:t>
            </w:r>
            <w:r w:rsidR="00FD7F60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  <w:r w:rsidRPr="00704AE7">
              <w:t xml:space="preserve"> </w:t>
            </w:r>
          </w:p>
          <w:p w14:paraId="5374F3CD" w14:textId="77777777" w:rsidR="00274697" w:rsidRPr="00704AE7" w:rsidRDefault="00274697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When bolus-dosed vasopressors are used, diluted epinephrine should be considered as the vasopressor of choice in patients with </w:t>
            </w:r>
            <w:r w:rsidRPr="00704AE7">
              <w:lastRenderedPageBreak/>
              <w:t xml:space="preserve">depressed myocardial function. </w:t>
            </w:r>
            <w:r w:rsidRPr="00704AE7">
              <w:rPr>
                <w:i/>
                <w:iCs/>
              </w:rPr>
              <w:t>97% agreement (</w:t>
            </w:r>
            <w:r w:rsidR="005D3C8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5.6%)</w:t>
            </w:r>
          </w:p>
          <w:p w14:paraId="4F681888" w14:textId="4649D660" w:rsidR="005E3FE8" w:rsidRPr="00704AE7" w:rsidRDefault="005E3FE8" w:rsidP="005E3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i/>
                <w:iCs/>
              </w:rPr>
            </w:pPr>
            <w:r w:rsidRPr="00704AE7">
              <w:t xml:space="preserve">Hemodynamically neutral induction agents should be used. </w:t>
            </w:r>
            <w:r w:rsidRPr="00704AE7">
              <w:rPr>
                <w:i/>
                <w:iCs/>
              </w:rPr>
              <w:t>100% agreement (SD 0%)</w:t>
            </w:r>
          </w:p>
        </w:tc>
      </w:tr>
      <w:tr w:rsidR="00217FEE" w:rsidRPr="00704AE7" w14:paraId="429EB178" w14:textId="77777777" w:rsidTr="00D627C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70AB" w14:textId="77777777" w:rsidR="00274697" w:rsidRPr="00704AE7" w:rsidRDefault="00274697" w:rsidP="00D627C1">
            <w:pPr>
              <w:widowControl w:val="0"/>
              <w:spacing w:line="480" w:lineRule="auto"/>
            </w:pPr>
            <w:r w:rsidRPr="00704AE7">
              <w:lastRenderedPageBreak/>
              <w:t>Right ventricular Dysfunction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4C5B" w14:textId="4106E37A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Patients should be screened for significant RV dysfunction prior to intubation given the risk of decompensation with the transition to positive pressure ventilation. </w:t>
            </w:r>
            <w:r w:rsidRPr="00704AE7">
              <w:rPr>
                <w:i/>
                <w:iCs/>
              </w:rPr>
              <w:t>94% agreement (</w:t>
            </w:r>
            <w:r w:rsidR="00990BDF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11%)</w:t>
            </w:r>
          </w:p>
          <w:p w14:paraId="1D47F8D5" w14:textId="3B6AAC63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When RV dysfunction is present, patients should be evaluated for RV systolic function, and fluid and vasopressor tolerance. Empiric fluid resuscitation without this evaluation can further reduce RV function. </w:t>
            </w:r>
            <w:r w:rsidRPr="00704AE7">
              <w:rPr>
                <w:i/>
                <w:iCs/>
              </w:rPr>
              <w:t>98% agreement (</w:t>
            </w:r>
            <w:r w:rsidR="00990BDF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4%)</w:t>
            </w:r>
          </w:p>
          <w:p w14:paraId="6D21B893" w14:textId="7C0FC889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Fluid and vasopressor tolerant patients should be resuscitated accordingly. </w:t>
            </w:r>
            <w:r w:rsidRPr="00704AE7">
              <w:rPr>
                <w:i/>
                <w:iCs/>
              </w:rPr>
              <w:t>99.9% agreement (</w:t>
            </w:r>
            <w:r w:rsidR="00B71D60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0.3%)</w:t>
            </w:r>
          </w:p>
          <w:p w14:paraId="41B2DE42" w14:textId="76306535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i/>
                <w:iCs/>
              </w:rPr>
            </w:pPr>
            <w:r w:rsidRPr="00704AE7">
              <w:t xml:space="preserve">Intolerant patients should have RV afterload reduced with inhaled or intravenous pulmonary vasodilators. </w:t>
            </w:r>
            <w:r w:rsidRPr="00704AE7">
              <w:rPr>
                <w:i/>
                <w:iCs/>
              </w:rPr>
              <w:t>96% agreement (</w:t>
            </w:r>
            <w:r w:rsidR="00467C23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8%)</w:t>
            </w:r>
          </w:p>
          <w:p w14:paraId="06055163" w14:textId="45E8DF6D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ECMO cannulation should be considered if available in patients with RV failure induced shock. </w:t>
            </w:r>
            <w:r w:rsidRPr="00704AE7">
              <w:rPr>
                <w:i/>
                <w:iCs/>
              </w:rPr>
              <w:t>98% agreement (</w:t>
            </w:r>
            <w:r w:rsidR="00467C23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6%)</w:t>
            </w:r>
          </w:p>
          <w:p w14:paraId="150FFA6A" w14:textId="73232A2E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Diuretics should be considered in patients with RV volume overload. </w:t>
            </w:r>
            <w:r w:rsidRPr="00704AE7">
              <w:rPr>
                <w:i/>
                <w:iCs/>
              </w:rPr>
              <w:t>100% agreement (</w:t>
            </w:r>
            <w:r w:rsidR="0053736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</w:p>
          <w:p w14:paraId="103164CE" w14:textId="62974B42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Hypercapnia should be avoided. </w:t>
            </w:r>
            <w:r w:rsidRPr="00704AE7">
              <w:rPr>
                <w:i/>
                <w:iCs/>
              </w:rPr>
              <w:t>97% agreement (</w:t>
            </w:r>
            <w:r w:rsidR="0053736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8%)</w:t>
            </w:r>
          </w:p>
          <w:p w14:paraId="51F4EE8E" w14:textId="1CE7CA73" w:rsidR="00274697" w:rsidRPr="00704AE7" w:rsidRDefault="00274697" w:rsidP="002746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Mean arterial pressure should be augmented to maintain coronary perfusion pressure. In patients with chronic pulmonary arterial hypertension, a higher mean arterial pressure should be targeted to </w:t>
            </w:r>
            <w:r w:rsidRPr="00704AE7">
              <w:lastRenderedPageBreak/>
              <w:t xml:space="preserve">keep mean arterial pressure &gt; mean pulmonary artery pressure. </w:t>
            </w:r>
            <w:r w:rsidRPr="00704AE7">
              <w:rPr>
                <w:i/>
                <w:iCs/>
              </w:rPr>
              <w:t>100% agreement (</w:t>
            </w:r>
            <w:r w:rsidR="0053736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</w:p>
          <w:p w14:paraId="4517F1A9" w14:textId="3B138EC6" w:rsidR="00274697" w:rsidRPr="00704AE7" w:rsidRDefault="00274697" w:rsidP="00D373B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Ventilation strategy after intubation should include a low mean airway pressure and a higher PEEP to avoid atelectasis. </w:t>
            </w:r>
            <w:r w:rsidRPr="00704AE7">
              <w:rPr>
                <w:i/>
                <w:iCs/>
              </w:rPr>
              <w:t>94% agreement (</w:t>
            </w:r>
            <w:r w:rsidR="0053736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15.7%)</w:t>
            </w:r>
          </w:p>
        </w:tc>
      </w:tr>
      <w:tr w:rsidR="00217FEE" w:rsidRPr="00704AE7" w14:paraId="367C1BE7" w14:textId="77777777" w:rsidTr="00D627C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33C5" w14:textId="4AA3EFC5" w:rsidR="008F791C" w:rsidRPr="00704AE7" w:rsidRDefault="008F791C" w:rsidP="00D627C1">
            <w:pPr>
              <w:widowControl w:val="0"/>
              <w:spacing w:line="480" w:lineRule="auto"/>
            </w:pPr>
            <w:r w:rsidRPr="00704AE7">
              <w:lastRenderedPageBreak/>
              <w:t>Severe metabolic acidosis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0D22" w14:textId="77777777" w:rsidR="008F791C" w:rsidRPr="00704AE7" w:rsidRDefault="008F791C" w:rsidP="008F791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i/>
                <w:iCs/>
              </w:rPr>
            </w:pPr>
            <w:r w:rsidRPr="00704AE7">
              <w:rPr>
                <w:i/>
                <w:iCs/>
              </w:rPr>
              <w:t>Patients with severe metabolic acidosis are at high risk of decompensation due to volume depletion and inadequate alveolar ventilation after intubation.</w:t>
            </w:r>
            <w:r w:rsidRPr="00704AE7">
              <w:t xml:space="preserve"> 100% agreement (SD 0%)</w:t>
            </w:r>
          </w:p>
          <w:p w14:paraId="191DC2B9" w14:textId="77777777" w:rsidR="008F791C" w:rsidRPr="00704AE7" w:rsidRDefault="008F791C" w:rsidP="008F791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i/>
                <w:iCs/>
              </w:rPr>
            </w:pPr>
            <w:r w:rsidRPr="00704AE7">
              <w:rPr>
                <w:i/>
                <w:iCs/>
              </w:rPr>
              <w:t>Patients with high minute ventilation requirements should be considered for awake intubation to maintain spontaneous respiration.</w:t>
            </w:r>
            <w:r w:rsidRPr="00704AE7">
              <w:t xml:space="preserve"> 99% agreement (SD 3%)</w:t>
            </w:r>
          </w:p>
          <w:p w14:paraId="12FE07C0" w14:textId="0233DB2D" w:rsidR="008F791C" w:rsidRPr="00704AE7" w:rsidRDefault="008F791C" w:rsidP="008F791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i/>
                <w:iCs/>
              </w:rPr>
            </w:pPr>
            <w:r w:rsidRPr="00704AE7">
              <w:rPr>
                <w:i/>
                <w:iCs/>
              </w:rPr>
              <w:t>Consider a spontaneous breathing mode after intubation in patients with very high minute ventilation requirements.</w:t>
            </w:r>
            <w:r w:rsidRPr="00704AE7">
              <w:t xml:space="preserve"> 99% agreement (SD 3%)</w:t>
            </w:r>
          </w:p>
        </w:tc>
      </w:tr>
      <w:tr w:rsidR="00274697" w:rsidRPr="00217FEE" w14:paraId="14D0C41C" w14:textId="77777777" w:rsidTr="00D627C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1099" w14:textId="77777777" w:rsidR="00274697" w:rsidRPr="00704AE7" w:rsidRDefault="00274697" w:rsidP="00D627C1">
            <w:pPr>
              <w:widowControl w:val="0"/>
              <w:spacing w:line="480" w:lineRule="auto"/>
            </w:pPr>
            <w:r w:rsidRPr="00704AE7">
              <w:t>Neurologically injured patient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170C" w14:textId="4DF1F161" w:rsidR="00274697" w:rsidRPr="00704AE7" w:rsidRDefault="00274697" w:rsidP="002746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Eucapnia should be maintained before, during, and after intubation. </w:t>
            </w:r>
            <w:r w:rsidRPr="00704AE7">
              <w:rPr>
                <w:i/>
                <w:iCs/>
              </w:rPr>
              <w:t>99.9% agreement (</w:t>
            </w:r>
            <w:r w:rsidR="005E638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0.3%)</w:t>
            </w:r>
          </w:p>
          <w:p w14:paraId="5ED60F82" w14:textId="3660B7C1" w:rsidR="00274697" w:rsidRPr="00704AE7" w:rsidRDefault="00274697" w:rsidP="002746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Hemodynamically neutral induction agents should be used. </w:t>
            </w:r>
            <w:r w:rsidRPr="00704AE7">
              <w:rPr>
                <w:i/>
                <w:iCs/>
              </w:rPr>
              <w:t>100% agreement (</w:t>
            </w:r>
            <w:r w:rsidR="005E638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</w:p>
          <w:p w14:paraId="551DDAA6" w14:textId="37D03896" w:rsidR="00274697" w:rsidRPr="00704AE7" w:rsidRDefault="00274697" w:rsidP="002746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Patients should be positioned 30 degrees upright, when possible. </w:t>
            </w:r>
            <w:r w:rsidRPr="00704AE7">
              <w:rPr>
                <w:i/>
                <w:iCs/>
              </w:rPr>
              <w:t>100% agreement (</w:t>
            </w:r>
            <w:r w:rsidR="005E638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0%)</w:t>
            </w:r>
          </w:p>
          <w:p w14:paraId="7559E5C6" w14:textId="2D9A4F0D" w:rsidR="00274697" w:rsidRPr="00704AE7" w:rsidRDefault="00274697" w:rsidP="002746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704AE7">
              <w:t xml:space="preserve">Post intubation management should include limiting PEEP to promote cerebral venous drainage. </w:t>
            </w:r>
            <w:r w:rsidRPr="00704AE7">
              <w:rPr>
                <w:i/>
                <w:iCs/>
              </w:rPr>
              <w:t>92.5% agreement (</w:t>
            </w:r>
            <w:r w:rsidR="005E6384" w:rsidRPr="00704AE7">
              <w:rPr>
                <w:i/>
                <w:iCs/>
              </w:rPr>
              <w:t xml:space="preserve">SD </w:t>
            </w:r>
            <w:r w:rsidRPr="00704AE7">
              <w:rPr>
                <w:i/>
                <w:iCs/>
              </w:rPr>
              <w:t>23.7%)</w:t>
            </w:r>
          </w:p>
        </w:tc>
      </w:tr>
      <w:tr w:rsidR="00A43246" w:rsidRPr="000202EE" w14:paraId="063091AB" w14:textId="77777777" w:rsidTr="00B956F1"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2259" w14:textId="77777777" w:rsidR="00A43246" w:rsidRPr="000202EE" w:rsidRDefault="00A43246" w:rsidP="00B956F1">
            <w:pPr>
              <w:spacing w:line="480" w:lineRule="auto"/>
            </w:pPr>
            <w:r w:rsidRPr="000202EE">
              <w:rPr>
                <w:b/>
              </w:rPr>
              <w:lastRenderedPageBreak/>
              <w:t>Supplemental Table 2.</w:t>
            </w:r>
            <w:r w:rsidRPr="000202EE">
              <w:t xml:space="preserve"> Working group consensus on physician interventions to alter patient physiology</w:t>
            </w:r>
          </w:p>
        </w:tc>
      </w:tr>
      <w:tr w:rsidR="00A43246" w:rsidRPr="000202EE" w14:paraId="1D25A2BD" w14:textId="77777777" w:rsidTr="00B956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FEBA" w14:textId="77777777" w:rsidR="00A43246" w:rsidRPr="000202EE" w:rsidRDefault="00A43246" w:rsidP="00B956F1">
            <w:pPr>
              <w:widowControl w:val="0"/>
              <w:spacing w:line="480" w:lineRule="auto"/>
              <w:rPr>
                <w:b/>
              </w:rPr>
            </w:pPr>
            <w:r w:rsidRPr="000202EE">
              <w:rPr>
                <w:b/>
              </w:rPr>
              <w:t>Intervention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E27E" w14:textId="77777777" w:rsidR="00A43246" w:rsidRPr="000202EE" w:rsidRDefault="00A43246" w:rsidP="00B956F1">
            <w:pPr>
              <w:widowControl w:val="0"/>
              <w:spacing w:line="480" w:lineRule="auto"/>
              <w:rPr>
                <w:b/>
              </w:rPr>
            </w:pPr>
            <w:r w:rsidRPr="000202EE">
              <w:rPr>
                <w:b/>
              </w:rPr>
              <w:t>Recommendations</w:t>
            </w:r>
          </w:p>
        </w:tc>
      </w:tr>
      <w:tr w:rsidR="00A43246" w:rsidRPr="000202EE" w14:paraId="6DD7828B" w14:textId="77777777" w:rsidTr="00B956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F185" w14:textId="77777777" w:rsidR="00A43246" w:rsidRPr="000202EE" w:rsidRDefault="00A43246" w:rsidP="00B956F1">
            <w:pPr>
              <w:widowControl w:val="0"/>
              <w:spacing w:line="480" w:lineRule="auto"/>
            </w:pPr>
            <w:r w:rsidRPr="000202EE">
              <w:t>Preoxygenation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5263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All patients should be maximally preoxygenated prior to intubation. </w:t>
            </w:r>
            <w:r w:rsidRPr="000202EE">
              <w:rPr>
                <w:i/>
                <w:iCs/>
              </w:rPr>
              <w:t>96% agreement (SD 12%)</w:t>
            </w:r>
          </w:p>
          <w:p w14:paraId="23CB55FD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Preoxygenation should be performed using high flow oxygen for at least 3 minutes, or 8 vital capacity breaths. </w:t>
            </w:r>
            <w:r w:rsidRPr="000202EE">
              <w:rPr>
                <w:i/>
                <w:iCs/>
              </w:rPr>
              <w:t>99% agreement (SD 4.5%)</w:t>
            </w:r>
          </w:p>
          <w:p w14:paraId="4AAEA353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Maintenance of oxygenation should be performed to prolong the duration of safe apnea. </w:t>
            </w:r>
            <w:r w:rsidRPr="000202EE">
              <w:rPr>
                <w:i/>
                <w:iCs/>
              </w:rPr>
              <w:t>100% agreement (SD 0%)</w:t>
            </w:r>
          </w:p>
          <w:p w14:paraId="28BC8DE1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Apneic oxygenation can be performed with a standard nasal cannula at 15 LPM or HFNO systems at 40-60 LPM. Research is lacking in the optimal delivery method. </w:t>
            </w:r>
            <w:r w:rsidRPr="000202EE">
              <w:rPr>
                <w:i/>
                <w:iCs/>
              </w:rPr>
              <w:t>99% agreement (SD 3%)</w:t>
            </w:r>
          </w:p>
          <w:p w14:paraId="649BCBB3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If a tight-fitting NRB or NIPPV face mask is not available for preoxygenation, assisted spontaneous respirations with a bag-valve mask with a PEEP valve and one-way exhalation port should be used. </w:t>
            </w:r>
            <w:r w:rsidRPr="000202EE">
              <w:rPr>
                <w:i/>
                <w:iCs/>
              </w:rPr>
              <w:t>100% agreement (SD 0%)</w:t>
            </w:r>
          </w:p>
          <w:p w14:paraId="47E27F7F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If the patient cannot tolerate a tight-fitting NRB or NIPPV mask, heated high-flow nasal oxygen systems with 40-70 LPM of flow should be used. </w:t>
            </w:r>
            <w:r w:rsidRPr="000202EE">
              <w:rPr>
                <w:i/>
                <w:iCs/>
              </w:rPr>
              <w:t>99% agreement (SD 4.5%)</w:t>
            </w:r>
          </w:p>
          <w:p w14:paraId="57421370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If the patient has significant shunt physiology or reduced functional residual capacity (e.g., pregnancy, obesity, ARDS), </w:t>
            </w:r>
            <w:r w:rsidRPr="000202EE">
              <w:lastRenderedPageBreak/>
              <w:t xml:space="preserve">preoxygenation should be performed with PEEP using NIPPV. </w:t>
            </w:r>
            <w:r w:rsidRPr="000202EE">
              <w:rPr>
                <w:i/>
                <w:iCs/>
              </w:rPr>
              <w:t>98% agreement (SD 7.5%)</w:t>
            </w:r>
          </w:p>
          <w:p w14:paraId="1CF08389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Inhaled pulmonary vasodilators can be considered to improve ventilation-perfusion mismatch prior to intubation in patients with severe hypoxemia. </w:t>
            </w:r>
            <w:r w:rsidRPr="000202EE">
              <w:rPr>
                <w:i/>
                <w:iCs/>
              </w:rPr>
              <w:t>90% agreement (SD 18%)</w:t>
            </w:r>
          </w:p>
          <w:p w14:paraId="51F2DC0F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When higher levels of PEEP are required, an extraglottic device should be considered for preoxygenation. </w:t>
            </w:r>
            <w:r w:rsidRPr="000202EE">
              <w:rPr>
                <w:i/>
                <w:iCs/>
              </w:rPr>
              <w:t>76% agreement (SD 40%)</w:t>
            </w:r>
          </w:p>
          <w:p w14:paraId="6CF11B9D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Awake intubation to maintain spontaneous respiration should be strongly considered for patients with refractory hypoxemia. </w:t>
            </w:r>
            <w:r w:rsidRPr="000202EE">
              <w:rPr>
                <w:i/>
                <w:iCs/>
              </w:rPr>
              <w:t>95% agreement (SD 9%)</w:t>
            </w:r>
          </w:p>
          <w:p w14:paraId="78BD5303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Patients should be preoxygenated in the upright position when possible. </w:t>
            </w:r>
            <w:r w:rsidRPr="000202EE">
              <w:rPr>
                <w:i/>
                <w:iCs/>
              </w:rPr>
              <w:t>98% agreement (SD 6.3%)</w:t>
            </w:r>
          </w:p>
          <w:p w14:paraId="12269965" w14:textId="77777777" w:rsidR="00A43246" w:rsidRPr="000202EE" w:rsidRDefault="00A43246" w:rsidP="00A432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 w:rsidRPr="000202EE">
              <w:t xml:space="preserve">Ramped positioning should be performed when possible to improve grade of view, improve maintenance of oxygenation, and reduce aspiration risk. </w:t>
            </w:r>
            <w:r w:rsidRPr="000202EE">
              <w:rPr>
                <w:i/>
                <w:iCs/>
              </w:rPr>
              <w:t>99% agreement (SD 3.1%)</w:t>
            </w:r>
          </w:p>
        </w:tc>
      </w:tr>
      <w:tr w:rsidR="00A43246" w:rsidRPr="000202EE" w14:paraId="6CC74894" w14:textId="77777777" w:rsidTr="00B956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F9F1" w14:textId="77777777" w:rsidR="00A43246" w:rsidRPr="000202EE" w:rsidRDefault="00A43246" w:rsidP="00B956F1">
            <w:pPr>
              <w:widowControl w:val="0"/>
              <w:spacing w:line="480" w:lineRule="auto"/>
            </w:pPr>
            <w:r w:rsidRPr="000202EE">
              <w:lastRenderedPageBreak/>
              <w:t>Delayed sequence intubation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7EAC" w14:textId="77777777" w:rsidR="00A43246" w:rsidRPr="000202EE" w:rsidRDefault="00A43246" w:rsidP="00A43246">
            <w:pPr>
              <w:pStyle w:val="ListParagraph"/>
              <w:widowControl w:val="0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53"/>
            </w:pPr>
            <w:r w:rsidRPr="000202EE">
              <w:t xml:space="preserve">When DSI is used, the operator should be ready for emergent intubation as the dissociative ketamine dose can be unreliable. </w:t>
            </w:r>
            <w:r w:rsidRPr="000202EE">
              <w:rPr>
                <w:i/>
                <w:iCs/>
              </w:rPr>
              <w:t>99.5% agreement (SD 1.5%)</w:t>
            </w:r>
          </w:p>
          <w:p w14:paraId="24946A85" w14:textId="77777777" w:rsidR="00A43246" w:rsidRPr="000202EE" w:rsidRDefault="00A43246" w:rsidP="00A43246">
            <w:pPr>
              <w:pStyle w:val="ListParagraph"/>
              <w:widowControl w:val="0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53"/>
            </w:pPr>
            <w:r w:rsidRPr="000202EE">
              <w:t xml:space="preserve">We recommend using small doses of ketamine (10-20 mg aliquots) or dexmedetomidine to avoid apnea from a dissociative dose. </w:t>
            </w:r>
            <w:r w:rsidRPr="000202EE">
              <w:rPr>
                <w:i/>
                <w:iCs/>
              </w:rPr>
              <w:t>97% agreement (SD 7.5%)</w:t>
            </w:r>
          </w:p>
        </w:tc>
      </w:tr>
    </w:tbl>
    <w:p w14:paraId="343854EC" w14:textId="77777777" w:rsidR="00A43246" w:rsidRPr="000202EE" w:rsidRDefault="00A43246" w:rsidP="00A43246"/>
    <w:sectPr w:rsidR="00A43246" w:rsidRPr="000202EE" w:rsidSect="004E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4495"/>
    <w:multiLevelType w:val="multilevel"/>
    <w:tmpl w:val="CA406F4E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6B554D"/>
    <w:multiLevelType w:val="multilevel"/>
    <w:tmpl w:val="41E43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C14166"/>
    <w:multiLevelType w:val="multilevel"/>
    <w:tmpl w:val="2DA8E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B13B70"/>
    <w:multiLevelType w:val="multilevel"/>
    <w:tmpl w:val="AF76D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245B5A"/>
    <w:multiLevelType w:val="multilevel"/>
    <w:tmpl w:val="B9629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7B27CC"/>
    <w:multiLevelType w:val="multilevel"/>
    <w:tmpl w:val="B9629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CA0306"/>
    <w:multiLevelType w:val="multilevel"/>
    <w:tmpl w:val="796C9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97"/>
    <w:rsid w:val="000416FC"/>
    <w:rsid w:val="00130190"/>
    <w:rsid w:val="00150C93"/>
    <w:rsid w:val="001A6A67"/>
    <w:rsid w:val="00213420"/>
    <w:rsid w:val="00217FEE"/>
    <w:rsid w:val="00254AA2"/>
    <w:rsid w:val="00273547"/>
    <w:rsid w:val="00274697"/>
    <w:rsid w:val="00341020"/>
    <w:rsid w:val="00370CB1"/>
    <w:rsid w:val="00382C13"/>
    <w:rsid w:val="003B25AD"/>
    <w:rsid w:val="003B4F4C"/>
    <w:rsid w:val="003D41E5"/>
    <w:rsid w:val="00407C54"/>
    <w:rsid w:val="0041109C"/>
    <w:rsid w:val="00426E41"/>
    <w:rsid w:val="00467C23"/>
    <w:rsid w:val="004E3309"/>
    <w:rsid w:val="004E6975"/>
    <w:rsid w:val="004E714F"/>
    <w:rsid w:val="004F0EFD"/>
    <w:rsid w:val="004F1024"/>
    <w:rsid w:val="00526283"/>
    <w:rsid w:val="00537364"/>
    <w:rsid w:val="005A4DB5"/>
    <w:rsid w:val="005C3325"/>
    <w:rsid w:val="005D3C84"/>
    <w:rsid w:val="005E3FE8"/>
    <w:rsid w:val="005E6384"/>
    <w:rsid w:val="0060749C"/>
    <w:rsid w:val="006358E3"/>
    <w:rsid w:val="00704AE7"/>
    <w:rsid w:val="00715846"/>
    <w:rsid w:val="007C73D4"/>
    <w:rsid w:val="00842C13"/>
    <w:rsid w:val="008B1416"/>
    <w:rsid w:val="008E3985"/>
    <w:rsid w:val="008F791C"/>
    <w:rsid w:val="0094489E"/>
    <w:rsid w:val="00990BDF"/>
    <w:rsid w:val="009F06C5"/>
    <w:rsid w:val="00A43246"/>
    <w:rsid w:val="00B71D60"/>
    <w:rsid w:val="00B8123C"/>
    <w:rsid w:val="00BF149A"/>
    <w:rsid w:val="00C35DBE"/>
    <w:rsid w:val="00CB3B1F"/>
    <w:rsid w:val="00D16321"/>
    <w:rsid w:val="00D20694"/>
    <w:rsid w:val="00D373B8"/>
    <w:rsid w:val="00D45D64"/>
    <w:rsid w:val="00D700A1"/>
    <w:rsid w:val="00DB2353"/>
    <w:rsid w:val="00DF160C"/>
    <w:rsid w:val="00E32FA5"/>
    <w:rsid w:val="00EA43FD"/>
    <w:rsid w:val="00EA4F84"/>
    <w:rsid w:val="00EC0EBB"/>
    <w:rsid w:val="00F91AA5"/>
    <w:rsid w:val="00FD7F60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313C"/>
  <w15:chartTrackingRefBased/>
  <w15:docId w15:val="{1E76C0D7-485A-F14B-9967-DC8EDE5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6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Owyang</dc:creator>
  <cp:keywords/>
  <dc:description/>
  <cp:lastModifiedBy>Justin Peeples</cp:lastModifiedBy>
  <cp:revision>23</cp:revision>
  <dcterms:created xsi:type="dcterms:W3CDTF">2020-08-09T21:51:00Z</dcterms:created>
  <dcterms:modified xsi:type="dcterms:W3CDTF">2020-09-05T08:35:00Z</dcterms:modified>
</cp:coreProperties>
</file>