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53D3C" w14:textId="280FF949" w:rsidR="00F376E6" w:rsidRDefault="00D70FFE" w:rsidP="00BB0790">
      <w:pPr>
        <w:pStyle w:val="NoSpacing"/>
        <w:spacing w:line="276" w:lineRule="auto"/>
        <w:jc w:val="center"/>
        <w:rPr>
          <w:rFonts w:eastAsiaTheme="majorEastAsia" w:cstheme="minorHAnsi"/>
          <w:b/>
          <w:bCs/>
          <w:iCs/>
          <w:spacing w:val="10"/>
          <w:sz w:val="52"/>
          <w:szCs w:val="52"/>
        </w:rPr>
      </w:pPr>
      <w:r w:rsidRPr="00D70FFE">
        <w:rPr>
          <w:rFonts w:eastAsiaTheme="majorEastAsia" w:cstheme="minorHAnsi"/>
          <w:b/>
          <w:bCs/>
          <w:iCs/>
          <w:spacing w:val="10"/>
          <w:sz w:val="52"/>
          <w:szCs w:val="52"/>
        </w:rPr>
        <w:t>Perioperative lung protection: general mechanisms and protective approaches</w:t>
      </w:r>
    </w:p>
    <w:p w14:paraId="270F7745" w14:textId="34636E28" w:rsidR="00301B51" w:rsidRPr="00847054" w:rsidRDefault="00301B51" w:rsidP="00BB0790">
      <w:pPr>
        <w:pStyle w:val="NoSpacing"/>
        <w:spacing w:line="276" w:lineRule="auto"/>
        <w:jc w:val="center"/>
        <w:rPr>
          <w:rFonts w:eastAsiaTheme="majorEastAsia" w:cstheme="minorHAnsi"/>
          <w:i/>
          <w:spacing w:val="10"/>
          <w:sz w:val="40"/>
          <w:szCs w:val="40"/>
          <w:lang w:val="it-IT"/>
        </w:rPr>
      </w:pPr>
      <w:r w:rsidRPr="00847054">
        <w:rPr>
          <w:rFonts w:eastAsiaTheme="majorEastAsia" w:cstheme="minorHAnsi"/>
          <w:i/>
          <w:spacing w:val="10"/>
          <w:sz w:val="40"/>
          <w:szCs w:val="40"/>
          <w:lang w:val="it-IT"/>
        </w:rPr>
        <w:t xml:space="preserve">Online </w:t>
      </w:r>
      <w:proofErr w:type="spellStart"/>
      <w:r w:rsidRPr="00847054">
        <w:rPr>
          <w:rFonts w:eastAsiaTheme="majorEastAsia" w:cstheme="minorHAnsi"/>
          <w:i/>
          <w:spacing w:val="10"/>
          <w:sz w:val="40"/>
          <w:szCs w:val="40"/>
          <w:lang w:val="it-IT"/>
        </w:rPr>
        <w:t>Supplement</w:t>
      </w:r>
      <w:proofErr w:type="spellEnd"/>
    </w:p>
    <w:p w14:paraId="3DD29C49" w14:textId="77777777" w:rsidR="00D70FFE" w:rsidRPr="00847054" w:rsidRDefault="00D70FFE" w:rsidP="00BB0790">
      <w:pPr>
        <w:pStyle w:val="NoSpacing"/>
        <w:spacing w:line="480" w:lineRule="auto"/>
        <w:rPr>
          <w:rFonts w:cstheme="minorHAnsi"/>
          <w:szCs w:val="24"/>
          <w:lang w:val="it-IT"/>
        </w:rPr>
      </w:pPr>
    </w:p>
    <w:p w14:paraId="24EDEA9E" w14:textId="59EBBFFC" w:rsidR="007C706F" w:rsidRPr="00BB0790" w:rsidRDefault="00A21FDD" w:rsidP="00BB0790">
      <w:pPr>
        <w:pStyle w:val="NoSpacing"/>
        <w:spacing w:line="480" w:lineRule="auto"/>
        <w:jc w:val="center"/>
        <w:rPr>
          <w:rFonts w:cstheme="minorHAnsi"/>
          <w:szCs w:val="24"/>
          <w:lang w:val="it-IT"/>
        </w:rPr>
      </w:pPr>
      <w:r w:rsidRPr="00933FF3">
        <w:rPr>
          <w:rFonts w:cstheme="minorHAnsi"/>
          <w:szCs w:val="24"/>
          <w:lang w:val="it-IT"/>
        </w:rPr>
        <w:t>Lorenzo Ball</w:t>
      </w:r>
      <w:r w:rsidR="00565BB6" w:rsidRPr="00933FF3">
        <w:rPr>
          <w:rFonts w:cstheme="minorHAnsi"/>
          <w:szCs w:val="24"/>
          <w:lang w:val="it-IT"/>
        </w:rPr>
        <w:t>,</w:t>
      </w:r>
      <w:r w:rsidR="005D3CE5" w:rsidRPr="00933FF3">
        <w:rPr>
          <w:rFonts w:cstheme="minorHAnsi"/>
          <w:szCs w:val="24"/>
          <w:lang w:val="it-IT"/>
        </w:rPr>
        <w:t xml:space="preserve"> </w:t>
      </w:r>
      <w:r w:rsidR="00D70FFE" w:rsidRPr="00933FF3">
        <w:rPr>
          <w:rFonts w:cstheme="minorHAnsi"/>
          <w:szCs w:val="24"/>
          <w:lang w:val="it-IT"/>
        </w:rPr>
        <w:t xml:space="preserve">Chiara </w:t>
      </w:r>
      <w:proofErr w:type="spellStart"/>
      <w:r w:rsidR="00D70FFE" w:rsidRPr="00933FF3">
        <w:rPr>
          <w:rFonts w:cstheme="minorHAnsi"/>
          <w:szCs w:val="24"/>
          <w:lang w:val="it-IT"/>
        </w:rPr>
        <w:t>Almondo</w:t>
      </w:r>
      <w:proofErr w:type="spellEnd"/>
      <w:r w:rsidR="00377A97" w:rsidRPr="00933FF3">
        <w:rPr>
          <w:rFonts w:cstheme="minorHAnsi"/>
          <w:szCs w:val="24"/>
          <w:lang w:val="it-IT"/>
        </w:rPr>
        <w:t xml:space="preserve">, </w:t>
      </w:r>
      <w:r w:rsidRPr="00933FF3">
        <w:rPr>
          <w:rFonts w:cstheme="minorHAnsi"/>
          <w:szCs w:val="24"/>
          <w:lang w:val="it-IT"/>
        </w:rPr>
        <w:t>Paolo Pelosi</w:t>
      </w:r>
    </w:p>
    <w:sdt>
      <w:sdtPr>
        <w:rPr>
          <w:rFonts w:asciiTheme="minorHAnsi" w:eastAsiaTheme="minorEastAsia" w:hAnsiTheme="minorHAnsi" w:cstheme="minorBidi"/>
          <w:b w:val="0"/>
          <w:bCs w:val="0"/>
          <w:iCs w:val="0"/>
          <w:caps/>
          <w:szCs w:val="22"/>
          <w:lang w:bidi="ar-SA"/>
        </w:rPr>
        <w:id w:val="2116245450"/>
        <w:docPartObj>
          <w:docPartGallery w:val="Table of Contents"/>
          <w:docPartUnique/>
        </w:docPartObj>
      </w:sdtPr>
      <w:sdtEndPr>
        <w:rPr>
          <w:caps w:val="0"/>
          <w:noProof/>
        </w:rPr>
      </w:sdtEndPr>
      <w:sdtContent>
        <w:p w14:paraId="2DE8C908" w14:textId="20718BEE" w:rsidR="00301B51" w:rsidRDefault="00301B51" w:rsidP="00BB0790">
          <w:pPr>
            <w:pStyle w:val="TOCHeading"/>
          </w:pPr>
          <w:r>
            <w:t>Table of Contents</w:t>
          </w:r>
        </w:p>
        <w:p w14:paraId="446CEF42" w14:textId="201BAE5E" w:rsidR="006324D1" w:rsidRDefault="00301B51">
          <w:pPr>
            <w:pStyle w:val="TOC1"/>
            <w:tabs>
              <w:tab w:val="right" w:leader="dot" w:pos="9054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IT" w:eastAsia="en-GB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50625822" w:history="1">
            <w:r w:rsidR="006324D1" w:rsidRPr="008D616E">
              <w:rPr>
                <w:rStyle w:val="Hyperlink"/>
                <w:noProof/>
              </w:rPr>
              <w:t>Search strategy</w:t>
            </w:r>
            <w:r w:rsidR="006324D1">
              <w:rPr>
                <w:noProof/>
                <w:webHidden/>
              </w:rPr>
              <w:tab/>
            </w:r>
            <w:r w:rsidR="006324D1">
              <w:rPr>
                <w:noProof/>
                <w:webHidden/>
              </w:rPr>
              <w:fldChar w:fldCharType="begin"/>
            </w:r>
            <w:r w:rsidR="006324D1">
              <w:rPr>
                <w:noProof/>
                <w:webHidden/>
              </w:rPr>
              <w:instrText xml:space="preserve"> PAGEREF _Toc50625822 \h </w:instrText>
            </w:r>
            <w:r w:rsidR="006324D1">
              <w:rPr>
                <w:noProof/>
                <w:webHidden/>
              </w:rPr>
            </w:r>
            <w:r w:rsidR="006324D1">
              <w:rPr>
                <w:noProof/>
                <w:webHidden/>
              </w:rPr>
              <w:fldChar w:fldCharType="separate"/>
            </w:r>
            <w:r w:rsidR="006324D1">
              <w:rPr>
                <w:noProof/>
                <w:webHidden/>
              </w:rPr>
              <w:t>2</w:t>
            </w:r>
            <w:r w:rsidR="006324D1">
              <w:rPr>
                <w:noProof/>
                <w:webHidden/>
              </w:rPr>
              <w:fldChar w:fldCharType="end"/>
            </w:r>
          </w:hyperlink>
        </w:p>
        <w:p w14:paraId="22237F5C" w14:textId="72EF48A2" w:rsidR="006324D1" w:rsidRDefault="006324D1">
          <w:pPr>
            <w:pStyle w:val="TOC1"/>
            <w:tabs>
              <w:tab w:val="right" w:leader="dot" w:pos="9054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IT" w:eastAsia="en-GB"/>
            </w:rPr>
          </w:pPr>
          <w:hyperlink w:anchor="_Toc50625823" w:history="1">
            <w:r w:rsidRPr="008D616E">
              <w:rPr>
                <w:rStyle w:val="Hyperlink"/>
                <w:noProof/>
              </w:rPr>
              <w:t>efigure 1 – Study inclusion 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_Toc50625823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D9B1BB" w14:textId="6392D626" w:rsidR="006324D1" w:rsidRDefault="006324D1">
          <w:pPr>
            <w:pStyle w:val="TOC1"/>
            <w:tabs>
              <w:tab w:val="right" w:leader="dot" w:pos="9054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IT" w:eastAsia="en-GB"/>
            </w:rPr>
          </w:pPr>
          <w:hyperlink w:anchor="_Toc50625824" w:history="1">
            <w:r w:rsidRPr="008D616E">
              <w:rPr>
                <w:rStyle w:val="Hyperlink"/>
                <w:noProof/>
              </w:rPr>
              <w:t>efigure 2 – Forest plot for PPCs and preoperative physiotherapy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_Toc50625824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842D73" w14:textId="5494EB97" w:rsidR="006324D1" w:rsidRDefault="006324D1">
          <w:pPr>
            <w:pStyle w:val="TOC1"/>
            <w:tabs>
              <w:tab w:val="right" w:leader="dot" w:pos="9054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IT" w:eastAsia="en-GB"/>
            </w:rPr>
          </w:pPr>
          <w:hyperlink w:anchor="_Toc50625825" w:history="1">
            <w:r w:rsidRPr="008D616E">
              <w:rPr>
                <w:rStyle w:val="Hyperlink"/>
                <w:noProof/>
              </w:rPr>
              <w:t>efigure 3 – Funnel plot for PPCs and preoperative physiotherapy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_Toc50625825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0586F" w14:textId="7E719339" w:rsidR="006324D1" w:rsidRDefault="006324D1">
          <w:pPr>
            <w:pStyle w:val="TOC1"/>
            <w:tabs>
              <w:tab w:val="right" w:leader="dot" w:pos="9054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IT" w:eastAsia="en-GB"/>
            </w:rPr>
          </w:pPr>
          <w:hyperlink w:anchor="_Toc50625826" w:history="1">
            <w:r w:rsidRPr="008D616E">
              <w:rPr>
                <w:rStyle w:val="Hyperlink"/>
                <w:noProof/>
              </w:rPr>
              <w:t>eTable 1 – Studies investigating intraoperative ventilation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_Toc50625826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D9B59" w14:textId="4508FFE2" w:rsidR="006324D1" w:rsidRDefault="006324D1">
          <w:pPr>
            <w:pStyle w:val="TOC1"/>
            <w:tabs>
              <w:tab w:val="right" w:leader="dot" w:pos="9054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IT" w:eastAsia="en-GB"/>
            </w:rPr>
          </w:pPr>
          <w:hyperlink w:anchor="_Toc50625827" w:history="1">
            <w:r w:rsidRPr="008D616E">
              <w:rPr>
                <w:rStyle w:val="Hyperlink"/>
                <w:noProof/>
              </w:rPr>
              <w:t>efigure 4 – Forest plot for PPCs and intraoperative ventilation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_Toc50625827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D9D71" w14:textId="5AA0A1DB" w:rsidR="006324D1" w:rsidRDefault="006324D1">
          <w:pPr>
            <w:pStyle w:val="TOC1"/>
            <w:tabs>
              <w:tab w:val="right" w:leader="dot" w:pos="9054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IT" w:eastAsia="en-GB"/>
            </w:rPr>
          </w:pPr>
          <w:hyperlink w:anchor="_Toc50625828" w:history="1">
            <w:r w:rsidRPr="008D616E">
              <w:rPr>
                <w:rStyle w:val="Hyperlink"/>
                <w:noProof/>
              </w:rPr>
              <w:t>efigure 5 – Funnel plot for PPCs and intraoperative ventilation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_Toc50625828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DD869" w14:textId="4A5884D4" w:rsidR="006324D1" w:rsidRDefault="006324D1">
          <w:pPr>
            <w:pStyle w:val="TOC1"/>
            <w:tabs>
              <w:tab w:val="right" w:leader="dot" w:pos="9054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IT" w:eastAsia="en-GB"/>
            </w:rPr>
          </w:pPr>
          <w:hyperlink w:anchor="_Toc50625829" w:history="1">
            <w:r w:rsidRPr="008D616E">
              <w:rPr>
                <w:rStyle w:val="Hyperlink"/>
                <w:noProof/>
              </w:rPr>
              <w:t>efigure 6 – Forest plot for PPCs and postoperative physiotherapy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_Toc50625829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3FE41" w14:textId="4A61C9E4" w:rsidR="006324D1" w:rsidRDefault="006324D1">
          <w:pPr>
            <w:pStyle w:val="TOC1"/>
            <w:tabs>
              <w:tab w:val="right" w:leader="dot" w:pos="9054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IT" w:eastAsia="en-GB"/>
            </w:rPr>
          </w:pPr>
          <w:hyperlink w:anchor="_Toc50625830" w:history="1">
            <w:r w:rsidRPr="008D616E">
              <w:rPr>
                <w:rStyle w:val="Hyperlink"/>
                <w:noProof/>
              </w:rPr>
              <w:t>efigure 7 – Funnel plot for PPCs and postoperative physiotherapy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_Toc50625830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DA960" w14:textId="7DBB0847" w:rsidR="006324D1" w:rsidRDefault="006324D1">
          <w:pPr>
            <w:pStyle w:val="TOC1"/>
            <w:tabs>
              <w:tab w:val="right" w:leader="dot" w:pos="9054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IT" w:eastAsia="en-GB"/>
            </w:rPr>
          </w:pPr>
          <w:hyperlink w:anchor="_Toc50625831" w:history="1">
            <w:r w:rsidRPr="008D616E">
              <w:rPr>
                <w:rStyle w:val="Hyperlink"/>
                <w:noProof/>
              </w:rPr>
              <w:t>efigure 8 – Forest plot for PPCs and postoperative CPAP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_Toc50625831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67B6B2" w14:textId="7EB83B1A" w:rsidR="006324D1" w:rsidRDefault="006324D1">
          <w:pPr>
            <w:pStyle w:val="TOC1"/>
            <w:tabs>
              <w:tab w:val="right" w:leader="dot" w:pos="9054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IT" w:eastAsia="en-GB"/>
            </w:rPr>
          </w:pPr>
          <w:hyperlink w:anchor="_Toc50625832" w:history="1">
            <w:r w:rsidRPr="008D616E">
              <w:rPr>
                <w:rStyle w:val="Hyperlink"/>
                <w:noProof/>
              </w:rPr>
              <w:t>efigure 9 – Funnel plot for PPCs and postoperative CPAP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_Toc50625832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510B2" w14:textId="65D896F0" w:rsidR="00301B51" w:rsidRDefault="00301B51" w:rsidP="00BB0790">
          <w:r>
            <w:rPr>
              <w:b/>
              <w:bCs/>
              <w:noProof/>
            </w:rPr>
            <w:fldChar w:fldCharType="end"/>
          </w:r>
        </w:p>
      </w:sdtContent>
    </w:sdt>
    <w:p w14:paraId="0E42055C" w14:textId="15D44FA0" w:rsidR="00301B51" w:rsidRPr="00BB0790" w:rsidRDefault="00301B51" w:rsidP="00BB0790">
      <w:pPr>
        <w:jc w:val="left"/>
        <w:rPr>
          <w:rFonts w:asciiTheme="majorHAnsi" w:eastAsiaTheme="majorEastAsia" w:hAnsiTheme="majorHAnsi" w:cstheme="majorBidi"/>
          <w:b/>
          <w:bCs/>
          <w:iCs/>
          <w:caps/>
          <w:szCs w:val="32"/>
        </w:rPr>
      </w:pPr>
      <w:r w:rsidRPr="00BB0790">
        <w:br w:type="page"/>
      </w:r>
    </w:p>
    <w:p w14:paraId="0CFF5F41" w14:textId="3920830F" w:rsidR="00301B51" w:rsidRPr="00847054" w:rsidRDefault="0056696A" w:rsidP="00BB0790">
      <w:pPr>
        <w:pStyle w:val="Heading1"/>
      </w:pPr>
      <w:bookmarkStart w:id="0" w:name="_Toc50625822"/>
      <w:r>
        <w:lastRenderedPageBreak/>
        <w:t>Search strategy</w:t>
      </w:r>
      <w:bookmarkEnd w:id="0"/>
    </w:p>
    <w:p w14:paraId="5C718980" w14:textId="480D8BD6" w:rsidR="00301B51" w:rsidRDefault="009029DC" w:rsidP="00BB0790">
      <w:r>
        <w:t>I</w:t>
      </w:r>
      <w:r w:rsidRPr="009029DC">
        <w:t xml:space="preserve">n order to identify relevant articles to be included for the purpose of this systematic review with meta-analysis. The following keywords and </w:t>
      </w:r>
      <w:proofErr w:type="spellStart"/>
      <w:r w:rsidRPr="009029DC">
        <w:t>MeSH</w:t>
      </w:r>
      <w:proofErr w:type="spellEnd"/>
      <w:r w:rsidRPr="009029DC">
        <w:t xml:space="preserve"> terms were used: “protective ventilation”, “recruitment maneuvers”, “positive end-expiratory pressure”, “low tidal volume”,</w:t>
      </w:r>
      <w:r w:rsidR="00847054">
        <w:t xml:space="preserve"> “physiotherapy</w:t>
      </w:r>
      <w:r w:rsidRPr="009029DC">
        <w:t>”</w:t>
      </w:r>
      <w:r w:rsidR="00847054">
        <w:t>, “prehabilitation”</w:t>
      </w:r>
      <w:r w:rsidRPr="009029DC">
        <w:t>, “postoperative pulmonary complications”</w:t>
      </w:r>
      <w:r w:rsidR="00F95DA6">
        <w:t>, “surgery”, “intraoperative”</w:t>
      </w:r>
      <w:r w:rsidRPr="009029DC">
        <w:t>.</w:t>
      </w:r>
      <w:r>
        <w:t xml:space="preserve"> Two authors (LB and CA) independently assessed the results of the primary search</w:t>
      </w:r>
      <w:r w:rsidR="00847054">
        <w:t>, including the references,</w:t>
      </w:r>
      <w:r>
        <w:t xml:space="preserve"> to identify studies for potential inclusion.</w:t>
      </w:r>
    </w:p>
    <w:p w14:paraId="548E9860" w14:textId="659B9EE0" w:rsidR="00942F7C" w:rsidRDefault="00A56330" w:rsidP="00BB0790">
      <w:pPr>
        <w:pStyle w:val="Heading1"/>
      </w:pPr>
      <w:bookmarkStart w:id="1" w:name="_Toc50625823"/>
      <w:r>
        <w:t xml:space="preserve">efigure 1 – </w:t>
      </w:r>
      <w:r w:rsidR="00AB470D">
        <w:t>Study inclusion flow</w:t>
      </w:r>
      <w:bookmarkEnd w:id="1"/>
    </w:p>
    <w:p w14:paraId="78D6AC09" w14:textId="35D1E02E" w:rsidR="00A56330" w:rsidRDefault="00D30396" w:rsidP="00BB0790">
      <w:r w:rsidRPr="00D30396">
        <w:rPr>
          <w:noProof/>
        </w:rPr>
        <w:drawing>
          <wp:inline distT="0" distB="0" distL="0" distR="0" wp14:anchorId="4F921841" wp14:editId="04434FD2">
            <wp:extent cx="5755640" cy="5419725"/>
            <wp:effectExtent l="0" t="0" r="0" b="3175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ell pho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DB592" w14:textId="735914B5" w:rsidR="00717DDC" w:rsidRPr="00106B81" w:rsidRDefault="00717DDC" w:rsidP="00BB0790">
      <w:pPr>
        <w:pStyle w:val="Heading1"/>
      </w:pPr>
      <w:bookmarkStart w:id="2" w:name="_Toc50625824"/>
      <w:r>
        <w:lastRenderedPageBreak/>
        <w:t xml:space="preserve">efigure </w:t>
      </w:r>
      <w:r w:rsidR="009612F6">
        <w:t>2</w:t>
      </w:r>
      <w:r>
        <w:t xml:space="preserve"> – Forest plot for PPCs and preoperative physiotherapy</w:t>
      </w:r>
      <w:bookmarkEnd w:id="2"/>
    </w:p>
    <w:p w14:paraId="7E8C2D95" w14:textId="033E7C9E" w:rsidR="00717DDC" w:rsidRDefault="00136333" w:rsidP="00C46017">
      <w:pPr>
        <w:pStyle w:val="NoSpacing"/>
      </w:pPr>
      <w:r w:rsidRPr="00136333">
        <w:rPr>
          <w:noProof/>
        </w:rPr>
        <w:drawing>
          <wp:inline distT="0" distB="0" distL="0" distR="0" wp14:anchorId="48AC2E08" wp14:editId="41C8C7FF">
            <wp:extent cx="5754976" cy="451944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651" b="4418"/>
                    <a:stretch/>
                  </pic:blipFill>
                  <pic:spPr bwMode="auto">
                    <a:xfrm>
                      <a:off x="0" y="0"/>
                      <a:ext cx="5755640" cy="4519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C27BA" w14:textId="139D5006" w:rsidR="00106B81" w:rsidRPr="00106B81" w:rsidRDefault="00106B81" w:rsidP="00BB0790">
      <w:pPr>
        <w:pStyle w:val="Heading1"/>
      </w:pPr>
      <w:bookmarkStart w:id="3" w:name="_Toc50625825"/>
      <w:r>
        <w:t xml:space="preserve">efigure </w:t>
      </w:r>
      <w:r w:rsidR="009612F6">
        <w:t>3</w:t>
      </w:r>
      <w:r>
        <w:t xml:space="preserve"> – Funnel plot for PPCs and preoperative physiotherapy</w:t>
      </w:r>
      <w:bookmarkEnd w:id="3"/>
    </w:p>
    <w:p w14:paraId="24A82CAB" w14:textId="73F38E56" w:rsidR="000137FA" w:rsidRDefault="00B0014A" w:rsidP="000137FA">
      <w:pPr>
        <w:jc w:val="center"/>
        <w:sectPr w:rsidR="000137FA" w:rsidSect="00301B51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46182DD" wp14:editId="7FFBD5FB">
            <wp:extent cx="3855041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0"/>
                    <a:srcRect t="13028"/>
                    <a:stretch/>
                  </pic:blipFill>
                  <pic:spPr bwMode="auto">
                    <a:xfrm>
                      <a:off x="0" y="0"/>
                      <a:ext cx="3896488" cy="3388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A8704D" w14:textId="24C636B6" w:rsidR="000137FA" w:rsidRDefault="000137FA" w:rsidP="000137FA">
      <w:pPr>
        <w:pStyle w:val="Heading1"/>
      </w:pPr>
      <w:bookmarkStart w:id="4" w:name="_Toc50625826"/>
      <w:proofErr w:type="spellStart"/>
      <w:r>
        <w:lastRenderedPageBreak/>
        <w:t>eTable</w:t>
      </w:r>
      <w:proofErr w:type="spellEnd"/>
      <w:r>
        <w:t xml:space="preserve"> 1 – Studies investigating intraoperative ventilation</w:t>
      </w:r>
      <w:bookmarkEnd w:id="4"/>
    </w:p>
    <w:tbl>
      <w:tblPr>
        <w:tblStyle w:val="TableGrid"/>
        <w:tblpPr w:leftFromText="141" w:rightFromText="141" w:vertAnchor="text" w:tblpXSpec="center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1839"/>
        <w:gridCol w:w="1047"/>
        <w:gridCol w:w="1287"/>
        <w:gridCol w:w="641"/>
        <w:gridCol w:w="1136"/>
        <w:gridCol w:w="991"/>
        <w:gridCol w:w="708"/>
        <w:gridCol w:w="568"/>
        <w:gridCol w:w="1134"/>
        <w:gridCol w:w="991"/>
        <w:gridCol w:w="711"/>
        <w:gridCol w:w="1416"/>
        <w:gridCol w:w="1525"/>
      </w:tblGrid>
      <w:tr w:rsidR="000137FA" w:rsidRPr="000137FA" w14:paraId="2D842751" w14:textId="77777777" w:rsidTr="000137FA">
        <w:trPr>
          <w:trHeight w:val="231"/>
        </w:trPr>
        <w:tc>
          <w:tcPr>
            <w:tcW w:w="1491" w:type="pct"/>
            <w:gridSpan w:val="3"/>
          </w:tcPr>
          <w:p w14:paraId="7C3AB90A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         </w:t>
            </w:r>
          </w:p>
        </w:tc>
        <w:tc>
          <w:tcPr>
            <w:tcW w:w="1242" w:type="pct"/>
            <w:gridSpan w:val="4"/>
          </w:tcPr>
          <w:p w14:paraId="73D99EBA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Protective ventilation</w:t>
            </w:r>
          </w:p>
        </w:tc>
        <w:tc>
          <w:tcPr>
            <w:tcW w:w="1216" w:type="pct"/>
            <w:gridSpan w:val="4"/>
          </w:tcPr>
          <w:p w14:paraId="7EAB4D90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Control group</w:t>
            </w:r>
          </w:p>
        </w:tc>
        <w:tc>
          <w:tcPr>
            <w:tcW w:w="506" w:type="pct"/>
          </w:tcPr>
          <w:p w14:paraId="0CCB813B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Outcomes of interest</w:t>
            </w:r>
          </w:p>
        </w:tc>
        <w:tc>
          <w:tcPr>
            <w:tcW w:w="545" w:type="pct"/>
          </w:tcPr>
          <w:p w14:paraId="762967E8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Main findings</w:t>
            </w:r>
          </w:p>
        </w:tc>
      </w:tr>
      <w:tr w:rsidR="000137FA" w:rsidRPr="000137FA" w14:paraId="34DEF78F" w14:textId="77777777" w:rsidTr="000137FA">
        <w:trPr>
          <w:trHeight w:val="774"/>
        </w:trPr>
        <w:tc>
          <w:tcPr>
            <w:tcW w:w="657" w:type="pct"/>
          </w:tcPr>
          <w:p w14:paraId="41E527F7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Study</w:t>
            </w:r>
          </w:p>
        </w:tc>
        <w:tc>
          <w:tcPr>
            <w:tcW w:w="374" w:type="pct"/>
          </w:tcPr>
          <w:p w14:paraId="0F3B0AE5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Type of surgery</w:t>
            </w:r>
          </w:p>
        </w:tc>
        <w:tc>
          <w:tcPr>
            <w:tcW w:w="460" w:type="pct"/>
          </w:tcPr>
          <w:p w14:paraId="671DB6B3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Study population</w:t>
            </w:r>
          </w:p>
        </w:tc>
        <w:tc>
          <w:tcPr>
            <w:tcW w:w="229" w:type="pct"/>
          </w:tcPr>
          <w:p w14:paraId="79F6E41D" w14:textId="36E395A6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N </w:t>
            </w:r>
          </w:p>
        </w:tc>
        <w:tc>
          <w:tcPr>
            <w:tcW w:w="406" w:type="pct"/>
          </w:tcPr>
          <w:p w14:paraId="0F9A2CBE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Tidal volume (mL/kg predicted body weight)</w:t>
            </w:r>
          </w:p>
        </w:tc>
        <w:tc>
          <w:tcPr>
            <w:tcW w:w="354" w:type="pct"/>
          </w:tcPr>
          <w:p w14:paraId="28B32069" w14:textId="3B96662C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PEEP (cmH</w:t>
            </w: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it-I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it-IT"/>
              </w:rPr>
              <w:t xml:space="preserve"> </w:t>
            </w: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O)</w:t>
            </w:r>
          </w:p>
        </w:tc>
        <w:tc>
          <w:tcPr>
            <w:tcW w:w="253" w:type="pct"/>
          </w:tcPr>
          <w:p w14:paraId="7AEF1623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ARM</w:t>
            </w:r>
          </w:p>
        </w:tc>
        <w:tc>
          <w:tcPr>
            <w:tcW w:w="203" w:type="pct"/>
          </w:tcPr>
          <w:p w14:paraId="41312D2F" w14:textId="53F0D7D9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N </w:t>
            </w:r>
          </w:p>
        </w:tc>
        <w:tc>
          <w:tcPr>
            <w:tcW w:w="405" w:type="pct"/>
          </w:tcPr>
          <w:p w14:paraId="169F3047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Tidal volume (mL/kg predicted body weight)</w:t>
            </w:r>
          </w:p>
        </w:tc>
        <w:tc>
          <w:tcPr>
            <w:tcW w:w="354" w:type="pct"/>
          </w:tcPr>
          <w:p w14:paraId="740BE337" w14:textId="18FFBFB6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PEEP (cmH</w:t>
            </w: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it-I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it-IT"/>
              </w:rPr>
              <w:t xml:space="preserve"> </w:t>
            </w: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O)</w:t>
            </w:r>
          </w:p>
        </w:tc>
        <w:tc>
          <w:tcPr>
            <w:tcW w:w="254" w:type="pct"/>
          </w:tcPr>
          <w:p w14:paraId="0718A381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ARM</w:t>
            </w:r>
          </w:p>
        </w:tc>
        <w:tc>
          <w:tcPr>
            <w:tcW w:w="506" w:type="pct"/>
          </w:tcPr>
          <w:p w14:paraId="57453C57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45" w:type="pct"/>
          </w:tcPr>
          <w:p w14:paraId="1628C374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0137FA" w:rsidRPr="000137FA" w14:paraId="05578343" w14:textId="77777777" w:rsidTr="000137FA">
        <w:trPr>
          <w:trHeight w:val="774"/>
        </w:trPr>
        <w:tc>
          <w:tcPr>
            <w:tcW w:w="657" w:type="pct"/>
          </w:tcPr>
          <w:p w14:paraId="68CBE830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Weingarten 2010</w:t>
            </w:r>
          </w:p>
          <w:p w14:paraId="71975EF6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74" w:type="pct"/>
          </w:tcPr>
          <w:p w14:paraId="5723084A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Open abdominal</w:t>
            </w:r>
          </w:p>
        </w:tc>
        <w:tc>
          <w:tcPr>
            <w:tcW w:w="460" w:type="pct"/>
          </w:tcPr>
          <w:p w14:paraId="7601E1B6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&gt; 65 years old </w:t>
            </w:r>
          </w:p>
          <w:p w14:paraId="413CF35C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29" w:type="pct"/>
          </w:tcPr>
          <w:p w14:paraId="5A50EE28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406" w:type="pct"/>
          </w:tcPr>
          <w:p w14:paraId="6DCD5749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4" w:type="pct"/>
          </w:tcPr>
          <w:p w14:paraId="799A74CA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253" w:type="pct"/>
          </w:tcPr>
          <w:p w14:paraId="357F7187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03" w:type="pct"/>
          </w:tcPr>
          <w:p w14:paraId="75332387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405" w:type="pct"/>
          </w:tcPr>
          <w:p w14:paraId="45E6E9EE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54" w:type="pct"/>
          </w:tcPr>
          <w:p w14:paraId="46A91AEA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54" w:type="pct"/>
          </w:tcPr>
          <w:p w14:paraId="607A5979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06" w:type="pct"/>
          </w:tcPr>
          <w:p w14:paraId="50C76853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Pneumonia atelectasis</w:t>
            </w:r>
          </w:p>
          <w:p w14:paraId="0CFA0B2D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pulmonary edema</w:t>
            </w:r>
          </w:p>
          <w:p w14:paraId="6F8B7AB6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pleural effusions ALI</w:t>
            </w:r>
          </w:p>
        </w:tc>
        <w:tc>
          <w:tcPr>
            <w:tcW w:w="545" w:type="pct"/>
          </w:tcPr>
          <w:p w14:paraId="54EF8F41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Protective strategy improved intraoperative oxygenation, no decrease in PPCs </w:t>
            </w:r>
          </w:p>
        </w:tc>
      </w:tr>
      <w:tr w:rsidR="000137FA" w:rsidRPr="000137FA" w14:paraId="6F1B909E" w14:textId="77777777" w:rsidTr="000137FA">
        <w:trPr>
          <w:trHeight w:val="774"/>
        </w:trPr>
        <w:tc>
          <w:tcPr>
            <w:tcW w:w="657" w:type="pct"/>
          </w:tcPr>
          <w:p w14:paraId="0953623B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Futier</w:t>
            </w:r>
            <w:proofErr w:type="spellEnd"/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2013</w:t>
            </w:r>
          </w:p>
        </w:tc>
        <w:tc>
          <w:tcPr>
            <w:tcW w:w="374" w:type="pct"/>
          </w:tcPr>
          <w:p w14:paraId="5EEC3072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Open abdominal</w:t>
            </w:r>
          </w:p>
        </w:tc>
        <w:tc>
          <w:tcPr>
            <w:tcW w:w="460" w:type="pct"/>
          </w:tcPr>
          <w:p w14:paraId="260B7C67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Moderate to high risk of PPC assessed with the Postoperative Pneumonia Risk Index</w:t>
            </w:r>
          </w:p>
          <w:p w14:paraId="21B03FFB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29" w:type="pct"/>
          </w:tcPr>
          <w:p w14:paraId="01933B62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200</w:t>
            </w:r>
          </w:p>
        </w:tc>
        <w:tc>
          <w:tcPr>
            <w:tcW w:w="406" w:type="pct"/>
          </w:tcPr>
          <w:p w14:paraId="0859BEC0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6-8</w:t>
            </w:r>
          </w:p>
        </w:tc>
        <w:tc>
          <w:tcPr>
            <w:tcW w:w="354" w:type="pct"/>
          </w:tcPr>
          <w:p w14:paraId="75F77C4D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6-8</w:t>
            </w:r>
          </w:p>
        </w:tc>
        <w:tc>
          <w:tcPr>
            <w:tcW w:w="253" w:type="pct"/>
          </w:tcPr>
          <w:p w14:paraId="3268964A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03" w:type="pct"/>
          </w:tcPr>
          <w:p w14:paraId="715A5DEF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200</w:t>
            </w:r>
          </w:p>
        </w:tc>
        <w:tc>
          <w:tcPr>
            <w:tcW w:w="405" w:type="pct"/>
          </w:tcPr>
          <w:p w14:paraId="32D29DD9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10-12</w:t>
            </w:r>
          </w:p>
        </w:tc>
        <w:tc>
          <w:tcPr>
            <w:tcW w:w="354" w:type="pct"/>
          </w:tcPr>
          <w:p w14:paraId="54FE69C5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54" w:type="pct"/>
          </w:tcPr>
          <w:p w14:paraId="3F2C7F89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06" w:type="pct"/>
          </w:tcPr>
          <w:p w14:paraId="292583DC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Pneumonia, atelectasis,</w:t>
            </w:r>
          </w:p>
          <w:p w14:paraId="1F4067A4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ALI</w:t>
            </w:r>
          </w:p>
        </w:tc>
        <w:tc>
          <w:tcPr>
            <w:tcW w:w="545" w:type="pct"/>
          </w:tcPr>
          <w:p w14:paraId="04D4B475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Decreased incidence of PPCs and length of stay with protective ventilation </w:t>
            </w:r>
          </w:p>
        </w:tc>
      </w:tr>
      <w:tr w:rsidR="000137FA" w:rsidRPr="000137FA" w14:paraId="7EBC7C31" w14:textId="77777777" w:rsidTr="000137FA">
        <w:trPr>
          <w:trHeight w:val="774"/>
        </w:trPr>
        <w:tc>
          <w:tcPr>
            <w:tcW w:w="657" w:type="pct"/>
          </w:tcPr>
          <w:p w14:paraId="0F87EC5F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Soh 2017</w:t>
            </w:r>
          </w:p>
        </w:tc>
        <w:tc>
          <w:tcPr>
            <w:tcW w:w="374" w:type="pct"/>
          </w:tcPr>
          <w:p w14:paraId="6C83AC6F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Spinal</w:t>
            </w:r>
          </w:p>
        </w:tc>
        <w:tc>
          <w:tcPr>
            <w:tcW w:w="460" w:type="pct"/>
          </w:tcPr>
          <w:p w14:paraId="127B19CF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Patients at risk of PPC assessed with the Postoperative Pneumonia Risk Index, surgery in the prone position &gt;2 hours</w:t>
            </w:r>
          </w:p>
        </w:tc>
        <w:tc>
          <w:tcPr>
            <w:tcW w:w="229" w:type="pct"/>
          </w:tcPr>
          <w:p w14:paraId="1799DADD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406" w:type="pct"/>
          </w:tcPr>
          <w:p w14:paraId="046E20C3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4" w:type="pct"/>
          </w:tcPr>
          <w:p w14:paraId="0FEB8F77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53" w:type="pct"/>
          </w:tcPr>
          <w:p w14:paraId="5AEB8BAA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03" w:type="pct"/>
          </w:tcPr>
          <w:p w14:paraId="1959E4E2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405" w:type="pct"/>
          </w:tcPr>
          <w:p w14:paraId="28AE69B3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54" w:type="pct"/>
          </w:tcPr>
          <w:p w14:paraId="4619C953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54" w:type="pct"/>
          </w:tcPr>
          <w:p w14:paraId="664D5210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06" w:type="pct"/>
          </w:tcPr>
          <w:p w14:paraId="3F5212A5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Atelectasis pneumonia</w:t>
            </w:r>
          </w:p>
          <w:p w14:paraId="4AA20DD2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Pulmonary oedema</w:t>
            </w:r>
          </w:p>
        </w:tc>
        <w:tc>
          <w:tcPr>
            <w:tcW w:w="545" w:type="pct"/>
          </w:tcPr>
          <w:p w14:paraId="45F90EE0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 differences in the incidence of PPCs</w:t>
            </w:r>
          </w:p>
        </w:tc>
      </w:tr>
      <w:tr w:rsidR="000137FA" w:rsidRPr="000137FA" w14:paraId="3DFBF740" w14:textId="77777777" w:rsidTr="000137FA">
        <w:trPr>
          <w:trHeight w:val="774"/>
        </w:trPr>
        <w:tc>
          <w:tcPr>
            <w:tcW w:w="657" w:type="pct"/>
          </w:tcPr>
          <w:p w14:paraId="1FF55552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137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Treschan</w:t>
            </w:r>
            <w:proofErr w:type="spellEnd"/>
            <w:r w:rsidRPr="000137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2012</w:t>
            </w:r>
          </w:p>
          <w:p w14:paraId="21D6E576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74" w:type="pct"/>
          </w:tcPr>
          <w:p w14:paraId="4C2D9BF6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Open abdominal</w:t>
            </w:r>
          </w:p>
        </w:tc>
        <w:tc>
          <w:tcPr>
            <w:tcW w:w="460" w:type="pct"/>
          </w:tcPr>
          <w:p w14:paraId="0CC4F9C6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Duration &gt;3h</w:t>
            </w:r>
          </w:p>
          <w:p w14:paraId="7BAEC664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29" w:type="pct"/>
          </w:tcPr>
          <w:p w14:paraId="7AFDE3A2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406" w:type="pct"/>
          </w:tcPr>
          <w:p w14:paraId="7912C10C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4" w:type="pct"/>
          </w:tcPr>
          <w:p w14:paraId="5F84EBA8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53" w:type="pct"/>
          </w:tcPr>
          <w:p w14:paraId="09518771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03" w:type="pct"/>
          </w:tcPr>
          <w:p w14:paraId="17C5B3C0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405" w:type="pct"/>
          </w:tcPr>
          <w:p w14:paraId="168D7AFC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354" w:type="pct"/>
          </w:tcPr>
          <w:p w14:paraId="4CB3CBCB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54" w:type="pct"/>
          </w:tcPr>
          <w:p w14:paraId="289E1811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06" w:type="pct"/>
          </w:tcPr>
          <w:p w14:paraId="540E1E8A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Pneumonia, respiratory failure</w:t>
            </w:r>
          </w:p>
        </w:tc>
        <w:tc>
          <w:tcPr>
            <w:tcW w:w="545" w:type="pct"/>
          </w:tcPr>
          <w:p w14:paraId="3CB67038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 differences in the incidence of PPCs</w:t>
            </w:r>
          </w:p>
        </w:tc>
      </w:tr>
      <w:tr w:rsidR="000137FA" w:rsidRPr="000137FA" w14:paraId="583C477B" w14:textId="77777777" w:rsidTr="000137FA">
        <w:trPr>
          <w:trHeight w:val="774"/>
        </w:trPr>
        <w:tc>
          <w:tcPr>
            <w:tcW w:w="657" w:type="pct"/>
          </w:tcPr>
          <w:p w14:paraId="0649231A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137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Kuzkov</w:t>
            </w:r>
            <w:proofErr w:type="spellEnd"/>
            <w:r w:rsidRPr="000137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2016</w:t>
            </w:r>
          </w:p>
          <w:p w14:paraId="3ED44F8C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74" w:type="pct"/>
          </w:tcPr>
          <w:p w14:paraId="71FC830D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Open </w:t>
            </w: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pancreatoduodenal</w:t>
            </w:r>
          </w:p>
        </w:tc>
        <w:tc>
          <w:tcPr>
            <w:tcW w:w="460" w:type="pct"/>
          </w:tcPr>
          <w:p w14:paraId="7F3C77B7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Duration &gt;2 h </w:t>
            </w:r>
          </w:p>
          <w:p w14:paraId="4DC99A32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29" w:type="pct"/>
          </w:tcPr>
          <w:p w14:paraId="4A2D4D99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406" w:type="pct"/>
          </w:tcPr>
          <w:p w14:paraId="4706D3D4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4" w:type="pct"/>
          </w:tcPr>
          <w:p w14:paraId="6BF93F69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53" w:type="pct"/>
          </w:tcPr>
          <w:p w14:paraId="54027F5A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03" w:type="pct"/>
          </w:tcPr>
          <w:p w14:paraId="7EDC8239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405" w:type="pct"/>
          </w:tcPr>
          <w:p w14:paraId="6C7CBF70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54" w:type="pct"/>
          </w:tcPr>
          <w:p w14:paraId="08C919E9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54" w:type="pct"/>
          </w:tcPr>
          <w:p w14:paraId="25F3BA9D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06" w:type="pct"/>
          </w:tcPr>
          <w:p w14:paraId="124AF101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Atelectasis, pneumonia</w:t>
            </w:r>
          </w:p>
        </w:tc>
        <w:tc>
          <w:tcPr>
            <w:tcW w:w="545" w:type="pct"/>
          </w:tcPr>
          <w:p w14:paraId="600C7047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Reduced incidence of atelectasis</w:t>
            </w:r>
          </w:p>
        </w:tc>
      </w:tr>
      <w:tr w:rsidR="000137FA" w:rsidRPr="000137FA" w14:paraId="5E2364F4" w14:textId="77777777" w:rsidTr="000137FA">
        <w:trPr>
          <w:trHeight w:val="774"/>
        </w:trPr>
        <w:tc>
          <w:tcPr>
            <w:tcW w:w="657" w:type="pct"/>
          </w:tcPr>
          <w:p w14:paraId="1B8F24E9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137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Karalapillai</w:t>
            </w:r>
            <w:proofErr w:type="spellEnd"/>
            <w:r w:rsidRPr="000137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2020</w:t>
            </w:r>
          </w:p>
          <w:p w14:paraId="5D87AF59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74" w:type="pct"/>
          </w:tcPr>
          <w:p w14:paraId="395EC5B8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Major non-cardiothoracic, non-intracranial surgery</w:t>
            </w:r>
          </w:p>
        </w:tc>
        <w:tc>
          <w:tcPr>
            <w:tcW w:w="460" w:type="pct"/>
          </w:tcPr>
          <w:p w14:paraId="03D3FC43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&gt; 40 years or older</w:t>
            </w:r>
          </w:p>
        </w:tc>
        <w:tc>
          <w:tcPr>
            <w:tcW w:w="229" w:type="pct"/>
          </w:tcPr>
          <w:p w14:paraId="768156B3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614</w:t>
            </w:r>
          </w:p>
        </w:tc>
        <w:tc>
          <w:tcPr>
            <w:tcW w:w="406" w:type="pct"/>
          </w:tcPr>
          <w:p w14:paraId="5AE8125A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4" w:type="pct"/>
          </w:tcPr>
          <w:p w14:paraId="1414F452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53" w:type="pct"/>
          </w:tcPr>
          <w:p w14:paraId="02ED974E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03" w:type="pct"/>
          </w:tcPr>
          <w:p w14:paraId="6FD23093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592</w:t>
            </w:r>
          </w:p>
        </w:tc>
        <w:tc>
          <w:tcPr>
            <w:tcW w:w="405" w:type="pct"/>
          </w:tcPr>
          <w:p w14:paraId="6D9E5BCE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54" w:type="pct"/>
          </w:tcPr>
          <w:p w14:paraId="6F34EE09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54" w:type="pct"/>
          </w:tcPr>
          <w:p w14:paraId="5C9CC761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06" w:type="pct"/>
          </w:tcPr>
          <w:p w14:paraId="0599B4AD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Pneumonia, bronchospasm, atelectasis, pulmonary congestion, respiratory failure, pleural effusion, pneumothorax</w:t>
            </w:r>
          </w:p>
        </w:tc>
        <w:tc>
          <w:tcPr>
            <w:tcW w:w="545" w:type="pct"/>
          </w:tcPr>
          <w:p w14:paraId="74B4FB8E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 differences in the incidence of PPCs</w:t>
            </w:r>
          </w:p>
        </w:tc>
      </w:tr>
      <w:tr w:rsidR="000137FA" w:rsidRPr="000137FA" w14:paraId="6917F158" w14:textId="77777777" w:rsidTr="000137FA">
        <w:trPr>
          <w:trHeight w:val="774"/>
        </w:trPr>
        <w:tc>
          <w:tcPr>
            <w:tcW w:w="657" w:type="pct"/>
          </w:tcPr>
          <w:p w14:paraId="0EE4D3EA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0137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Hemmes</w:t>
            </w:r>
            <w:proofErr w:type="spellEnd"/>
            <w:r w:rsidRPr="000137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2014</w:t>
            </w:r>
          </w:p>
        </w:tc>
        <w:tc>
          <w:tcPr>
            <w:tcW w:w="374" w:type="pct"/>
          </w:tcPr>
          <w:p w14:paraId="7BA2615D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Open abdominal surgery</w:t>
            </w:r>
          </w:p>
        </w:tc>
        <w:tc>
          <w:tcPr>
            <w:tcW w:w="460" w:type="pct"/>
          </w:tcPr>
          <w:p w14:paraId="1F7E372E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Moderate to high risk of pulmonary complications assessed with the ARISCAT score</w:t>
            </w:r>
          </w:p>
        </w:tc>
        <w:tc>
          <w:tcPr>
            <w:tcW w:w="229" w:type="pct"/>
          </w:tcPr>
          <w:p w14:paraId="4817A612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447</w:t>
            </w:r>
          </w:p>
        </w:tc>
        <w:tc>
          <w:tcPr>
            <w:tcW w:w="406" w:type="pct"/>
          </w:tcPr>
          <w:p w14:paraId="4E4AC985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4" w:type="pct"/>
          </w:tcPr>
          <w:p w14:paraId="2621CA03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253" w:type="pct"/>
          </w:tcPr>
          <w:p w14:paraId="794F8EA2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03" w:type="pct"/>
          </w:tcPr>
          <w:p w14:paraId="7C1FC9DE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453</w:t>
            </w:r>
          </w:p>
        </w:tc>
        <w:tc>
          <w:tcPr>
            <w:tcW w:w="405" w:type="pct"/>
          </w:tcPr>
          <w:p w14:paraId="6A9054F0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4" w:type="pct"/>
          </w:tcPr>
          <w:p w14:paraId="3E176ECD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54" w:type="pct"/>
          </w:tcPr>
          <w:p w14:paraId="240292BB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06" w:type="pct"/>
          </w:tcPr>
          <w:p w14:paraId="11C3C4C3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Hypoxemia, bronchospasm, pneumonia, ARDS, atelectasis, pleural effusion, pulmonary edema, pneumothorax</w:t>
            </w:r>
          </w:p>
        </w:tc>
        <w:tc>
          <w:tcPr>
            <w:tcW w:w="545" w:type="pct"/>
          </w:tcPr>
          <w:p w14:paraId="1E60227E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 differences in the incidence of PPCs</w:t>
            </w:r>
          </w:p>
        </w:tc>
      </w:tr>
      <w:tr w:rsidR="000137FA" w:rsidRPr="000137FA" w14:paraId="144BC5A3" w14:textId="77777777" w:rsidTr="000137FA">
        <w:trPr>
          <w:trHeight w:val="774"/>
        </w:trPr>
        <w:tc>
          <w:tcPr>
            <w:tcW w:w="657" w:type="pct"/>
          </w:tcPr>
          <w:p w14:paraId="5692B84D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137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Nestler</w:t>
            </w:r>
            <w:proofErr w:type="spellEnd"/>
            <w:r w:rsidRPr="000137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2017</w:t>
            </w:r>
          </w:p>
        </w:tc>
        <w:tc>
          <w:tcPr>
            <w:tcW w:w="374" w:type="pct"/>
          </w:tcPr>
          <w:p w14:paraId="55B53B10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Laparoscopic surgery</w:t>
            </w:r>
          </w:p>
        </w:tc>
        <w:tc>
          <w:tcPr>
            <w:tcW w:w="460" w:type="pct"/>
          </w:tcPr>
          <w:p w14:paraId="24A7AD88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Obese patients</w:t>
            </w:r>
          </w:p>
        </w:tc>
        <w:tc>
          <w:tcPr>
            <w:tcW w:w="229" w:type="pct"/>
          </w:tcPr>
          <w:p w14:paraId="4FB8F047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406" w:type="pct"/>
          </w:tcPr>
          <w:p w14:paraId="04E6C4A4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4" w:type="pct"/>
          </w:tcPr>
          <w:p w14:paraId="241269D3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Individualized based on electrical impedance tomography</w:t>
            </w:r>
          </w:p>
        </w:tc>
        <w:tc>
          <w:tcPr>
            <w:tcW w:w="253" w:type="pct"/>
          </w:tcPr>
          <w:p w14:paraId="71727780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03" w:type="pct"/>
          </w:tcPr>
          <w:p w14:paraId="4F5F5E03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405" w:type="pct"/>
          </w:tcPr>
          <w:p w14:paraId="18A68451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4" w:type="pct"/>
          </w:tcPr>
          <w:p w14:paraId="472EC821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54" w:type="pct"/>
          </w:tcPr>
          <w:p w14:paraId="68C0765F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06" w:type="pct"/>
          </w:tcPr>
          <w:p w14:paraId="3A8A194B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Atelectasis, pneumonia </w:t>
            </w:r>
          </w:p>
        </w:tc>
        <w:tc>
          <w:tcPr>
            <w:tcW w:w="545" w:type="pct"/>
          </w:tcPr>
          <w:p w14:paraId="5EF9129C" w14:textId="77777777" w:rsidR="000137FA" w:rsidRPr="000137FA" w:rsidRDefault="000137FA" w:rsidP="000137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Improved intraoperative oxygenation but not postoperative outcomes</w:t>
            </w:r>
          </w:p>
        </w:tc>
      </w:tr>
      <w:tr w:rsidR="000137FA" w:rsidRPr="000137FA" w14:paraId="03857DCA" w14:textId="77777777" w:rsidTr="000137FA">
        <w:trPr>
          <w:trHeight w:val="774"/>
        </w:trPr>
        <w:tc>
          <w:tcPr>
            <w:tcW w:w="657" w:type="pct"/>
          </w:tcPr>
          <w:p w14:paraId="39E9C553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0137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Ferrando</w:t>
            </w:r>
            <w:proofErr w:type="spellEnd"/>
            <w:r w:rsidRPr="000137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2018</w:t>
            </w:r>
          </w:p>
        </w:tc>
        <w:tc>
          <w:tcPr>
            <w:tcW w:w="374" w:type="pct"/>
          </w:tcPr>
          <w:p w14:paraId="5843C317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Abdominal</w:t>
            </w:r>
          </w:p>
        </w:tc>
        <w:tc>
          <w:tcPr>
            <w:tcW w:w="460" w:type="pct"/>
          </w:tcPr>
          <w:p w14:paraId="3AA01D33" w14:textId="77777777" w:rsidR="000137FA" w:rsidRPr="000137FA" w:rsidRDefault="000137FA" w:rsidP="000137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Surgery &gt;2 h Intermediate-to-high</w:t>
            </w:r>
          </w:p>
          <w:p w14:paraId="2B8D112F" w14:textId="77777777" w:rsidR="000137FA" w:rsidRPr="000137FA" w:rsidRDefault="000137FA" w:rsidP="000137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risk for PPCs, assessed with the ARISCAT score</w:t>
            </w:r>
          </w:p>
          <w:p w14:paraId="5DD901E1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29" w:type="pct"/>
          </w:tcPr>
          <w:p w14:paraId="6929EB5A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238</w:t>
            </w:r>
          </w:p>
          <w:p w14:paraId="0836DB01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(OLA-CPAP group)</w:t>
            </w:r>
          </w:p>
        </w:tc>
        <w:tc>
          <w:tcPr>
            <w:tcW w:w="406" w:type="pct"/>
          </w:tcPr>
          <w:p w14:paraId="3B7C59C7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4" w:type="pct"/>
          </w:tcPr>
          <w:p w14:paraId="2C8D0BC6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Individualized based on the lowest driving pressure</w:t>
            </w:r>
          </w:p>
        </w:tc>
        <w:tc>
          <w:tcPr>
            <w:tcW w:w="253" w:type="pct"/>
          </w:tcPr>
          <w:p w14:paraId="3A0974A9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203" w:type="pct"/>
          </w:tcPr>
          <w:p w14:paraId="17CD470C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244</w:t>
            </w:r>
          </w:p>
          <w:p w14:paraId="392B4E0F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(Standard-CPAP group)</w:t>
            </w:r>
          </w:p>
        </w:tc>
        <w:tc>
          <w:tcPr>
            <w:tcW w:w="405" w:type="pct"/>
          </w:tcPr>
          <w:p w14:paraId="4D5E5FDA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4" w:type="pct"/>
          </w:tcPr>
          <w:p w14:paraId="38901632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54" w:type="pct"/>
          </w:tcPr>
          <w:p w14:paraId="0AB05A81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06" w:type="pct"/>
          </w:tcPr>
          <w:p w14:paraId="2A8CAE47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Aspiration pneumonitis, bronchospasm, pleural effusion, atelectasis, hypoxemia, pneumothorax, pneumonia, ARDS</w:t>
            </w:r>
          </w:p>
        </w:tc>
        <w:tc>
          <w:tcPr>
            <w:tcW w:w="545" w:type="pct"/>
          </w:tcPr>
          <w:p w14:paraId="7206A219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 differences in the incidence of postoperative complications</w:t>
            </w:r>
          </w:p>
        </w:tc>
      </w:tr>
      <w:tr w:rsidR="000137FA" w:rsidRPr="000137FA" w14:paraId="5AA462F3" w14:textId="77777777" w:rsidTr="000137FA">
        <w:trPr>
          <w:trHeight w:val="774"/>
        </w:trPr>
        <w:tc>
          <w:tcPr>
            <w:tcW w:w="657" w:type="pct"/>
          </w:tcPr>
          <w:p w14:paraId="333766A8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lastRenderedPageBreak/>
              <w:t>Wei 2018</w:t>
            </w:r>
          </w:p>
        </w:tc>
        <w:tc>
          <w:tcPr>
            <w:tcW w:w="374" w:type="pct"/>
          </w:tcPr>
          <w:p w14:paraId="6F69FE50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Bariatric (sleeve gastrectomy)</w:t>
            </w:r>
          </w:p>
        </w:tc>
        <w:tc>
          <w:tcPr>
            <w:tcW w:w="460" w:type="pct"/>
          </w:tcPr>
          <w:p w14:paraId="504E479C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Obese patients ASA II-III between 20 and 65 years </w:t>
            </w:r>
          </w:p>
        </w:tc>
        <w:tc>
          <w:tcPr>
            <w:tcW w:w="229" w:type="pct"/>
          </w:tcPr>
          <w:p w14:paraId="661E11F2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406" w:type="pct"/>
          </w:tcPr>
          <w:p w14:paraId="2AA36ECC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4" w:type="pct"/>
          </w:tcPr>
          <w:p w14:paraId="5ADE4194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53" w:type="pct"/>
          </w:tcPr>
          <w:p w14:paraId="1B86B0D2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03" w:type="pct"/>
          </w:tcPr>
          <w:p w14:paraId="193A2AE7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405" w:type="pct"/>
          </w:tcPr>
          <w:p w14:paraId="678CA5C0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4" w:type="pct"/>
          </w:tcPr>
          <w:p w14:paraId="19BF9BAE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254" w:type="pct"/>
          </w:tcPr>
          <w:p w14:paraId="66C42F63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06" w:type="pct"/>
          </w:tcPr>
          <w:p w14:paraId="0F5AC641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Postoperative oxygenation,</w:t>
            </w:r>
          </w:p>
          <w:p w14:paraId="28746490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PPCs </w:t>
            </w:r>
          </w:p>
        </w:tc>
        <w:tc>
          <w:tcPr>
            <w:tcW w:w="545" w:type="pct"/>
          </w:tcPr>
          <w:p w14:paraId="14429D97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Improved postoperative oxygenation</w:t>
            </w:r>
          </w:p>
        </w:tc>
      </w:tr>
      <w:tr w:rsidR="000137FA" w:rsidRPr="000137FA" w14:paraId="14C36FA8" w14:textId="77777777" w:rsidTr="000137FA">
        <w:trPr>
          <w:trHeight w:val="774"/>
        </w:trPr>
        <w:tc>
          <w:tcPr>
            <w:tcW w:w="657" w:type="pct"/>
          </w:tcPr>
          <w:p w14:paraId="6F74EDD9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Bluth 2019</w:t>
            </w:r>
          </w:p>
        </w:tc>
        <w:tc>
          <w:tcPr>
            <w:tcW w:w="374" w:type="pct"/>
          </w:tcPr>
          <w:p w14:paraId="73D59B69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Abdominal </w:t>
            </w:r>
          </w:p>
        </w:tc>
        <w:tc>
          <w:tcPr>
            <w:tcW w:w="460" w:type="pct"/>
          </w:tcPr>
          <w:p w14:paraId="64B7F577" w14:textId="77777777" w:rsidR="000137FA" w:rsidRPr="000137FA" w:rsidRDefault="000137FA" w:rsidP="000137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Obese patients, intermediate to</w:t>
            </w:r>
          </w:p>
          <w:p w14:paraId="0050CCD9" w14:textId="77777777" w:rsidR="000137FA" w:rsidRPr="000137FA" w:rsidRDefault="000137FA" w:rsidP="000137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high risk of PPCs assessed with the ARISCAT score</w:t>
            </w:r>
          </w:p>
          <w:p w14:paraId="36CF428D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29" w:type="pct"/>
          </w:tcPr>
          <w:p w14:paraId="4838EB06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987</w:t>
            </w:r>
          </w:p>
        </w:tc>
        <w:tc>
          <w:tcPr>
            <w:tcW w:w="406" w:type="pct"/>
          </w:tcPr>
          <w:p w14:paraId="4A9D1833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54" w:type="pct"/>
          </w:tcPr>
          <w:p w14:paraId="07B64043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53" w:type="pct"/>
          </w:tcPr>
          <w:p w14:paraId="75CBF4BF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203" w:type="pct"/>
          </w:tcPr>
          <w:p w14:paraId="2C793C3F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989</w:t>
            </w:r>
          </w:p>
        </w:tc>
        <w:tc>
          <w:tcPr>
            <w:tcW w:w="405" w:type="pct"/>
          </w:tcPr>
          <w:p w14:paraId="42091647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54" w:type="pct"/>
          </w:tcPr>
          <w:p w14:paraId="71A87004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254" w:type="pct"/>
          </w:tcPr>
          <w:p w14:paraId="65DE3B91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06" w:type="pct"/>
          </w:tcPr>
          <w:p w14:paraId="19A01C18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Pneumonia, ARDS, respiratory failure, pleural effusion, bronchospasm, atelectasis </w:t>
            </w:r>
          </w:p>
        </w:tc>
        <w:tc>
          <w:tcPr>
            <w:tcW w:w="545" w:type="pct"/>
          </w:tcPr>
          <w:p w14:paraId="2E628635" w14:textId="77777777" w:rsidR="000137FA" w:rsidRPr="000137FA" w:rsidRDefault="000137FA" w:rsidP="000137FA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137F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 differences in the incidence of PPCs</w:t>
            </w:r>
          </w:p>
        </w:tc>
      </w:tr>
    </w:tbl>
    <w:p w14:paraId="0AD8A94D" w14:textId="0D2CAEBB" w:rsidR="000137FA" w:rsidRPr="000137FA" w:rsidRDefault="000137FA" w:rsidP="000137FA">
      <w:pPr>
        <w:ind w:firstLine="0"/>
      </w:pPr>
      <w:r w:rsidRPr="00480195">
        <w:rPr>
          <w:rFonts w:ascii="Arial" w:hAnsi="Arial" w:cs="Arial"/>
        </w:rPr>
        <w:t xml:space="preserve">Characteristics of studies comparing intraoperative-operative lung protective strategies. PEEP: positive end-expiratory pressure, ZEEP: zero end-expiratory pressure, ARM: alveolar recruitment maneuver, ALI: acute lung injury, ARISCAT: Assess Respiratory risk In Surgical patients in </w:t>
      </w:r>
      <w:proofErr w:type="spellStart"/>
      <w:r w:rsidRPr="00480195">
        <w:rPr>
          <w:rFonts w:ascii="Arial" w:hAnsi="Arial" w:cs="Arial"/>
        </w:rPr>
        <w:t>CATalonia</w:t>
      </w:r>
      <w:proofErr w:type="spellEnd"/>
      <w:r w:rsidRPr="00480195">
        <w:rPr>
          <w:rFonts w:ascii="Arial" w:hAnsi="Arial" w:cs="Arial"/>
        </w:rPr>
        <w:t xml:space="preserve"> score, OLA: open lung approach</w:t>
      </w:r>
      <w:r>
        <w:rPr>
          <w:rFonts w:ascii="Arial" w:hAnsi="Arial" w:cs="Arial"/>
        </w:rPr>
        <w:t>.</w:t>
      </w:r>
    </w:p>
    <w:p w14:paraId="02E51055" w14:textId="77777777" w:rsidR="000137FA" w:rsidRPr="000137FA" w:rsidRDefault="000137FA" w:rsidP="000137FA"/>
    <w:p w14:paraId="15E92BF1" w14:textId="77777777" w:rsidR="000137FA" w:rsidRPr="000137FA" w:rsidRDefault="000137FA" w:rsidP="000137FA"/>
    <w:p w14:paraId="71607EC8" w14:textId="77777777" w:rsidR="000137FA" w:rsidRDefault="000137FA" w:rsidP="000137FA">
      <w:pPr>
        <w:pStyle w:val="Heading1"/>
        <w:sectPr w:rsidR="000137FA" w:rsidSect="000137FA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6CBD882" w14:textId="0F5C5ABF" w:rsidR="00717DDC" w:rsidRDefault="00717DDC" w:rsidP="00BB0790">
      <w:pPr>
        <w:pStyle w:val="Heading1"/>
      </w:pPr>
      <w:bookmarkStart w:id="5" w:name="_Toc50625827"/>
      <w:proofErr w:type="spellStart"/>
      <w:r>
        <w:lastRenderedPageBreak/>
        <w:t>efigure</w:t>
      </w:r>
      <w:proofErr w:type="spellEnd"/>
      <w:r>
        <w:t xml:space="preserve"> </w:t>
      </w:r>
      <w:r w:rsidR="009612F6">
        <w:t>4</w:t>
      </w:r>
      <w:r>
        <w:t xml:space="preserve"> – Forest plot for PPCs and intraoperative ventilation</w:t>
      </w:r>
      <w:bookmarkEnd w:id="5"/>
    </w:p>
    <w:p w14:paraId="5E7075BE" w14:textId="1D7CC3D7" w:rsidR="00106B81" w:rsidRDefault="00717DDC" w:rsidP="00C46017">
      <w:pPr>
        <w:pStyle w:val="NoSpacing"/>
      </w:pPr>
      <w:r>
        <w:rPr>
          <w:noProof/>
        </w:rPr>
        <w:drawing>
          <wp:inline distT="0" distB="0" distL="0" distR="0" wp14:anchorId="5671CCFF" wp14:editId="201DBC89">
            <wp:extent cx="5755640" cy="44475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44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3E557" w14:textId="0DE8199F" w:rsidR="005532F4" w:rsidRDefault="005532F4" w:rsidP="00BB0790">
      <w:pPr>
        <w:pStyle w:val="Heading1"/>
      </w:pPr>
      <w:bookmarkStart w:id="6" w:name="_Toc50625828"/>
      <w:r>
        <w:t xml:space="preserve">efigure </w:t>
      </w:r>
      <w:r w:rsidR="009612F6">
        <w:t>5</w:t>
      </w:r>
      <w:r>
        <w:t xml:space="preserve"> – </w:t>
      </w:r>
      <w:r w:rsidR="00AB470D">
        <w:t>Funnel plot for PPCs and intraoperative ventilation</w:t>
      </w:r>
      <w:bookmarkEnd w:id="6"/>
    </w:p>
    <w:p w14:paraId="0C7992B6" w14:textId="5EE45492" w:rsidR="005532F4" w:rsidRDefault="005532F4" w:rsidP="00C46017">
      <w:pPr>
        <w:jc w:val="center"/>
      </w:pPr>
      <w:r>
        <w:rPr>
          <w:noProof/>
        </w:rPr>
        <w:drawing>
          <wp:inline distT="0" distB="0" distL="0" distR="0" wp14:anchorId="51D3EA9C" wp14:editId="68BF152E">
            <wp:extent cx="3526922" cy="3037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2"/>
                    <a:srcRect t="9861" b="4015"/>
                    <a:stretch/>
                  </pic:blipFill>
                  <pic:spPr bwMode="auto">
                    <a:xfrm>
                      <a:off x="0" y="0"/>
                      <a:ext cx="3604237" cy="3104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F4E90" w14:textId="5E0C2D87" w:rsidR="00717DDC" w:rsidRDefault="00717DDC" w:rsidP="00BB0790">
      <w:pPr>
        <w:pStyle w:val="Heading1"/>
      </w:pPr>
      <w:bookmarkStart w:id="7" w:name="_Toc50625829"/>
      <w:r>
        <w:lastRenderedPageBreak/>
        <w:t xml:space="preserve">efigure </w:t>
      </w:r>
      <w:r w:rsidR="009612F6">
        <w:t>6</w:t>
      </w:r>
      <w:r>
        <w:t xml:space="preserve"> – Forest plot for PPCs and postoperative physiotherapy</w:t>
      </w:r>
      <w:bookmarkEnd w:id="7"/>
    </w:p>
    <w:p w14:paraId="62F6E4AB" w14:textId="15D17C2E" w:rsidR="00717DDC" w:rsidRDefault="00717DDC" w:rsidP="00C46017">
      <w:pPr>
        <w:pStyle w:val="NoSpacing"/>
      </w:pPr>
      <w:r>
        <w:rPr>
          <w:noProof/>
        </w:rPr>
        <w:drawing>
          <wp:inline distT="0" distB="0" distL="0" distR="0" wp14:anchorId="20959C9F" wp14:editId="27D34C0F">
            <wp:extent cx="5755640" cy="28778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79474" w14:textId="48FE713C" w:rsidR="004013B2" w:rsidRDefault="004013B2" w:rsidP="00BB0790">
      <w:pPr>
        <w:pStyle w:val="Heading1"/>
      </w:pPr>
      <w:bookmarkStart w:id="8" w:name="_Toc50625830"/>
      <w:r>
        <w:t xml:space="preserve">efigure </w:t>
      </w:r>
      <w:r w:rsidR="009612F6">
        <w:t>7</w:t>
      </w:r>
      <w:r>
        <w:t xml:space="preserve"> – Funnel plot for PPCs and </w:t>
      </w:r>
      <w:r w:rsidR="004B37D0">
        <w:t>postoperative</w:t>
      </w:r>
      <w:r>
        <w:t xml:space="preserve"> physiotherapy</w:t>
      </w:r>
      <w:bookmarkEnd w:id="8"/>
    </w:p>
    <w:p w14:paraId="014099D3" w14:textId="22F8E151" w:rsidR="004013B2" w:rsidRPr="004013B2" w:rsidRDefault="004013B2" w:rsidP="00C46017">
      <w:pPr>
        <w:jc w:val="center"/>
      </w:pPr>
      <w:r>
        <w:rPr>
          <w:noProof/>
        </w:rPr>
        <w:drawing>
          <wp:inline distT="0" distB="0" distL="0" distR="0" wp14:anchorId="40E89E8B" wp14:editId="193693ED">
            <wp:extent cx="4057650" cy="35432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4"/>
                    <a:srcRect t="12676"/>
                    <a:stretch/>
                  </pic:blipFill>
                  <pic:spPr bwMode="auto">
                    <a:xfrm>
                      <a:off x="0" y="0"/>
                      <a:ext cx="4060148" cy="354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974168" w14:textId="77777777" w:rsidR="00717DDC" w:rsidRDefault="00717DDC" w:rsidP="00BB0790"/>
    <w:p w14:paraId="3050A44D" w14:textId="2AB5F5EB" w:rsidR="00717DDC" w:rsidRDefault="00717DDC" w:rsidP="00BB0790">
      <w:pPr>
        <w:pStyle w:val="Heading1"/>
      </w:pPr>
      <w:bookmarkStart w:id="9" w:name="_Toc50625831"/>
      <w:r>
        <w:t xml:space="preserve">efigure </w:t>
      </w:r>
      <w:r w:rsidR="009612F6">
        <w:t>8</w:t>
      </w:r>
      <w:r>
        <w:t xml:space="preserve"> – Forest plot for PPCs and postoperative CPAP</w:t>
      </w:r>
      <w:bookmarkEnd w:id="9"/>
    </w:p>
    <w:p w14:paraId="64FF46EB" w14:textId="6198B00F" w:rsidR="00717DDC" w:rsidRDefault="00717DDC" w:rsidP="00C46017">
      <w:pPr>
        <w:pStyle w:val="NoSpacing"/>
      </w:pPr>
      <w:r>
        <w:rPr>
          <w:noProof/>
        </w:rPr>
        <w:lastRenderedPageBreak/>
        <w:drawing>
          <wp:inline distT="0" distB="0" distL="0" distR="0" wp14:anchorId="39A70FE2" wp14:editId="043EAF24">
            <wp:extent cx="6064469" cy="275657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82076" cy="276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D4B50" w14:textId="3EDE0D5B" w:rsidR="004013B2" w:rsidRDefault="00843C06" w:rsidP="00BB0790">
      <w:pPr>
        <w:pStyle w:val="Heading1"/>
      </w:pPr>
      <w:bookmarkStart w:id="10" w:name="_Toc50625832"/>
      <w:r>
        <w:t xml:space="preserve">efigure </w:t>
      </w:r>
      <w:r w:rsidR="009612F6">
        <w:t>9</w:t>
      </w:r>
      <w:r>
        <w:t xml:space="preserve"> – Funnel plot for PPCs and </w:t>
      </w:r>
      <w:r w:rsidR="004B37D0">
        <w:t>postoperative</w:t>
      </w:r>
      <w:r>
        <w:t xml:space="preserve"> CPAP</w:t>
      </w:r>
      <w:bookmarkEnd w:id="10"/>
    </w:p>
    <w:p w14:paraId="67B32530" w14:textId="77777777" w:rsidR="00136333" w:rsidRPr="00136333" w:rsidRDefault="00136333" w:rsidP="00136333"/>
    <w:p w14:paraId="688FA083" w14:textId="4FB39BB6" w:rsidR="00843C06" w:rsidRPr="005532F4" w:rsidRDefault="00843C06" w:rsidP="00C46017">
      <w:pPr>
        <w:jc w:val="center"/>
      </w:pPr>
      <w:r>
        <w:rPr>
          <w:noProof/>
        </w:rPr>
        <w:drawing>
          <wp:inline distT="0" distB="0" distL="0" distR="0" wp14:anchorId="3869715B" wp14:editId="15DEE097">
            <wp:extent cx="3657600" cy="31038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6"/>
                    <a:srcRect t="15141"/>
                    <a:stretch/>
                  </pic:blipFill>
                  <pic:spPr bwMode="auto">
                    <a:xfrm>
                      <a:off x="0" y="0"/>
                      <a:ext cx="3657600" cy="310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3C06" w:rsidRPr="005532F4" w:rsidSect="00301B51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180C9" w14:textId="77777777" w:rsidR="00984BBF" w:rsidRDefault="00984BBF" w:rsidP="00CD3379">
      <w:pPr>
        <w:spacing w:after="0" w:line="240" w:lineRule="auto"/>
      </w:pPr>
      <w:r>
        <w:separator/>
      </w:r>
    </w:p>
  </w:endnote>
  <w:endnote w:type="continuationSeparator" w:id="0">
    <w:p w14:paraId="1B299554" w14:textId="77777777" w:rsidR="00984BBF" w:rsidRDefault="00984BBF" w:rsidP="00CD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4A79E" w14:textId="77777777" w:rsidR="00984BBF" w:rsidRDefault="00984BBF" w:rsidP="00CD3379">
      <w:pPr>
        <w:spacing w:after="0" w:line="240" w:lineRule="auto"/>
      </w:pPr>
      <w:r>
        <w:separator/>
      </w:r>
    </w:p>
  </w:footnote>
  <w:footnote w:type="continuationSeparator" w:id="0">
    <w:p w14:paraId="07DDB2FA" w14:textId="77777777" w:rsidR="00984BBF" w:rsidRDefault="00984BBF" w:rsidP="00CD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F6281"/>
    <w:multiLevelType w:val="hybridMultilevel"/>
    <w:tmpl w:val="66845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1C"/>
    <w:rsid w:val="00001070"/>
    <w:rsid w:val="00001770"/>
    <w:rsid w:val="000018DD"/>
    <w:rsid w:val="0000226F"/>
    <w:rsid w:val="00004628"/>
    <w:rsid w:val="00006539"/>
    <w:rsid w:val="0001251E"/>
    <w:rsid w:val="0001255C"/>
    <w:rsid w:val="000125DA"/>
    <w:rsid w:val="000132C7"/>
    <w:rsid w:val="000137FA"/>
    <w:rsid w:val="00021950"/>
    <w:rsid w:val="00021A05"/>
    <w:rsid w:val="00021AD4"/>
    <w:rsid w:val="00022818"/>
    <w:rsid w:val="00024AAF"/>
    <w:rsid w:val="000301C6"/>
    <w:rsid w:val="00031FCE"/>
    <w:rsid w:val="000323AE"/>
    <w:rsid w:val="00033221"/>
    <w:rsid w:val="000339FE"/>
    <w:rsid w:val="000362BD"/>
    <w:rsid w:val="00040361"/>
    <w:rsid w:val="000412D8"/>
    <w:rsid w:val="0004229C"/>
    <w:rsid w:val="000425FD"/>
    <w:rsid w:val="00043655"/>
    <w:rsid w:val="00050B1F"/>
    <w:rsid w:val="00050D6F"/>
    <w:rsid w:val="00052A17"/>
    <w:rsid w:val="000531D3"/>
    <w:rsid w:val="00053CED"/>
    <w:rsid w:val="00055A14"/>
    <w:rsid w:val="0005646D"/>
    <w:rsid w:val="0006067E"/>
    <w:rsid w:val="000633F6"/>
    <w:rsid w:val="00063D48"/>
    <w:rsid w:val="00065F21"/>
    <w:rsid w:val="00071F70"/>
    <w:rsid w:val="000729D8"/>
    <w:rsid w:val="00073D0B"/>
    <w:rsid w:val="000741D7"/>
    <w:rsid w:val="00074B9E"/>
    <w:rsid w:val="0007641E"/>
    <w:rsid w:val="000802CD"/>
    <w:rsid w:val="00080BFA"/>
    <w:rsid w:val="00080D23"/>
    <w:rsid w:val="00084015"/>
    <w:rsid w:val="00084A29"/>
    <w:rsid w:val="00085404"/>
    <w:rsid w:val="00091F75"/>
    <w:rsid w:val="000950D2"/>
    <w:rsid w:val="000959FD"/>
    <w:rsid w:val="000964D9"/>
    <w:rsid w:val="000971DF"/>
    <w:rsid w:val="000A0370"/>
    <w:rsid w:val="000A037B"/>
    <w:rsid w:val="000A0539"/>
    <w:rsid w:val="000A161B"/>
    <w:rsid w:val="000A25EF"/>
    <w:rsid w:val="000A3A67"/>
    <w:rsid w:val="000A7F50"/>
    <w:rsid w:val="000B0170"/>
    <w:rsid w:val="000B15EB"/>
    <w:rsid w:val="000B6054"/>
    <w:rsid w:val="000C66F9"/>
    <w:rsid w:val="000C6CDB"/>
    <w:rsid w:val="000D4BCE"/>
    <w:rsid w:val="000D6270"/>
    <w:rsid w:val="000D75A3"/>
    <w:rsid w:val="000E5959"/>
    <w:rsid w:val="000F5D01"/>
    <w:rsid w:val="000F7591"/>
    <w:rsid w:val="00102150"/>
    <w:rsid w:val="0010282D"/>
    <w:rsid w:val="00104699"/>
    <w:rsid w:val="00104D8D"/>
    <w:rsid w:val="00105B29"/>
    <w:rsid w:val="00106B81"/>
    <w:rsid w:val="001077AF"/>
    <w:rsid w:val="00111A6E"/>
    <w:rsid w:val="00112612"/>
    <w:rsid w:val="001135C3"/>
    <w:rsid w:val="00115623"/>
    <w:rsid w:val="00115BFC"/>
    <w:rsid w:val="001161CB"/>
    <w:rsid w:val="0012183B"/>
    <w:rsid w:val="00130663"/>
    <w:rsid w:val="00130892"/>
    <w:rsid w:val="00132952"/>
    <w:rsid w:val="00132F71"/>
    <w:rsid w:val="00132F9E"/>
    <w:rsid w:val="00134896"/>
    <w:rsid w:val="00134EF6"/>
    <w:rsid w:val="00136333"/>
    <w:rsid w:val="00136A34"/>
    <w:rsid w:val="0013739E"/>
    <w:rsid w:val="001406CB"/>
    <w:rsid w:val="0014184A"/>
    <w:rsid w:val="00143292"/>
    <w:rsid w:val="00143591"/>
    <w:rsid w:val="00143761"/>
    <w:rsid w:val="00145626"/>
    <w:rsid w:val="00145836"/>
    <w:rsid w:val="00147A4D"/>
    <w:rsid w:val="00147AB8"/>
    <w:rsid w:val="00156F55"/>
    <w:rsid w:val="00157229"/>
    <w:rsid w:val="00157FBD"/>
    <w:rsid w:val="001623CD"/>
    <w:rsid w:val="00163308"/>
    <w:rsid w:val="00163433"/>
    <w:rsid w:val="00166EDC"/>
    <w:rsid w:val="001670AD"/>
    <w:rsid w:val="00171CA8"/>
    <w:rsid w:val="00171D58"/>
    <w:rsid w:val="00175A2B"/>
    <w:rsid w:val="0017717F"/>
    <w:rsid w:val="001801E3"/>
    <w:rsid w:val="00181FF6"/>
    <w:rsid w:val="001823F1"/>
    <w:rsid w:val="00185219"/>
    <w:rsid w:val="001857D9"/>
    <w:rsid w:val="00185C3F"/>
    <w:rsid w:val="00186004"/>
    <w:rsid w:val="00191C61"/>
    <w:rsid w:val="00194B90"/>
    <w:rsid w:val="00195003"/>
    <w:rsid w:val="00195478"/>
    <w:rsid w:val="00197128"/>
    <w:rsid w:val="001976BE"/>
    <w:rsid w:val="001A0780"/>
    <w:rsid w:val="001A3990"/>
    <w:rsid w:val="001A3E24"/>
    <w:rsid w:val="001A4D7C"/>
    <w:rsid w:val="001B025B"/>
    <w:rsid w:val="001B2C37"/>
    <w:rsid w:val="001B477D"/>
    <w:rsid w:val="001B4BD6"/>
    <w:rsid w:val="001B6086"/>
    <w:rsid w:val="001B79DB"/>
    <w:rsid w:val="001C0CC1"/>
    <w:rsid w:val="001C0E5D"/>
    <w:rsid w:val="001C1089"/>
    <w:rsid w:val="001C2F14"/>
    <w:rsid w:val="001C7470"/>
    <w:rsid w:val="001D04B6"/>
    <w:rsid w:val="001D2A0C"/>
    <w:rsid w:val="001D4507"/>
    <w:rsid w:val="001D604C"/>
    <w:rsid w:val="001D6F6F"/>
    <w:rsid w:val="001E1C2E"/>
    <w:rsid w:val="001E2EE0"/>
    <w:rsid w:val="001E572B"/>
    <w:rsid w:val="001E65B1"/>
    <w:rsid w:val="001F04B5"/>
    <w:rsid w:val="001F1C61"/>
    <w:rsid w:val="001F3FE6"/>
    <w:rsid w:val="001F5550"/>
    <w:rsid w:val="001F785B"/>
    <w:rsid w:val="001F7985"/>
    <w:rsid w:val="0020054D"/>
    <w:rsid w:val="0020057D"/>
    <w:rsid w:val="00200EFE"/>
    <w:rsid w:val="00202998"/>
    <w:rsid w:val="002055EB"/>
    <w:rsid w:val="002074A2"/>
    <w:rsid w:val="002100D9"/>
    <w:rsid w:val="0021106F"/>
    <w:rsid w:val="00211595"/>
    <w:rsid w:val="002115D9"/>
    <w:rsid w:val="0021253D"/>
    <w:rsid w:val="00213212"/>
    <w:rsid w:val="00213F0B"/>
    <w:rsid w:val="00220544"/>
    <w:rsid w:val="00220675"/>
    <w:rsid w:val="002210BD"/>
    <w:rsid w:val="00221317"/>
    <w:rsid w:val="0022235D"/>
    <w:rsid w:val="00223EF5"/>
    <w:rsid w:val="0022408A"/>
    <w:rsid w:val="00224254"/>
    <w:rsid w:val="00224BDF"/>
    <w:rsid w:val="002269AA"/>
    <w:rsid w:val="00232440"/>
    <w:rsid w:val="0023327F"/>
    <w:rsid w:val="00233406"/>
    <w:rsid w:val="002349E9"/>
    <w:rsid w:val="00240D5B"/>
    <w:rsid w:val="002458A9"/>
    <w:rsid w:val="00245AF8"/>
    <w:rsid w:val="0025218C"/>
    <w:rsid w:val="0025499F"/>
    <w:rsid w:val="00254E6E"/>
    <w:rsid w:val="0025638B"/>
    <w:rsid w:val="002601D3"/>
    <w:rsid w:val="0026108F"/>
    <w:rsid w:val="002620B9"/>
    <w:rsid w:val="00263BF3"/>
    <w:rsid w:val="00264AF6"/>
    <w:rsid w:val="00267AF3"/>
    <w:rsid w:val="0027244E"/>
    <w:rsid w:val="002724DF"/>
    <w:rsid w:val="0027442C"/>
    <w:rsid w:val="00275885"/>
    <w:rsid w:val="002760B2"/>
    <w:rsid w:val="00277064"/>
    <w:rsid w:val="002771E2"/>
    <w:rsid w:val="002777E3"/>
    <w:rsid w:val="00277B38"/>
    <w:rsid w:val="00280685"/>
    <w:rsid w:val="00281A8A"/>
    <w:rsid w:val="00281C08"/>
    <w:rsid w:val="00282C46"/>
    <w:rsid w:val="00282F04"/>
    <w:rsid w:val="00283162"/>
    <w:rsid w:val="002850D7"/>
    <w:rsid w:val="00291580"/>
    <w:rsid w:val="002923FF"/>
    <w:rsid w:val="00292424"/>
    <w:rsid w:val="00293313"/>
    <w:rsid w:val="0029706E"/>
    <w:rsid w:val="002977EF"/>
    <w:rsid w:val="00297AA0"/>
    <w:rsid w:val="002A10FE"/>
    <w:rsid w:val="002A215E"/>
    <w:rsid w:val="002A3646"/>
    <w:rsid w:val="002A5DD9"/>
    <w:rsid w:val="002B0B89"/>
    <w:rsid w:val="002B46D6"/>
    <w:rsid w:val="002B6CA8"/>
    <w:rsid w:val="002C04B6"/>
    <w:rsid w:val="002C46CD"/>
    <w:rsid w:val="002D64B2"/>
    <w:rsid w:val="002E1483"/>
    <w:rsid w:val="002E3EFA"/>
    <w:rsid w:val="002E41EB"/>
    <w:rsid w:val="002E5082"/>
    <w:rsid w:val="002F006D"/>
    <w:rsid w:val="002F0B2A"/>
    <w:rsid w:val="002F460E"/>
    <w:rsid w:val="002F4ECF"/>
    <w:rsid w:val="002F76C7"/>
    <w:rsid w:val="00300901"/>
    <w:rsid w:val="00301B51"/>
    <w:rsid w:val="00306714"/>
    <w:rsid w:val="0031071D"/>
    <w:rsid w:val="003132A5"/>
    <w:rsid w:val="003148E9"/>
    <w:rsid w:val="00314F1C"/>
    <w:rsid w:val="003216BD"/>
    <w:rsid w:val="00322A9C"/>
    <w:rsid w:val="00322E68"/>
    <w:rsid w:val="003242EC"/>
    <w:rsid w:val="00324903"/>
    <w:rsid w:val="00330105"/>
    <w:rsid w:val="003337FC"/>
    <w:rsid w:val="00334395"/>
    <w:rsid w:val="0033451A"/>
    <w:rsid w:val="00337933"/>
    <w:rsid w:val="0034033C"/>
    <w:rsid w:val="003408EF"/>
    <w:rsid w:val="00340A05"/>
    <w:rsid w:val="00340DF8"/>
    <w:rsid w:val="00340E43"/>
    <w:rsid w:val="00343336"/>
    <w:rsid w:val="00343457"/>
    <w:rsid w:val="003461F9"/>
    <w:rsid w:val="00346A95"/>
    <w:rsid w:val="003471DD"/>
    <w:rsid w:val="00350283"/>
    <w:rsid w:val="003507F7"/>
    <w:rsid w:val="003568AE"/>
    <w:rsid w:val="0036037F"/>
    <w:rsid w:val="00360A41"/>
    <w:rsid w:val="00361D7D"/>
    <w:rsid w:val="003621A2"/>
    <w:rsid w:val="00363891"/>
    <w:rsid w:val="00364DC2"/>
    <w:rsid w:val="003670EE"/>
    <w:rsid w:val="003704EF"/>
    <w:rsid w:val="003706E5"/>
    <w:rsid w:val="003737E6"/>
    <w:rsid w:val="00377A97"/>
    <w:rsid w:val="0038145B"/>
    <w:rsid w:val="00381A2E"/>
    <w:rsid w:val="00381E9E"/>
    <w:rsid w:val="00382063"/>
    <w:rsid w:val="00382B66"/>
    <w:rsid w:val="00383341"/>
    <w:rsid w:val="00384880"/>
    <w:rsid w:val="0038580C"/>
    <w:rsid w:val="0039041A"/>
    <w:rsid w:val="00393B07"/>
    <w:rsid w:val="003942CE"/>
    <w:rsid w:val="00394637"/>
    <w:rsid w:val="003A28FE"/>
    <w:rsid w:val="003A32F5"/>
    <w:rsid w:val="003A595D"/>
    <w:rsid w:val="003A5A01"/>
    <w:rsid w:val="003A5EAD"/>
    <w:rsid w:val="003A6BCA"/>
    <w:rsid w:val="003B1549"/>
    <w:rsid w:val="003B27F7"/>
    <w:rsid w:val="003B5527"/>
    <w:rsid w:val="003B5D37"/>
    <w:rsid w:val="003B62CA"/>
    <w:rsid w:val="003B7079"/>
    <w:rsid w:val="003C1738"/>
    <w:rsid w:val="003C1BA1"/>
    <w:rsid w:val="003C252C"/>
    <w:rsid w:val="003C6508"/>
    <w:rsid w:val="003C7750"/>
    <w:rsid w:val="003D51F2"/>
    <w:rsid w:val="003D6504"/>
    <w:rsid w:val="003D72ED"/>
    <w:rsid w:val="003D7808"/>
    <w:rsid w:val="003E03BA"/>
    <w:rsid w:val="003E138E"/>
    <w:rsid w:val="003E489E"/>
    <w:rsid w:val="003E63C4"/>
    <w:rsid w:val="003E7390"/>
    <w:rsid w:val="003E7C24"/>
    <w:rsid w:val="003F084F"/>
    <w:rsid w:val="003F0F7B"/>
    <w:rsid w:val="003F30CA"/>
    <w:rsid w:val="003F519B"/>
    <w:rsid w:val="003F5A95"/>
    <w:rsid w:val="003F5C8E"/>
    <w:rsid w:val="003F605C"/>
    <w:rsid w:val="003F6E2B"/>
    <w:rsid w:val="003F750F"/>
    <w:rsid w:val="00401036"/>
    <w:rsid w:val="004013B2"/>
    <w:rsid w:val="00402101"/>
    <w:rsid w:val="00403106"/>
    <w:rsid w:val="00403295"/>
    <w:rsid w:val="0040392F"/>
    <w:rsid w:val="004042AF"/>
    <w:rsid w:val="00406088"/>
    <w:rsid w:val="00411195"/>
    <w:rsid w:val="00411215"/>
    <w:rsid w:val="004174AA"/>
    <w:rsid w:val="004177F8"/>
    <w:rsid w:val="00423F9D"/>
    <w:rsid w:val="00424E8B"/>
    <w:rsid w:val="00425432"/>
    <w:rsid w:val="00430C1B"/>
    <w:rsid w:val="0043541D"/>
    <w:rsid w:val="00436F41"/>
    <w:rsid w:val="00437E9E"/>
    <w:rsid w:val="0044293F"/>
    <w:rsid w:val="00445783"/>
    <w:rsid w:val="004478E8"/>
    <w:rsid w:val="00447E50"/>
    <w:rsid w:val="00452481"/>
    <w:rsid w:val="004550B0"/>
    <w:rsid w:val="00455F40"/>
    <w:rsid w:val="00456A29"/>
    <w:rsid w:val="00460F0D"/>
    <w:rsid w:val="004641FB"/>
    <w:rsid w:val="004700F7"/>
    <w:rsid w:val="00471DF6"/>
    <w:rsid w:val="00472470"/>
    <w:rsid w:val="004737F8"/>
    <w:rsid w:val="00473F40"/>
    <w:rsid w:val="00481D11"/>
    <w:rsid w:val="00482A0F"/>
    <w:rsid w:val="004842E4"/>
    <w:rsid w:val="00485EFD"/>
    <w:rsid w:val="0049100B"/>
    <w:rsid w:val="004915D9"/>
    <w:rsid w:val="004936B7"/>
    <w:rsid w:val="0049420D"/>
    <w:rsid w:val="00494E1F"/>
    <w:rsid w:val="004A47E2"/>
    <w:rsid w:val="004A58DD"/>
    <w:rsid w:val="004A5A0E"/>
    <w:rsid w:val="004A5C8D"/>
    <w:rsid w:val="004B2B5A"/>
    <w:rsid w:val="004B2C54"/>
    <w:rsid w:val="004B309B"/>
    <w:rsid w:val="004B37D0"/>
    <w:rsid w:val="004B3C18"/>
    <w:rsid w:val="004B6EA1"/>
    <w:rsid w:val="004C00C4"/>
    <w:rsid w:val="004C03A7"/>
    <w:rsid w:val="004C3178"/>
    <w:rsid w:val="004C400D"/>
    <w:rsid w:val="004C5073"/>
    <w:rsid w:val="004C538B"/>
    <w:rsid w:val="004C594E"/>
    <w:rsid w:val="004D209F"/>
    <w:rsid w:val="004D2A18"/>
    <w:rsid w:val="004D3605"/>
    <w:rsid w:val="004D54D6"/>
    <w:rsid w:val="004D7731"/>
    <w:rsid w:val="004E0783"/>
    <w:rsid w:val="004E0E39"/>
    <w:rsid w:val="004E12BC"/>
    <w:rsid w:val="004E2176"/>
    <w:rsid w:val="004E4671"/>
    <w:rsid w:val="004E4C01"/>
    <w:rsid w:val="004E5C38"/>
    <w:rsid w:val="004E5F5E"/>
    <w:rsid w:val="004E5F63"/>
    <w:rsid w:val="004F58D3"/>
    <w:rsid w:val="004F6863"/>
    <w:rsid w:val="00501BE6"/>
    <w:rsid w:val="00502085"/>
    <w:rsid w:val="00503F30"/>
    <w:rsid w:val="00504016"/>
    <w:rsid w:val="00505A76"/>
    <w:rsid w:val="00507BBA"/>
    <w:rsid w:val="00510172"/>
    <w:rsid w:val="00511EC3"/>
    <w:rsid w:val="005127F3"/>
    <w:rsid w:val="00513FC5"/>
    <w:rsid w:val="005161A7"/>
    <w:rsid w:val="00523F66"/>
    <w:rsid w:val="00525223"/>
    <w:rsid w:val="00525370"/>
    <w:rsid w:val="005259A3"/>
    <w:rsid w:val="005303AA"/>
    <w:rsid w:val="005311B3"/>
    <w:rsid w:val="00531544"/>
    <w:rsid w:val="00532A6D"/>
    <w:rsid w:val="0053426F"/>
    <w:rsid w:val="0053458D"/>
    <w:rsid w:val="005348AF"/>
    <w:rsid w:val="005414F4"/>
    <w:rsid w:val="005417A2"/>
    <w:rsid w:val="0054239E"/>
    <w:rsid w:val="00543019"/>
    <w:rsid w:val="0054523E"/>
    <w:rsid w:val="00552D31"/>
    <w:rsid w:val="005532F4"/>
    <w:rsid w:val="00554F49"/>
    <w:rsid w:val="00555635"/>
    <w:rsid w:val="00555FEC"/>
    <w:rsid w:val="00556FED"/>
    <w:rsid w:val="0055774C"/>
    <w:rsid w:val="0056122D"/>
    <w:rsid w:val="005643EF"/>
    <w:rsid w:val="00565BB6"/>
    <w:rsid w:val="0056696A"/>
    <w:rsid w:val="00576434"/>
    <w:rsid w:val="00582739"/>
    <w:rsid w:val="00582A11"/>
    <w:rsid w:val="00587183"/>
    <w:rsid w:val="00590B52"/>
    <w:rsid w:val="00594E89"/>
    <w:rsid w:val="00595A3F"/>
    <w:rsid w:val="005960EC"/>
    <w:rsid w:val="00597B05"/>
    <w:rsid w:val="005A267F"/>
    <w:rsid w:val="005A2F0F"/>
    <w:rsid w:val="005A4651"/>
    <w:rsid w:val="005A505F"/>
    <w:rsid w:val="005A550F"/>
    <w:rsid w:val="005A5A3B"/>
    <w:rsid w:val="005A7168"/>
    <w:rsid w:val="005B023B"/>
    <w:rsid w:val="005B14B1"/>
    <w:rsid w:val="005B1556"/>
    <w:rsid w:val="005B2824"/>
    <w:rsid w:val="005B2A12"/>
    <w:rsid w:val="005B2BE0"/>
    <w:rsid w:val="005B5B42"/>
    <w:rsid w:val="005B6028"/>
    <w:rsid w:val="005B6FE0"/>
    <w:rsid w:val="005B780E"/>
    <w:rsid w:val="005C0DDC"/>
    <w:rsid w:val="005C479E"/>
    <w:rsid w:val="005C6FB3"/>
    <w:rsid w:val="005D13E1"/>
    <w:rsid w:val="005D1C66"/>
    <w:rsid w:val="005D3CE5"/>
    <w:rsid w:val="005D5CD0"/>
    <w:rsid w:val="005D6041"/>
    <w:rsid w:val="005D6BA7"/>
    <w:rsid w:val="005D7528"/>
    <w:rsid w:val="005E0A96"/>
    <w:rsid w:val="005E22B7"/>
    <w:rsid w:val="005E31CB"/>
    <w:rsid w:val="005E373C"/>
    <w:rsid w:val="005E3B55"/>
    <w:rsid w:val="005F03D5"/>
    <w:rsid w:val="005F0B2F"/>
    <w:rsid w:val="005F3463"/>
    <w:rsid w:val="005F45C4"/>
    <w:rsid w:val="005F51A2"/>
    <w:rsid w:val="005F5A34"/>
    <w:rsid w:val="005F6FB2"/>
    <w:rsid w:val="00600AB9"/>
    <w:rsid w:val="00601C14"/>
    <w:rsid w:val="00602297"/>
    <w:rsid w:val="006026F6"/>
    <w:rsid w:val="00602A8D"/>
    <w:rsid w:val="00604E27"/>
    <w:rsid w:val="006052CC"/>
    <w:rsid w:val="00605844"/>
    <w:rsid w:val="00613703"/>
    <w:rsid w:val="006138E1"/>
    <w:rsid w:val="006158A3"/>
    <w:rsid w:val="00615F56"/>
    <w:rsid w:val="006160FA"/>
    <w:rsid w:val="00616CCF"/>
    <w:rsid w:val="00616FCC"/>
    <w:rsid w:val="00617E0F"/>
    <w:rsid w:val="0062085A"/>
    <w:rsid w:val="0062119B"/>
    <w:rsid w:val="00621C5C"/>
    <w:rsid w:val="006239E1"/>
    <w:rsid w:val="006251B5"/>
    <w:rsid w:val="006273A9"/>
    <w:rsid w:val="006324D1"/>
    <w:rsid w:val="00632DA8"/>
    <w:rsid w:val="0063375A"/>
    <w:rsid w:val="00634C53"/>
    <w:rsid w:val="00636BB1"/>
    <w:rsid w:val="00641ED5"/>
    <w:rsid w:val="00643238"/>
    <w:rsid w:val="0064359E"/>
    <w:rsid w:val="00644961"/>
    <w:rsid w:val="00651228"/>
    <w:rsid w:val="00651CCF"/>
    <w:rsid w:val="0065214D"/>
    <w:rsid w:val="00654CB2"/>
    <w:rsid w:val="0065653E"/>
    <w:rsid w:val="00657835"/>
    <w:rsid w:val="00663A38"/>
    <w:rsid w:val="00664555"/>
    <w:rsid w:val="00664682"/>
    <w:rsid w:val="00665B62"/>
    <w:rsid w:val="00670117"/>
    <w:rsid w:val="00670F5C"/>
    <w:rsid w:val="00671453"/>
    <w:rsid w:val="006761D0"/>
    <w:rsid w:val="00677F25"/>
    <w:rsid w:val="00682612"/>
    <w:rsid w:val="00685EE1"/>
    <w:rsid w:val="00685FDD"/>
    <w:rsid w:val="006902A8"/>
    <w:rsid w:val="0069167B"/>
    <w:rsid w:val="0069174A"/>
    <w:rsid w:val="006A4600"/>
    <w:rsid w:val="006A59B7"/>
    <w:rsid w:val="006B10AC"/>
    <w:rsid w:val="006B1D83"/>
    <w:rsid w:val="006C158D"/>
    <w:rsid w:val="006C6CEE"/>
    <w:rsid w:val="006C6F4C"/>
    <w:rsid w:val="006D5FA7"/>
    <w:rsid w:val="006D68F8"/>
    <w:rsid w:val="006E015C"/>
    <w:rsid w:val="006E0B62"/>
    <w:rsid w:val="006E3105"/>
    <w:rsid w:val="006E3333"/>
    <w:rsid w:val="006E44CE"/>
    <w:rsid w:val="006E5223"/>
    <w:rsid w:val="006E62F0"/>
    <w:rsid w:val="006E64BF"/>
    <w:rsid w:val="006E65AD"/>
    <w:rsid w:val="006E7FDC"/>
    <w:rsid w:val="006F28EA"/>
    <w:rsid w:val="006F3D6C"/>
    <w:rsid w:val="006F4EE3"/>
    <w:rsid w:val="0070282A"/>
    <w:rsid w:val="00702910"/>
    <w:rsid w:val="00702B33"/>
    <w:rsid w:val="00705CFD"/>
    <w:rsid w:val="00706310"/>
    <w:rsid w:val="007075BE"/>
    <w:rsid w:val="00707EC3"/>
    <w:rsid w:val="007117D3"/>
    <w:rsid w:val="00713BC4"/>
    <w:rsid w:val="007150B9"/>
    <w:rsid w:val="007155C0"/>
    <w:rsid w:val="00717C5A"/>
    <w:rsid w:val="00717DDC"/>
    <w:rsid w:val="00720773"/>
    <w:rsid w:val="00720DFF"/>
    <w:rsid w:val="00721082"/>
    <w:rsid w:val="00721649"/>
    <w:rsid w:val="00735087"/>
    <w:rsid w:val="00737EF8"/>
    <w:rsid w:val="007400CC"/>
    <w:rsid w:val="007402D5"/>
    <w:rsid w:val="0074274E"/>
    <w:rsid w:val="00743AB4"/>
    <w:rsid w:val="00743F8C"/>
    <w:rsid w:val="007549F5"/>
    <w:rsid w:val="007577C7"/>
    <w:rsid w:val="00762381"/>
    <w:rsid w:val="007642F5"/>
    <w:rsid w:val="00766579"/>
    <w:rsid w:val="00766605"/>
    <w:rsid w:val="00773A60"/>
    <w:rsid w:val="00774BBF"/>
    <w:rsid w:val="007759E0"/>
    <w:rsid w:val="00777663"/>
    <w:rsid w:val="00780C36"/>
    <w:rsid w:val="007824BD"/>
    <w:rsid w:val="0078416C"/>
    <w:rsid w:val="00787E6A"/>
    <w:rsid w:val="0079328C"/>
    <w:rsid w:val="007938F7"/>
    <w:rsid w:val="007949D1"/>
    <w:rsid w:val="0079625B"/>
    <w:rsid w:val="007974BB"/>
    <w:rsid w:val="007A0565"/>
    <w:rsid w:val="007A2CCC"/>
    <w:rsid w:val="007A4F0A"/>
    <w:rsid w:val="007A7BD6"/>
    <w:rsid w:val="007B01CC"/>
    <w:rsid w:val="007B0594"/>
    <w:rsid w:val="007B2E00"/>
    <w:rsid w:val="007B3C7D"/>
    <w:rsid w:val="007B4B8E"/>
    <w:rsid w:val="007B670C"/>
    <w:rsid w:val="007B6714"/>
    <w:rsid w:val="007C0930"/>
    <w:rsid w:val="007C4900"/>
    <w:rsid w:val="007C58D3"/>
    <w:rsid w:val="007C706F"/>
    <w:rsid w:val="007D0918"/>
    <w:rsid w:val="007D0CD8"/>
    <w:rsid w:val="007D257B"/>
    <w:rsid w:val="007D27B8"/>
    <w:rsid w:val="007D43F9"/>
    <w:rsid w:val="007D52F0"/>
    <w:rsid w:val="007D57BD"/>
    <w:rsid w:val="007D6695"/>
    <w:rsid w:val="007D6AE7"/>
    <w:rsid w:val="007D731E"/>
    <w:rsid w:val="007D763A"/>
    <w:rsid w:val="007E00B1"/>
    <w:rsid w:val="007E0BB1"/>
    <w:rsid w:val="007E1693"/>
    <w:rsid w:val="007E4955"/>
    <w:rsid w:val="007E6016"/>
    <w:rsid w:val="007E74BB"/>
    <w:rsid w:val="007E768C"/>
    <w:rsid w:val="007F03D4"/>
    <w:rsid w:val="007F06F2"/>
    <w:rsid w:val="007F0AA8"/>
    <w:rsid w:val="007F1EBF"/>
    <w:rsid w:val="007F2F51"/>
    <w:rsid w:val="007F33A9"/>
    <w:rsid w:val="007F5E5C"/>
    <w:rsid w:val="007F6532"/>
    <w:rsid w:val="007F726E"/>
    <w:rsid w:val="007F7FA5"/>
    <w:rsid w:val="0080081D"/>
    <w:rsid w:val="0080143B"/>
    <w:rsid w:val="00803EFB"/>
    <w:rsid w:val="00804A93"/>
    <w:rsid w:val="008059C8"/>
    <w:rsid w:val="00810AE3"/>
    <w:rsid w:val="008120C3"/>
    <w:rsid w:val="00812460"/>
    <w:rsid w:val="008126F0"/>
    <w:rsid w:val="0082288D"/>
    <w:rsid w:val="00822BB4"/>
    <w:rsid w:val="00823F49"/>
    <w:rsid w:val="00825474"/>
    <w:rsid w:val="00826EA3"/>
    <w:rsid w:val="0083175E"/>
    <w:rsid w:val="008322CC"/>
    <w:rsid w:val="00832901"/>
    <w:rsid w:val="00832E29"/>
    <w:rsid w:val="00835D29"/>
    <w:rsid w:val="00836782"/>
    <w:rsid w:val="00836985"/>
    <w:rsid w:val="00836E03"/>
    <w:rsid w:val="008374F6"/>
    <w:rsid w:val="00842BCA"/>
    <w:rsid w:val="00843C06"/>
    <w:rsid w:val="00847054"/>
    <w:rsid w:val="00850C12"/>
    <w:rsid w:val="00851A6E"/>
    <w:rsid w:val="008547A1"/>
    <w:rsid w:val="0085511B"/>
    <w:rsid w:val="008559B5"/>
    <w:rsid w:val="00856C68"/>
    <w:rsid w:val="00856D7D"/>
    <w:rsid w:val="00857313"/>
    <w:rsid w:val="0085749C"/>
    <w:rsid w:val="00857E01"/>
    <w:rsid w:val="00862489"/>
    <w:rsid w:val="008624A0"/>
    <w:rsid w:val="00862895"/>
    <w:rsid w:val="00863998"/>
    <w:rsid w:val="008653B5"/>
    <w:rsid w:val="00866951"/>
    <w:rsid w:val="00866F6F"/>
    <w:rsid w:val="008755C4"/>
    <w:rsid w:val="00875AFB"/>
    <w:rsid w:val="00877321"/>
    <w:rsid w:val="00880174"/>
    <w:rsid w:val="008806C2"/>
    <w:rsid w:val="008820C3"/>
    <w:rsid w:val="00882D9C"/>
    <w:rsid w:val="0088319D"/>
    <w:rsid w:val="008846F2"/>
    <w:rsid w:val="00884BBE"/>
    <w:rsid w:val="00885EAA"/>
    <w:rsid w:val="00886FF6"/>
    <w:rsid w:val="008878B2"/>
    <w:rsid w:val="008929FD"/>
    <w:rsid w:val="00894463"/>
    <w:rsid w:val="00897DAC"/>
    <w:rsid w:val="008A03E2"/>
    <w:rsid w:val="008A0E94"/>
    <w:rsid w:val="008A2A6C"/>
    <w:rsid w:val="008A2E47"/>
    <w:rsid w:val="008A5D83"/>
    <w:rsid w:val="008B1A22"/>
    <w:rsid w:val="008B3A27"/>
    <w:rsid w:val="008B4B03"/>
    <w:rsid w:val="008B4F70"/>
    <w:rsid w:val="008B6E0D"/>
    <w:rsid w:val="008B7F64"/>
    <w:rsid w:val="008C29BB"/>
    <w:rsid w:val="008C6742"/>
    <w:rsid w:val="008D0A63"/>
    <w:rsid w:val="008D26FB"/>
    <w:rsid w:val="008D7936"/>
    <w:rsid w:val="008E074E"/>
    <w:rsid w:val="008E181D"/>
    <w:rsid w:val="008E1A46"/>
    <w:rsid w:val="008E2508"/>
    <w:rsid w:val="008E26E5"/>
    <w:rsid w:val="008E4E3D"/>
    <w:rsid w:val="008E7187"/>
    <w:rsid w:val="008E76AD"/>
    <w:rsid w:val="008F0EFE"/>
    <w:rsid w:val="008F0F68"/>
    <w:rsid w:val="008F4A08"/>
    <w:rsid w:val="008F4FDB"/>
    <w:rsid w:val="008F53C4"/>
    <w:rsid w:val="009029DC"/>
    <w:rsid w:val="00904E1C"/>
    <w:rsid w:val="009051D6"/>
    <w:rsid w:val="00906C0F"/>
    <w:rsid w:val="00907FD6"/>
    <w:rsid w:val="0091027C"/>
    <w:rsid w:val="00913514"/>
    <w:rsid w:val="00913946"/>
    <w:rsid w:val="009142FE"/>
    <w:rsid w:val="00915712"/>
    <w:rsid w:val="00915AC2"/>
    <w:rsid w:val="00920A44"/>
    <w:rsid w:val="00922543"/>
    <w:rsid w:val="00924FF6"/>
    <w:rsid w:val="00925150"/>
    <w:rsid w:val="00925E31"/>
    <w:rsid w:val="00930C1E"/>
    <w:rsid w:val="00931FB1"/>
    <w:rsid w:val="00933192"/>
    <w:rsid w:val="00933A80"/>
    <w:rsid w:val="00933FF3"/>
    <w:rsid w:val="00935845"/>
    <w:rsid w:val="00935D9F"/>
    <w:rsid w:val="00936E7F"/>
    <w:rsid w:val="00940C08"/>
    <w:rsid w:val="00941504"/>
    <w:rsid w:val="0094195C"/>
    <w:rsid w:val="009425F5"/>
    <w:rsid w:val="00942F7C"/>
    <w:rsid w:val="009455B7"/>
    <w:rsid w:val="00946F2B"/>
    <w:rsid w:val="0094789B"/>
    <w:rsid w:val="0095187E"/>
    <w:rsid w:val="009526C0"/>
    <w:rsid w:val="00953AD4"/>
    <w:rsid w:val="0095416B"/>
    <w:rsid w:val="00956ACF"/>
    <w:rsid w:val="00957A66"/>
    <w:rsid w:val="00960490"/>
    <w:rsid w:val="0096092E"/>
    <w:rsid w:val="00960A7C"/>
    <w:rsid w:val="009612E3"/>
    <w:rsid w:val="009612F6"/>
    <w:rsid w:val="009635AE"/>
    <w:rsid w:val="009637A6"/>
    <w:rsid w:val="009647BD"/>
    <w:rsid w:val="00965487"/>
    <w:rsid w:val="0096664B"/>
    <w:rsid w:val="0096775C"/>
    <w:rsid w:val="009679AF"/>
    <w:rsid w:val="00967BDA"/>
    <w:rsid w:val="009734B4"/>
    <w:rsid w:val="009772E5"/>
    <w:rsid w:val="00983DD1"/>
    <w:rsid w:val="00984BBF"/>
    <w:rsid w:val="00987C2F"/>
    <w:rsid w:val="0099237A"/>
    <w:rsid w:val="00992A99"/>
    <w:rsid w:val="00993C0D"/>
    <w:rsid w:val="00993FA5"/>
    <w:rsid w:val="00994353"/>
    <w:rsid w:val="009A38ED"/>
    <w:rsid w:val="009A433A"/>
    <w:rsid w:val="009A5AB3"/>
    <w:rsid w:val="009A6503"/>
    <w:rsid w:val="009B0C93"/>
    <w:rsid w:val="009B4893"/>
    <w:rsid w:val="009C1FAB"/>
    <w:rsid w:val="009D16B8"/>
    <w:rsid w:val="009D1E39"/>
    <w:rsid w:val="009D1E94"/>
    <w:rsid w:val="009D2D3F"/>
    <w:rsid w:val="009D3A9F"/>
    <w:rsid w:val="009D3D9F"/>
    <w:rsid w:val="009D4C2C"/>
    <w:rsid w:val="009D66DA"/>
    <w:rsid w:val="009D6FAA"/>
    <w:rsid w:val="009E071F"/>
    <w:rsid w:val="009E1D9F"/>
    <w:rsid w:val="009E4361"/>
    <w:rsid w:val="009E4889"/>
    <w:rsid w:val="009E5EFA"/>
    <w:rsid w:val="009E6FE0"/>
    <w:rsid w:val="009F00A9"/>
    <w:rsid w:val="009F104E"/>
    <w:rsid w:val="009F5FD2"/>
    <w:rsid w:val="00A016C5"/>
    <w:rsid w:val="00A017C2"/>
    <w:rsid w:val="00A056BD"/>
    <w:rsid w:val="00A06448"/>
    <w:rsid w:val="00A06CB3"/>
    <w:rsid w:val="00A109FE"/>
    <w:rsid w:val="00A13A59"/>
    <w:rsid w:val="00A13E8B"/>
    <w:rsid w:val="00A14830"/>
    <w:rsid w:val="00A165B5"/>
    <w:rsid w:val="00A21FA7"/>
    <w:rsid w:val="00A21FDD"/>
    <w:rsid w:val="00A26749"/>
    <w:rsid w:val="00A268D4"/>
    <w:rsid w:val="00A26A91"/>
    <w:rsid w:val="00A27A6B"/>
    <w:rsid w:val="00A27B70"/>
    <w:rsid w:val="00A30C36"/>
    <w:rsid w:val="00A34A05"/>
    <w:rsid w:val="00A34B3F"/>
    <w:rsid w:val="00A376E7"/>
    <w:rsid w:val="00A41B5A"/>
    <w:rsid w:val="00A43CA5"/>
    <w:rsid w:val="00A45C32"/>
    <w:rsid w:val="00A465EA"/>
    <w:rsid w:val="00A47F54"/>
    <w:rsid w:val="00A52A9C"/>
    <w:rsid w:val="00A53687"/>
    <w:rsid w:val="00A56330"/>
    <w:rsid w:val="00A60908"/>
    <w:rsid w:val="00A62359"/>
    <w:rsid w:val="00A64CC9"/>
    <w:rsid w:val="00A70FEC"/>
    <w:rsid w:val="00A72A02"/>
    <w:rsid w:val="00A80CB2"/>
    <w:rsid w:val="00A84A42"/>
    <w:rsid w:val="00A86B42"/>
    <w:rsid w:val="00A90878"/>
    <w:rsid w:val="00A96311"/>
    <w:rsid w:val="00A9659A"/>
    <w:rsid w:val="00A968CD"/>
    <w:rsid w:val="00AA0552"/>
    <w:rsid w:val="00AA1309"/>
    <w:rsid w:val="00AA14E4"/>
    <w:rsid w:val="00AA169E"/>
    <w:rsid w:val="00AA359F"/>
    <w:rsid w:val="00AA4206"/>
    <w:rsid w:val="00AA5A6F"/>
    <w:rsid w:val="00AA5E51"/>
    <w:rsid w:val="00AA60C6"/>
    <w:rsid w:val="00AA63AD"/>
    <w:rsid w:val="00AB0664"/>
    <w:rsid w:val="00AB0F49"/>
    <w:rsid w:val="00AB43C2"/>
    <w:rsid w:val="00AB470D"/>
    <w:rsid w:val="00AB67E8"/>
    <w:rsid w:val="00AB6B28"/>
    <w:rsid w:val="00AB7573"/>
    <w:rsid w:val="00AB7BFF"/>
    <w:rsid w:val="00AC0818"/>
    <w:rsid w:val="00AC5F23"/>
    <w:rsid w:val="00AC6F51"/>
    <w:rsid w:val="00AC6FF0"/>
    <w:rsid w:val="00AC7774"/>
    <w:rsid w:val="00AD3AA6"/>
    <w:rsid w:val="00AE2004"/>
    <w:rsid w:val="00AE39B7"/>
    <w:rsid w:val="00AE4CC9"/>
    <w:rsid w:val="00AF06B1"/>
    <w:rsid w:val="00AF25B7"/>
    <w:rsid w:val="00AF2FC9"/>
    <w:rsid w:val="00AF314E"/>
    <w:rsid w:val="00AF4050"/>
    <w:rsid w:val="00AF7A5F"/>
    <w:rsid w:val="00B0014A"/>
    <w:rsid w:val="00B0187A"/>
    <w:rsid w:val="00B05B5D"/>
    <w:rsid w:val="00B06A56"/>
    <w:rsid w:val="00B122A3"/>
    <w:rsid w:val="00B15095"/>
    <w:rsid w:val="00B15998"/>
    <w:rsid w:val="00B167D7"/>
    <w:rsid w:val="00B16E19"/>
    <w:rsid w:val="00B17677"/>
    <w:rsid w:val="00B22639"/>
    <w:rsid w:val="00B235BD"/>
    <w:rsid w:val="00B23826"/>
    <w:rsid w:val="00B23A7C"/>
    <w:rsid w:val="00B259D9"/>
    <w:rsid w:val="00B26B9B"/>
    <w:rsid w:val="00B30098"/>
    <w:rsid w:val="00B3130B"/>
    <w:rsid w:val="00B33111"/>
    <w:rsid w:val="00B33432"/>
    <w:rsid w:val="00B33DE9"/>
    <w:rsid w:val="00B33F50"/>
    <w:rsid w:val="00B37293"/>
    <w:rsid w:val="00B4265D"/>
    <w:rsid w:val="00B50D49"/>
    <w:rsid w:val="00B52CC4"/>
    <w:rsid w:val="00B535ED"/>
    <w:rsid w:val="00B54804"/>
    <w:rsid w:val="00B56AC1"/>
    <w:rsid w:val="00B57BB3"/>
    <w:rsid w:val="00B60768"/>
    <w:rsid w:val="00B61304"/>
    <w:rsid w:val="00B61C4E"/>
    <w:rsid w:val="00B643A3"/>
    <w:rsid w:val="00B64624"/>
    <w:rsid w:val="00B67B68"/>
    <w:rsid w:val="00B70B78"/>
    <w:rsid w:val="00B72250"/>
    <w:rsid w:val="00B8004A"/>
    <w:rsid w:val="00B80512"/>
    <w:rsid w:val="00B8421B"/>
    <w:rsid w:val="00B8521D"/>
    <w:rsid w:val="00B857B7"/>
    <w:rsid w:val="00B86898"/>
    <w:rsid w:val="00B90504"/>
    <w:rsid w:val="00B93A2D"/>
    <w:rsid w:val="00B93AA2"/>
    <w:rsid w:val="00B97039"/>
    <w:rsid w:val="00BA0712"/>
    <w:rsid w:val="00BA11D1"/>
    <w:rsid w:val="00BA3F65"/>
    <w:rsid w:val="00BA5597"/>
    <w:rsid w:val="00BA5E8E"/>
    <w:rsid w:val="00BB0193"/>
    <w:rsid w:val="00BB0790"/>
    <w:rsid w:val="00BB3C6C"/>
    <w:rsid w:val="00BB7050"/>
    <w:rsid w:val="00BB74C8"/>
    <w:rsid w:val="00BB7715"/>
    <w:rsid w:val="00BC1210"/>
    <w:rsid w:val="00BC2A82"/>
    <w:rsid w:val="00BC4C52"/>
    <w:rsid w:val="00BC69A5"/>
    <w:rsid w:val="00BD0528"/>
    <w:rsid w:val="00BD06EE"/>
    <w:rsid w:val="00BD1CF1"/>
    <w:rsid w:val="00BD4B33"/>
    <w:rsid w:val="00BD57F9"/>
    <w:rsid w:val="00BE24C4"/>
    <w:rsid w:val="00BE35C9"/>
    <w:rsid w:val="00BE4675"/>
    <w:rsid w:val="00BF30A6"/>
    <w:rsid w:val="00BF6154"/>
    <w:rsid w:val="00BF6D4C"/>
    <w:rsid w:val="00C03C5E"/>
    <w:rsid w:val="00C048EC"/>
    <w:rsid w:val="00C054DE"/>
    <w:rsid w:val="00C05710"/>
    <w:rsid w:val="00C05DB9"/>
    <w:rsid w:val="00C07D10"/>
    <w:rsid w:val="00C1096A"/>
    <w:rsid w:val="00C10D75"/>
    <w:rsid w:val="00C141F9"/>
    <w:rsid w:val="00C149BB"/>
    <w:rsid w:val="00C15E57"/>
    <w:rsid w:val="00C17184"/>
    <w:rsid w:val="00C228F0"/>
    <w:rsid w:val="00C230D0"/>
    <w:rsid w:val="00C24F2F"/>
    <w:rsid w:val="00C265EB"/>
    <w:rsid w:val="00C27FE4"/>
    <w:rsid w:val="00C302AE"/>
    <w:rsid w:val="00C31B70"/>
    <w:rsid w:val="00C338BC"/>
    <w:rsid w:val="00C373E5"/>
    <w:rsid w:val="00C40D20"/>
    <w:rsid w:val="00C412D8"/>
    <w:rsid w:val="00C42061"/>
    <w:rsid w:val="00C46017"/>
    <w:rsid w:val="00C534FA"/>
    <w:rsid w:val="00C53577"/>
    <w:rsid w:val="00C55B68"/>
    <w:rsid w:val="00C56655"/>
    <w:rsid w:val="00C56822"/>
    <w:rsid w:val="00C56F77"/>
    <w:rsid w:val="00C57552"/>
    <w:rsid w:val="00C57DAB"/>
    <w:rsid w:val="00C61015"/>
    <w:rsid w:val="00C61AD8"/>
    <w:rsid w:val="00C61FF2"/>
    <w:rsid w:val="00C624A5"/>
    <w:rsid w:val="00C648D1"/>
    <w:rsid w:val="00C64D79"/>
    <w:rsid w:val="00C65221"/>
    <w:rsid w:val="00C7027B"/>
    <w:rsid w:val="00C70849"/>
    <w:rsid w:val="00C70A6D"/>
    <w:rsid w:val="00C70D8D"/>
    <w:rsid w:val="00C7338D"/>
    <w:rsid w:val="00C73C97"/>
    <w:rsid w:val="00C75778"/>
    <w:rsid w:val="00C77A04"/>
    <w:rsid w:val="00C77CB8"/>
    <w:rsid w:val="00C862E3"/>
    <w:rsid w:val="00C86E72"/>
    <w:rsid w:val="00C87629"/>
    <w:rsid w:val="00C9175E"/>
    <w:rsid w:val="00C92A35"/>
    <w:rsid w:val="00C93507"/>
    <w:rsid w:val="00C9453A"/>
    <w:rsid w:val="00C950D0"/>
    <w:rsid w:val="00C951EB"/>
    <w:rsid w:val="00C95AAE"/>
    <w:rsid w:val="00C95EEC"/>
    <w:rsid w:val="00C97736"/>
    <w:rsid w:val="00CA136B"/>
    <w:rsid w:val="00CA388B"/>
    <w:rsid w:val="00CA3DC4"/>
    <w:rsid w:val="00CA504D"/>
    <w:rsid w:val="00CB000D"/>
    <w:rsid w:val="00CB2560"/>
    <w:rsid w:val="00CB293B"/>
    <w:rsid w:val="00CB3E1E"/>
    <w:rsid w:val="00CB4516"/>
    <w:rsid w:val="00CB4CAE"/>
    <w:rsid w:val="00CB7280"/>
    <w:rsid w:val="00CB797F"/>
    <w:rsid w:val="00CB7AF0"/>
    <w:rsid w:val="00CC28E4"/>
    <w:rsid w:val="00CC3A31"/>
    <w:rsid w:val="00CC6B16"/>
    <w:rsid w:val="00CD0E2A"/>
    <w:rsid w:val="00CD2502"/>
    <w:rsid w:val="00CD3379"/>
    <w:rsid w:val="00CD415A"/>
    <w:rsid w:val="00CD60DF"/>
    <w:rsid w:val="00CD75D4"/>
    <w:rsid w:val="00CE05D4"/>
    <w:rsid w:val="00CE12CB"/>
    <w:rsid w:val="00CE2B14"/>
    <w:rsid w:val="00CE2B50"/>
    <w:rsid w:val="00CE6829"/>
    <w:rsid w:val="00CF3761"/>
    <w:rsid w:val="00CF3AB7"/>
    <w:rsid w:val="00CF5436"/>
    <w:rsid w:val="00CF5C55"/>
    <w:rsid w:val="00CF5CA3"/>
    <w:rsid w:val="00CF5CB4"/>
    <w:rsid w:val="00CF6417"/>
    <w:rsid w:val="00CF72C0"/>
    <w:rsid w:val="00D02A30"/>
    <w:rsid w:val="00D03D65"/>
    <w:rsid w:val="00D06161"/>
    <w:rsid w:val="00D074FA"/>
    <w:rsid w:val="00D07F96"/>
    <w:rsid w:val="00D1054E"/>
    <w:rsid w:val="00D135A3"/>
    <w:rsid w:val="00D17BEC"/>
    <w:rsid w:val="00D214AD"/>
    <w:rsid w:val="00D21DBD"/>
    <w:rsid w:val="00D22C88"/>
    <w:rsid w:val="00D23900"/>
    <w:rsid w:val="00D24CD1"/>
    <w:rsid w:val="00D255D1"/>
    <w:rsid w:val="00D2608F"/>
    <w:rsid w:val="00D26C46"/>
    <w:rsid w:val="00D2721C"/>
    <w:rsid w:val="00D27790"/>
    <w:rsid w:val="00D30396"/>
    <w:rsid w:val="00D3418A"/>
    <w:rsid w:val="00D34FE0"/>
    <w:rsid w:val="00D35049"/>
    <w:rsid w:val="00D358A9"/>
    <w:rsid w:val="00D36497"/>
    <w:rsid w:val="00D42DF3"/>
    <w:rsid w:val="00D43873"/>
    <w:rsid w:val="00D43CB4"/>
    <w:rsid w:val="00D459D5"/>
    <w:rsid w:val="00D50A20"/>
    <w:rsid w:val="00D50DA4"/>
    <w:rsid w:val="00D51FEF"/>
    <w:rsid w:val="00D545CA"/>
    <w:rsid w:val="00D55B94"/>
    <w:rsid w:val="00D57DE7"/>
    <w:rsid w:val="00D626E5"/>
    <w:rsid w:val="00D63439"/>
    <w:rsid w:val="00D65041"/>
    <w:rsid w:val="00D70BB5"/>
    <w:rsid w:val="00D70FFE"/>
    <w:rsid w:val="00D71717"/>
    <w:rsid w:val="00D74605"/>
    <w:rsid w:val="00D76969"/>
    <w:rsid w:val="00D848FE"/>
    <w:rsid w:val="00D84DE7"/>
    <w:rsid w:val="00D86FA6"/>
    <w:rsid w:val="00D91F5B"/>
    <w:rsid w:val="00D924A8"/>
    <w:rsid w:val="00D92E9A"/>
    <w:rsid w:val="00D94BA8"/>
    <w:rsid w:val="00D95322"/>
    <w:rsid w:val="00DA08BB"/>
    <w:rsid w:val="00DA09A8"/>
    <w:rsid w:val="00DA15BC"/>
    <w:rsid w:val="00DA6CB9"/>
    <w:rsid w:val="00DB0A84"/>
    <w:rsid w:val="00DB286C"/>
    <w:rsid w:val="00DB327C"/>
    <w:rsid w:val="00DB4DC6"/>
    <w:rsid w:val="00DB6066"/>
    <w:rsid w:val="00DB6E5B"/>
    <w:rsid w:val="00DB74E0"/>
    <w:rsid w:val="00DB7CA2"/>
    <w:rsid w:val="00DC05BE"/>
    <w:rsid w:val="00DC0903"/>
    <w:rsid w:val="00DC1DEC"/>
    <w:rsid w:val="00DC2F5D"/>
    <w:rsid w:val="00DC333D"/>
    <w:rsid w:val="00DC367F"/>
    <w:rsid w:val="00DC384C"/>
    <w:rsid w:val="00DC3BCA"/>
    <w:rsid w:val="00DC4356"/>
    <w:rsid w:val="00DC6B66"/>
    <w:rsid w:val="00DC721E"/>
    <w:rsid w:val="00DD1295"/>
    <w:rsid w:val="00DD139E"/>
    <w:rsid w:val="00DD52AE"/>
    <w:rsid w:val="00DE09DA"/>
    <w:rsid w:val="00DE1D66"/>
    <w:rsid w:val="00DE4B98"/>
    <w:rsid w:val="00DE63E9"/>
    <w:rsid w:val="00DF2DC8"/>
    <w:rsid w:val="00DF2EF8"/>
    <w:rsid w:val="00DF642A"/>
    <w:rsid w:val="00E00F2B"/>
    <w:rsid w:val="00E0171F"/>
    <w:rsid w:val="00E03BA9"/>
    <w:rsid w:val="00E063DC"/>
    <w:rsid w:val="00E074FC"/>
    <w:rsid w:val="00E105A2"/>
    <w:rsid w:val="00E10866"/>
    <w:rsid w:val="00E11CE8"/>
    <w:rsid w:val="00E121A5"/>
    <w:rsid w:val="00E135AD"/>
    <w:rsid w:val="00E21BD3"/>
    <w:rsid w:val="00E23ADB"/>
    <w:rsid w:val="00E25234"/>
    <w:rsid w:val="00E2565B"/>
    <w:rsid w:val="00E26356"/>
    <w:rsid w:val="00E3102D"/>
    <w:rsid w:val="00E340BF"/>
    <w:rsid w:val="00E341AF"/>
    <w:rsid w:val="00E3467A"/>
    <w:rsid w:val="00E41362"/>
    <w:rsid w:val="00E44272"/>
    <w:rsid w:val="00E46699"/>
    <w:rsid w:val="00E47BFC"/>
    <w:rsid w:val="00E51BFE"/>
    <w:rsid w:val="00E51EAE"/>
    <w:rsid w:val="00E54022"/>
    <w:rsid w:val="00E561CC"/>
    <w:rsid w:val="00E614A7"/>
    <w:rsid w:val="00E62CEE"/>
    <w:rsid w:val="00E64469"/>
    <w:rsid w:val="00E64D33"/>
    <w:rsid w:val="00E67F16"/>
    <w:rsid w:val="00E776D1"/>
    <w:rsid w:val="00E81E49"/>
    <w:rsid w:val="00E849C3"/>
    <w:rsid w:val="00E86A10"/>
    <w:rsid w:val="00E871D5"/>
    <w:rsid w:val="00E8736F"/>
    <w:rsid w:val="00E87D6A"/>
    <w:rsid w:val="00E90181"/>
    <w:rsid w:val="00E946DD"/>
    <w:rsid w:val="00E96582"/>
    <w:rsid w:val="00E9708A"/>
    <w:rsid w:val="00EA165B"/>
    <w:rsid w:val="00EA3C5B"/>
    <w:rsid w:val="00EA7DB2"/>
    <w:rsid w:val="00EB0844"/>
    <w:rsid w:val="00EB0F29"/>
    <w:rsid w:val="00EB56CC"/>
    <w:rsid w:val="00EB6F29"/>
    <w:rsid w:val="00EB7253"/>
    <w:rsid w:val="00EC24A1"/>
    <w:rsid w:val="00EC310D"/>
    <w:rsid w:val="00EC37D3"/>
    <w:rsid w:val="00EC45D9"/>
    <w:rsid w:val="00EC5486"/>
    <w:rsid w:val="00EC55F0"/>
    <w:rsid w:val="00EC5738"/>
    <w:rsid w:val="00EC58A0"/>
    <w:rsid w:val="00ED121D"/>
    <w:rsid w:val="00ED449E"/>
    <w:rsid w:val="00ED66C5"/>
    <w:rsid w:val="00EE03B0"/>
    <w:rsid w:val="00EE086C"/>
    <w:rsid w:val="00EE2F84"/>
    <w:rsid w:val="00EE37F1"/>
    <w:rsid w:val="00EE502B"/>
    <w:rsid w:val="00EE56D5"/>
    <w:rsid w:val="00EE5BB1"/>
    <w:rsid w:val="00EE70E6"/>
    <w:rsid w:val="00EF16E6"/>
    <w:rsid w:val="00EF26C0"/>
    <w:rsid w:val="00EF3479"/>
    <w:rsid w:val="00EF3D6B"/>
    <w:rsid w:val="00EF4B05"/>
    <w:rsid w:val="00EF7857"/>
    <w:rsid w:val="00EF78E6"/>
    <w:rsid w:val="00F008D9"/>
    <w:rsid w:val="00F03C10"/>
    <w:rsid w:val="00F06FA8"/>
    <w:rsid w:val="00F0708E"/>
    <w:rsid w:val="00F12808"/>
    <w:rsid w:val="00F129FA"/>
    <w:rsid w:val="00F12C4C"/>
    <w:rsid w:val="00F15597"/>
    <w:rsid w:val="00F1725B"/>
    <w:rsid w:val="00F23AD3"/>
    <w:rsid w:val="00F256FE"/>
    <w:rsid w:val="00F25F30"/>
    <w:rsid w:val="00F264F4"/>
    <w:rsid w:val="00F327A8"/>
    <w:rsid w:val="00F33FF2"/>
    <w:rsid w:val="00F350F7"/>
    <w:rsid w:val="00F354E0"/>
    <w:rsid w:val="00F35B9A"/>
    <w:rsid w:val="00F36231"/>
    <w:rsid w:val="00F376A3"/>
    <w:rsid w:val="00F376E6"/>
    <w:rsid w:val="00F3775B"/>
    <w:rsid w:val="00F377B0"/>
    <w:rsid w:val="00F41BB4"/>
    <w:rsid w:val="00F437CE"/>
    <w:rsid w:val="00F43ED5"/>
    <w:rsid w:val="00F43F2E"/>
    <w:rsid w:val="00F46BFF"/>
    <w:rsid w:val="00F50731"/>
    <w:rsid w:val="00F50872"/>
    <w:rsid w:val="00F52D9C"/>
    <w:rsid w:val="00F55B5B"/>
    <w:rsid w:val="00F5671E"/>
    <w:rsid w:val="00F57084"/>
    <w:rsid w:val="00F573BC"/>
    <w:rsid w:val="00F60DEB"/>
    <w:rsid w:val="00F6163F"/>
    <w:rsid w:val="00F64640"/>
    <w:rsid w:val="00F667CE"/>
    <w:rsid w:val="00F70799"/>
    <w:rsid w:val="00F71E0F"/>
    <w:rsid w:val="00F732D0"/>
    <w:rsid w:val="00F7395D"/>
    <w:rsid w:val="00F73E45"/>
    <w:rsid w:val="00F774A1"/>
    <w:rsid w:val="00F85F79"/>
    <w:rsid w:val="00F879C2"/>
    <w:rsid w:val="00F92DD7"/>
    <w:rsid w:val="00F95A30"/>
    <w:rsid w:val="00F95DA6"/>
    <w:rsid w:val="00F9791B"/>
    <w:rsid w:val="00FA2506"/>
    <w:rsid w:val="00FA2D6D"/>
    <w:rsid w:val="00FA3B36"/>
    <w:rsid w:val="00FA4579"/>
    <w:rsid w:val="00FA61B3"/>
    <w:rsid w:val="00FB1200"/>
    <w:rsid w:val="00FB1DEB"/>
    <w:rsid w:val="00FB2A0D"/>
    <w:rsid w:val="00FB5DEE"/>
    <w:rsid w:val="00FB7097"/>
    <w:rsid w:val="00FB752B"/>
    <w:rsid w:val="00FB7E1B"/>
    <w:rsid w:val="00FC2682"/>
    <w:rsid w:val="00FC3503"/>
    <w:rsid w:val="00FC45C0"/>
    <w:rsid w:val="00FC499B"/>
    <w:rsid w:val="00FC61D9"/>
    <w:rsid w:val="00FD1F4A"/>
    <w:rsid w:val="00FD3C42"/>
    <w:rsid w:val="00FD6ADB"/>
    <w:rsid w:val="00FE1AA0"/>
    <w:rsid w:val="00FE3999"/>
    <w:rsid w:val="00FE7AAD"/>
    <w:rsid w:val="00FE7B6B"/>
    <w:rsid w:val="00FF3322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3C1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B2E00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96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="Times New Roman (Headings CS)"/>
      <w:b/>
      <w:bCs/>
      <w:i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E7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AA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AA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1AA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AA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AA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AA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AA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AA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E1AA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E3467A"/>
    <w:rPr>
      <w:color w:val="F4910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696A"/>
    <w:rPr>
      <w:rFonts w:asciiTheme="majorHAnsi" w:eastAsiaTheme="majorEastAsia" w:hAnsiTheme="majorHAnsi" w:cs="Times New Roman (Headings CS)"/>
      <w:b/>
      <w:bCs/>
      <w:i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6E72"/>
    <w:rPr>
      <w:rFonts w:asciiTheme="majorHAnsi" w:eastAsiaTheme="majorEastAsia" w:hAnsiTheme="majorHAnsi" w:cstheme="majorBidi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AA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AA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1A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1A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1AA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AA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1AA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1AA0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AA0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1AA0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FE1AA0"/>
    <w:rPr>
      <w:b/>
      <w:bCs/>
      <w:spacing w:val="0"/>
    </w:rPr>
  </w:style>
  <w:style w:type="character" w:styleId="Emphasis">
    <w:name w:val="Emphasis"/>
    <w:uiPriority w:val="20"/>
    <w:qFormat/>
    <w:rsid w:val="00FE1AA0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FE1AA0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FE1A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1AA0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E1AA0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1AA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1AA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FE1AA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E1AA0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FE1AA0"/>
    <w:rPr>
      <w:smallCaps/>
    </w:rPr>
  </w:style>
  <w:style w:type="character" w:styleId="IntenseReference">
    <w:name w:val="Intense Reference"/>
    <w:uiPriority w:val="32"/>
    <w:qFormat/>
    <w:rsid w:val="00FE1AA0"/>
    <w:rPr>
      <w:b/>
      <w:bCs/>
      <w:smallCaps/>
      <w:color w:val="auto"/>
    </w:rPr>
  </w:style>
  <w:style w:type="character" w:styleId="BookTitle">
    <w:name w:val="Book Title"/>
    <w:uiPriority w:val="33"/>
    <w:qFormat/>
    <w:rsid w:val="00FE1AA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E1AA0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3379"/>
  </w:style>
  <w:style w:type="paragraph" w:styleId="Header">
    <w:name w:val="header"/>
    <w:basedOn w:val="Normal"/>
    <w:link w:val="HeaderChar"/>
    <w:uiPriority w:val="99"/>
    <w:unhideWhenUsed/>
    <w:rsid w:val="00CD3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79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D3379"/>
  </w:style>
  <w:style w:type="paragraph" w:styleId="Bibliography">
    <w:name w:val="Bibliography"/>
    <w:basedOn w:val="Normal"/>
    <w:next w:val="Normal"/>
    <w:uiPriority w:val="37"/>
    <w:unhideWhenUsed/>
    <w:rsid w:val="00147AB8"/>
    <w:pPr>
      <w:tabs>
        <w:tab w:val="left" w:pos="260"/>
        <w:tab w:val="left" w:pos="500"/>
      </w:tabs>
      <w:spacing w:line="240" w:lineRule="auto"/>
      <w:ind w:left="504" w:hanging="504"/>
    </w:pPr>
  </w:style>
  <w:style w:type="table" w:styleId="TableGrid">
    <w:name w:val="Table Grid"/>
    <w:basedOn w:val="TableNormal"/>
    <w:uiPriority w:val="39"/>
    <w:rsid w:val="003F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E43"/>
    <w:rPr>
      <w:color w:val="739D9B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49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04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01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80174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17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1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1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0174"/>
    <w:pPr>
      <w:spacing w:after="0" w:line="240" w:lineRule="auto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26C46"/>
    <w:rPr>
      <w:color w:val="808080"/>
    </w:rPr>
  </w:style>
  <w:style w:type="paragraph" w:styleId="NormalWeb">
    <w:name w:val="Normal (Web)"/>
    <w:basedOn w:val="Normal"/>
    <w:uiPriority w:val="99"/>
    <w:unhideWhenUsed/>
    <w:rsid w:val="0076238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it-IT" w:eastAsia="it-IT"/>
    </w:rPr>
  </w:style>
  <w:style w:type="paragraph" w:customStyle="1" w:styleId="Bibliografia1">
    <w:name w:val="Bibliografia1"/>
    <w:basedOn w:val="Normal"/>
    <w:link w:val="BibliographyCarattere"/>
    <w:rsid w:val="00B57BB3"/>
    <w:pPr>
      <w:tabs>
        <w:tab w:val="left" w:pos="380"/>
      </w:tabs>
      <w:spacing w:line="240" w:lineRule="auto"/>
      <w:ind w:left="384" w:hanging="384"/>
    </w:pPr>
  </w:style>
  <w:style w:type="character" w:customStyle="1" w:styleId="BibliographyCarattere">
    <w:name w:val="Bibliography Carattere"/>
    <w:basedOn w:val="DefaultParagraphFont"/>
    <w:link w:val="Bibliografia1"/>
    <w:rsid w:val="00B57BB3"/>
    <w:rPr>
      <w:sz w:val="24"/>
    </w:rPr>
  </w:style>
  <w:style w:type="table" w:styleId="PlainTable5">
    <w:name w:val="Plain Table 5"/>
    <w:basedOn w:val="TableNormal"/>
    <w:uiPriority w:val="45"/>
    <w:rsid w:val="007549F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549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7549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90B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5643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5643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rsid w:val="00B8004A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301B51"/>
    <w:pPr>
      <w:spacing w:before="120" w:after="0"/>
      <w:jc w:val="left"/>
    </w:pPr>
    <w:rPr>
      <w:rFonts w:cstheme="minorHAnsi"/>
      <w:b/>
      <w:bCs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01B51"/>
    <w:pPr>
      <w:spacing w:before="120" w:after="0"/>
      <w:ind w:left="240"/>
      <w:jc w:val="left"/>
    </w:pPr>
    <w:rPr>
      <w:rFonts w:cs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01B51"/>
    <w:pPr>
      <w:spacing w:after="0"/>
      <w:ind w:left="480"/>
      <w:jc w:val="left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01B51"/>
    <w:pPr>
      <w:spacing w:after="0"/>
      <w:ind w:left="720"/>
      <w:jc w:val="left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01B51"/>
    <w:pPr>
      <w:spacing w:after="0"/>
      <w:ind w:left="960"/>
      <w:jc w:val="left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01B51"/>
    <w:pPr>
      <w:spacing w:after="0"/>
      <w:ind w:left="1200"/>
      <w:jc w:val="left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01B51"/>
    <w:pPr>
      <w:spacing w:after="0"/>
      <w:ind w:left="1440"/>
      <w:jc w:val="left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01B51"/>
    <w:pPr>
      <w:spacing w:after="0"/>
      <w:ind w:left="1680"/>
      <w:jc w:val="left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01B51"/>
    <w:pPr>
      <w:spacing w:after="0"/>
      <w:ind w:left="1920"/>
      <w:jc w:val="left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3C465D-E09F-0F47-B151-2A2F065155D5}">
  <we:reference id="wa200001011" version="1.1.0.0" store="en-001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483A3D07-97B2-7847-91BD-4CBC9245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9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Academisch Medisch Centrum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Ball</dc:creator>
  <cp:keywords/>
  <dc:description/>
  <cp:lastModifiedBy>Lorenzo Ball</cp:lastModifiedBy>
  <cp:revision>72</cp:revision>
  <dcterms:created xsi:type="dcterms:W3CDTF">2020-02-21T16:33:00Z</dcterms:created>
  <dcterms:modified xsi:type="dcterms:W3CDTF">2020-09-10T08:23:00Z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id="LYpE4MTw"/&gt;&lt;style id="http://www.zotero.org/styles/anesthesia-and-analgesia" hasBibliography="1" bibliographyStyleHasBeenSet="1"/&gt;&lt;prefs&gt;&lt;pref name="fieldType" value="Field"/&gt;&lt;pref name="storeRef</vt:lpwstr>
  </property>
  <property fmtid="{D5CDD505-2E9C-101B-9397-08002B2CF9AE}" pid="3" name="ZOTERO_PREF_2">
    <vt:lpwstr>erences" value="true"/&gt;&lt;pref name="automaticJournalAbbreviations" value="true"/&gt;&lt;pref name="dontAskDelayCitationUpdates" value="true"/&gt;&lt;/prefs&gt;&lt;/data&gt;</vt:lpwstr>
  </property>
  <property fmtid="{D5CDD505-2E9C-101B-9397-08002B2CF9AE}" pid="4" name="grammarly_documentId">
    <vt:lpwstr>documentId_2268</vt:lpwstr>
  </property>
</Properties>
</file>