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64" w:rsidRPr="00D728DD" w:rsidRDefault="00AE5A64" w:rsidP="00AE5A64">
      <w:pPr>
        <w:widowControl/>
        <w:wordWrap/>
        <w:autoSpaceDE/>
        <w:autoSpaceDN/>
        <w:spacing w:after="0" w:line="480" w:lineRule="auto"/>
        <w:rPr>
          <w:rFonts w:ascii="Times New Roman" w:eastAsia="맑은 고딕" w:hAnsi="Times New Roman" w:cs="Times New Roman"/>
          <w:b/>
          <w:color w:val="000000"/>
          <w:kern w:val="0"/>
          <w:sz w:val="22"/>
        </w:rPr>
      </w:pPr>
      <w:r w:rsidRPr="00D728DD">
        <w:rPr>
          <w:rFonts w:ascii="Times New Roman" w:eastAsia="맑은 고딕" w:hAnsi="Times New Roman" w:cs="Times New Roman"/>
          <w:b/>
          <w:color w:val="000000"/>
          <w:kern w:val="0"/>
          <w:sz w:val="22"/>
        </w:rPr>
        <w:t xml:space="preserve">Supplemental Table </w:t>
      </w:r>
      <w:r w:rsidR="00BD7AF0">
        <w:rPr>
          <w:rFonts w:ascii="Times New Roman" w:eastAsia="맑은 고딕" w:hAnsi="Times New Roman" w:cs="Times New Roman"/>
          <w:b/>
          <w:color w:val="000000"/>
          <w:kern w:val="0"/>
          <w:sz w:val="22"/>
        </w:rPr>
        <w:t>1</w:t>
      </w:r>
      <w:r w:rsidRPr="00D728DD">
        <w:rPr>
          <w:rFonts w:ascii="Times New Roman" w:eastAsia="맑은 고딕" w:hAnsi="Times New Roman" w:cs="Times New Roman"/>
          <w:b/>
          <w:color w:val="000000"/>
          <w:kern w:val="0"/>
          <w:sz w:val="22"/>
        </w:rPr>
        <w:t xml:space="preserve">. </w:t>
      </w: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Baseline Characteristics and Mortality of Non-obese and Obese Patients in the Overweight Group.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5"/>
        <w:gridCol w:w="2007"/>
        <w:gridCol w:w="2007"/>
        <w:gridCol w:w="1117"/>
      </w:tblGrid>
      <w:tr w:rsidR="00AE5A64" w:rsidRPr="00D728DD" w:rsidTr="00391BB0">
        <w:trPr>
          <w:trHeight w:val="600"/>
          <w:jc w:val="center"/>
        </w:trPr>
        <w:tc>
          <w:tcPr>
            <w:tcW w:w="21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E5A64" w:rsidRPr="00D728DD" w:rsidRDefault="006A6C83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Overweight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Obese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b/>
                <w:i/>
                <w:color w:val="000000"/>
                <w:kern w:val="0"/>
                <w:sz w:val="22"/>
              </w:rPr>
              <w:t>P</w:t>
            </w:r>
            <w:r w:rsidRPr="00D728DD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-value</w:t>
            </w:r>
          </w:p>
        </w:tc>
      </w:tr>
      <w:tr w:rsidR="00AE5A64" w:rsidRPr="00D728DD" w:rsidTr="00391BB0">
        <w:trPr>
          <w:trHeight w:val="158"/>
          <w:jc w:val="center"/>
        </w:trPr>
        <w:tc>
          <w:tcPr>
            <w:tcW w:w="21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(n = 1,700)</w:t>
            </w:r>
          </w:p>
        </w:tc>
        <w:tc>
          <w:tcPr>
            <w:tcW w:w="11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(n = 262)</w:t>
            </w:r>
          </w:p>
        </w:tc>
        <w:tc>
          <w:tcPr>
            <w:tcW w:w="6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*Body mass index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A6A70" w:rsidP="00AA6A70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(±1.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A6A70" w:rsidP="00AA6A70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 (±2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*Age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65.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(±1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(±1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*Peak cTn I level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A6A70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 (±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808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A6A70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1,537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(±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215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**</w:t>
            </w: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Days to 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Peak cTn I level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(0.4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-3.5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39-2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.9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0.3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A6A70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1,143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A6A70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128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182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10.7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 (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6.5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</w:t>
            </w:r>
            <w:r w:rsidR="00AA6A70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05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Alcohol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325 (19.1)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36 (13.7)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0.05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Cardiac comorbidity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1,212 (71.3)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190 (72.5)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0.74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Coronary artery disease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457 (26.9)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54 (20.6)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0.04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Arrhythmia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178 (10.5)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27 (10.3)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&gt;0.99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Valve disease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38 (2.2)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 (1.5)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0.61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Charlson comorbidity index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Heart failure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(3.5)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A6A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3.8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0.92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Dementia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56 (3.3)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 (1.9)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0.31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Chronic pulmonary disease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107 (6.3)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13 (5.0)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0.48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Rheumatic disease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9 (0.5)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 (0.4)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&gt;0.99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Mild liver disease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194 (11.4)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44 (16.8)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0.02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Diabetes with complication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794 (46.7)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115 (43.9)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0.43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Hemiplegia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14 (0.8)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 (0.4)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0.70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Renal disease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211 (12.4)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36 (13.7)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0.62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Any malignancy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929 (54.6)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125 (47.7)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0.04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Moderate to severe liver disease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24 (1.4)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8 (3.1)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0.09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Metastatic solid tumor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56 (3.3)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 (1.9)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0.31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Human immunodeficiency virus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A6A7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Preoperative medication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Beta blocker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540 (31.8)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92 (35.1)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0.31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Calcium channel blocker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678 (39.8)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109 (41.6)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0.65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RAAS inhibitor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794 (46.7)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121 (46.2)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0.93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Statin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702 (41.3)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103 (39.3)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0.59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Antiplatelet agent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719 (42.3)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100 (38.2)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0.23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Direct oral anticoagulant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42 (2.5)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 (1.9)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0.74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Warfarin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96 (5.6)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14 (5.3)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0.96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Preoperative management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  Intensive care unit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178 (10.5)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24 (9.2)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0.59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ECMO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 (0.1)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&gt;0.99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CRRT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27 (1.6)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 (1.9)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Ventilator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47 (2.8)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 (2.7)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&gt;0.99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Operation type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6F6FEF">
            <w:pPr>
              <w:widowControl/>
              <w:wordWrap/>
              <w:autoSpaceDE/>
              <w:autoSpaceDN/>
              <w:spacing w:after="0" w:line="276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Vascular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168 (9.9)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19 (7.3)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1A181B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Orthopedic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248 (14.6)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55 (21.0)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216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Neuro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209 (12.3)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31 (11.8)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Breast or Endo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36 (2.1)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 (1.1)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Plastic, Otolaryngeal or Eye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78 (4.6)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8 (3.1)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Transplantation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144 (8.5)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40 (15.3)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Gynecology or Urology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158 (9.3)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33 (12.6)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Gastrointestinal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380 (22.4)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51 (19.5)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Noncardiac thoracic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267 (15.7)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22 (8.4)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12 (0.7)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Operative variables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General anesthesia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6F6FEF" w:rsidP="006F6F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408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2.8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6F6FEF" w:rsidP="006F6F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220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4.0</w:t>
            </w:r>
            <w:r w:rsidR="00AE5A64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6F6F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</w:t>
            </w:r>
            <w:r w:rsidR="006F6F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Emergency operation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438 (25.8)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67 (25.6)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6F6FEF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&gt;0.99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*Operation duration, hour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3.49 (±2.67)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3.07 (±2.68)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0.002</w:t>
            </w:r>
          </w:p>
        </w:tc>
      </w:tr>
      <w:tr w:rsidR="00AE5A64" w:rsidRPr="00D728DD" w:rsidTr="00391BB0">
        <w:trPr>
          <w:trHeight w:val="7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Intraoperative inotropics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671 (39.5)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113 (43.1)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0.29</w:t>
            </w:r>
          </w:p>
        </w:tc>
      </w:tr>
      <w:tr w:rsidR="00AE5A64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A64" w:rsidRPr="00D728DD" w:rsidRDefault="00AE5A64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Intraoperative transfusion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 (13.1)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(23.3)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A64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&lt;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391BB0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One-year mortality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1BB0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All-cause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262 (15.4)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28 (10.7)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0.06</w:t>
            </w:r>
          </w:p>
        </w:tc>
      </w:tr>
      <w:tr w:rsidR="00391BB0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Cardiovascular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70 (4.1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 (1.9)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0.12</w:t>
            </w:r>
          </w:p>
        </w:tc>
      </w:tr>
      <w:tr w:rsidR="00391BB0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Non-cardiovascular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192 (11.3)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23 (8.8)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0.27</w:t>
            </w:r>
          </w:p>
        </w:tc>
      </w:tr>
      <w:tr w:rsidR="00391BB0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30-day mortality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AE5A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1BB0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All-cause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113 (6.6)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14 (5.3)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0.51</w:t>
            </w:r>
          </w:p>
        </w:tc>
      </w:tr>
      <w:tr w:rsidR="00391BB0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Cardiovascular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26 (1.5)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 (1.5)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&gt;0.99</w:t>
            </w:r>
          </w:p>
        </w:tc>
      </w:tr>
      <w:tr w:rsidR="00391BB0" w:rsidRPr="00D728DD" w:rsidTr="00391BB0">
        <w:trPr>
          <w:trHeight w:val="340"/>
          <w:jc w:val="center"/>
        </w:trPr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Non-cardiovascular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87 (5.1)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10 (3.8)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BB0" w:rsidRPr="00D728DD" w:rsidRDefault="00391BB0" w:rsidP="00391B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0.45</w:t>
            </w:r>
          </w:p>
        </w:tc>
      </w:tr>
    </w:tbl>
    <w:p w:rsidR="00AE5A64" w:rsidRPr="00D728DD" w:rsidRDefault="00AE5A64" w:rsidP="00AE5A64">
      <w:pPr>
        <w:widowControl/>
        <w:wordWrap/>
        <w:autoSpaceDE/>
        <w:autoSpaceDN/>
        <w:spacing w:line="24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Data are presented as n (%), *mean (±standard deviation), or **median (interquartile range)</w:t>
      </w:r>
    </w:p>
    <w:p w:rsidR="00AE5A64" w:rsidRPr="00D728DD" w:rsidRDefault="00AE5A64" w:rsidP="00AE5A64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cTn, cardiac troponin; ASD, absolute standardized mean difference; RAAS, renin-angiotensin-aldosterone system, ECMO, extracorporeal membrane oxygenation; CRRT, Continuous renal replacement therapy</w:t>
      </w:r>
    </w:p>
    <w:p w:rsidR="00470986" w:rsidRPr="00D728DD" w:rsidRDefault="00470986" w:rsidP="00470986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470986" w:rsidRPr="00D728DD" w:rsidRDefault="00470986" w:rsidP="0035576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color w:val="000000"/>
          <w:kern w:val="0"/>
          <w:szCs w:val="20"/>
        </w:rPr>
        <w:sectPr w:rsidR="00470986" w:rsidRPr="00D728DD" w:rsidSect="00AE5A6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0F7AEF" w:rsidRPr="00D728DD" w:rsidRDefault="00BD7AF0" w:rsidP="00470986">
      <w:pPr>
        <w:widowControl/>
        <w:wordWrap/>
        <w:autoSpaceDE/>
        <w:autoSpaceDN/>
        <w:spacing w:after="0" w:line="480" w:lineRule="auto"/>
        <w:rPr>
          <w:rFonts w:ascii="Times New Roman" w:eastAsia="맑은 고딕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맑은 고딕" w:hAnsi="Times New Roman" w:cs="Times New Roman"/>
          <w:b/>
          <w:color w:val="000000"/>
          <w:kern w:val="0"/>
          <w:sz w:val="22"/>
        </w:rPr>
        <w:lastRenderedPageBreak/>
        <w:t>Supplemental table 2</w:t>
      </w:r>
      <w:r w:rsidR="000F7AEF" w:rsidRPr="00D728DD">
        <w:rPr>
          <w:rFonts w:ascii="Times New Roman" w:eastAsia="맑은 고딕" w:hAnsi="Times New Roman" w:cs="Times New Roman"/>
          <w:b/>
          <w:color w:val="000000"/>
          <w:kern w:val="0"/>
          <w:sz w:val="22"/>
        </w:rPr>
        <w:t xml:space="preserve">. </w:t>
      </w:r>
      <w:r w:rsidR="000F7AEF"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Sensitivity analysis of the effect of an unmeasured confounder on hazard ratio for 1-year mortality following myocardial injury after noncardiac surgery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6"/>
        <w:gridCol w:w="535"/>
        <w:gridCol w:w="1783"/>
        <w:gridCol w:w="1783"/>
        <w:gridCol w:w="1783"/>
        <w:gridCol w:w="1783"/>
        <w:gridCol w:w="1783"/>
        <w:gridCol w:w="1781"/>
      </w:tblGrid>
      <w:tr w:rsidR="000F7AEF" w:rsidRPr="00D728DD" w:rsidTr="00F8057A">
        <w:trPr>
          <w:trHeight w:val="330"/>
        </w:trPr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OR</w:t>
            </w:r>
            <w:r w:rsidRPr="00D728DD">
              <w:rPr>
                <w:rFonts w:ascii="Times New Roman" w:eastAsia="맑은 고딕" w:hAnsi="Times New Roman" w:cs="Times New Roman"/>
                <w:b/>
                <w:i/>
                <w:iCs/>
                <w:color w:val="2A2A2A"/>
                <w:kern w:val="0"/>
                <w:sz w:val="22"/>
                <w:vertAlign w:val="subscript"/>
              </w:rPr>
              <w:t>ZY</w:t>
            </w:r>
            <w:r w:rsidRPr="00D728DD">
              <w:rPr>
                <w:rFonts w:ascii="Times New Roman" w:eastAsia="맑은 고딕" w:hAnsi="Times New Roman" w:cs="Times New Roman"/>
                <w:b/>
                <w:color w:val="2A2A2A"/>
                <w:kern w:val="0"/>
                <w:sz w:val="22"/>
                <w:vertAlign w:val="subscript"/>
              </w:rPr>
              <w:t>|</w:t>
            </w:r>
            <w:r w:rsidRPr="00D728DD">
              <w:rPr>
                <w:rFonts w:ascii="Times New Roman" w:eastAsia="맑은 고딕" w:hAnsi="Times New Roman" w:cs="Times New Roman"/>
                <w:b/>
                <w:i/>
                <w:iCs/>
                <w:color w:val="2A2A2A"/>
                <w:kern w:val="0"/>
                <w:sz w:val="22"/>
                <w:vertAlign w:val="subscript"/>
              </w:rPr>
              <w:t>X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Normal vs. </w:t>
            </w:r>
            <w:r w:rsidR="006A6C83"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Low BMI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3.5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4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OR</w:t>
            </w: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vertAlign w:val="subscript"/>
              </w:rPr>
              <w:t>zx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1.50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1.60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25-2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.68 (1.30-2.1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50D8E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1.79 (1.39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1.89 (1.4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1.92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50D8E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1.45 (1.13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87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1.53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1.63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-2.0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.67 (1.30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1.73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1.78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1.43 (1.1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1.54 (1.2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-1.9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.60 (1.25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1.64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-2.1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1.67 (1.3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50D8E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1.40 (1.10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1.46 (1.1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1.49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1.49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.56 (1.21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-1.9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1.60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50D8E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1.38 (1.08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1.42 (1.1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1.44 (1.1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1.48 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(1.16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1.48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1.48 (1.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-1.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Normal vs. </w:t>
            </w:r>
            <w:r w:rsidR="006A6C83"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High BMI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bookmarkStart w:id="0" w:name="_GoBack" w:colFirst="5" w:colLast="7"/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OR</w:t>
            </w: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vertAlign w:val="subscript"/>
              </w:rPr>
              <w:t>zx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0.75 (0.6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0.81 (0.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532FC7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0.86 (0.7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2-1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.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02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532FC7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0.91 (0.79-1.0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8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532FC7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.95 (0.80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-1.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13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532FC7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0.98 (0.8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-1.1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7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50D8E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0.74 (0.62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 (0.6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 (0.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532FC7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.85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 (0.7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2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-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1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.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01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532FC7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0.88 (0.7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4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-1.0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4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532FC7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0.90 (0.7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6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-1.0</w:t>
            </w:r>
            <w:r w:rsidR="00050D8E"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7</w:t>
            </w:r>
            <w:r w:rsidRPr="00532FC7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</w:tr>
      <w:bookmarkEnd w:id="0"/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0.73 (0.6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50D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 (0.6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050D8E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0.79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.81 (0.68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 (0.7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0.84 (0.7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882622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 (0.61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0.74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0.80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-0.9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0.71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0.73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0.74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.74 (0.63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 (0.6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 (0.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65-0.90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6A6C83" w:rsidP="006A6C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Low BMI </w:t>
            </w:r>
            <w:r w:rsidR="000F7AEF"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vs. </w:t>
            </w: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High BMI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OR</w:t>
            </w:r>
            <w:r w:rsidRPr="00D728DD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vertAlign w:val="subscript"/>
              </w:rPr>
              <w:t>zx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882622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0.56 (0.42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 (0.4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6-0.80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 (0.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 (0.5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0.70 (0.5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8826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(0.5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882622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0.55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0.58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.64 (0.49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0.64 (0.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 (0.5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-0.8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0.55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0.57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0.59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.60 (0.50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7-0.81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 (0.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0.56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.57 (0.43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1512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0.58 (0.4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151259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EE41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0.59 (0.4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EE41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0.60 (0.4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0F7AEF" w:rsidRPr="00D728DD" w:rsidTr="00F8057A">
        <w:trPr>
          <w:trHeight w:val="330"/>
        </w:trPr>
        <w:tc>
          <w:tcPr>
            <w:tcW w:w="9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0F7A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EE41F7" w:rsidP="00EE41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0.53 (0.41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0F7AEF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EE41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.55 (0.42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71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EE41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0.55 (0.4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72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EE41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0.57 (0.4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EE41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0.57 (0.4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AEF" w:rsidRPr="00D728DD" w:rsidRDefault="000F7AEF" w:rsidP="00EE41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0.58 (0.4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</w:t>
            </w:r>
            <w:r w:rsidR="00EE41F7"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Pr="00D728D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</w:tbl>
    <w:p w:rsidR="000F7AEF" w:rsidRPr="00D728DD" w:rsidRDefault="000F7AEF" w:rsidP="000F7AE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Prevalence of unmeasured confounder = 40%</w:t>
      </w:r>
    </w:p>
    <w:p w:rsidR="000F7AEF" w:rsidRPr="00D728DD" w:rsidRDefault="000F7AEF" w:rsidP="000F7AE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Num</w:t>
      </w:r>
      <w:r w:rsidR="00050D8E"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bers represent HRs (including 98.3</w:t>
      </w: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% CIs). </w:t>
      </w:r>
    </w:p>
    <w:p w:rsidR="000F7AEF" w:rsidRPr="00D728DD" w:rsidRDefault="006A6C83" w:rsidP="000F7AE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BMI, body mass index; </w:t>
      </w:r>
      <w:r w:rsidR="000F7AEF"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OR, odds ratio; HR, hazard ratio; x,: dichotomous exposure measure; y, dichotomous outcome measure; z, potential dichotomous confounder.</w:t>
      </w:r>
    </w:p>
    <w:p w:rsidR="000F7AEF" w:rsidRPr="00D728DD" w:rsidRDefault="000F7AEF" w:rsidP="000F7AE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OR</w:t>
      </w:r>
      <w:r w:rsidRPr="00D728DD">
        <w:rPr>
          <w:rFonts w:ascii="Times New Roman" w:eastAsia="맑은 고딕" w:hAnsi="Times New Roman" w:cs="Times New Roman"/>
          <w:color w:val="000000"/>
          <w:kern w:val="0"/>
          <w:sz w:val="22"/>
          <w:vertAlign w:val="subscript"/>
        </w:rPr>
        <w:t>ZX</w:t>
      </w: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indicates the association (OR) between the unmeasured confounder and the grouping variables</w:t>
      </w:r>
    </w:p>
    <w:p w:rsidR="00E55AC3" w:rsidRPr="00470986" w:rsidRDefault="000F7AEF" w:rsidP="00401FA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>OR</w:t>
      </w:r>
      <w:r w:rsidRPr="00D728DD">
        <w:rPr>
          <w:rFonts w:ascii="Times New Roman" w:eastAsia="맑은 고딕" w:hAnsi="Times New Roman" w:cs="Times New Roman"/>
          <w:color w:val="000000"/>
          <w:kern w:val="0"/>
          <w:sz w:val="22"/>
          <w:vertAlign w:val="subscript"/>
        </w:rPr>
        <w:t>ZY|X</w:t>
      </w:r>
      <w:r w:rsidRPr="00D728DD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indicates the association (OR) between the unmeasured confounder and mortality conditional on exposure status.</w:t>
      </w:r>
    </w:p>
    <w:sectPr w:rsidR="00E55AC3" w:rsidRPr="00470986" w:rsidSect="0035576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5E" w:rsidRDefault="0013435E" w:rsidP="000800EF">
      <w:pPr>
        <w:spacing w:after="0" w:line="240" w:lineRule="auto"/>
      </w:pPr>
      <w:r>
        <w:separator/>
      </w:r>
    </w:p>
  </w:endnote>
  <w:endnote w:type="continuationSeparator" w:id="0">
    <w:p w:rsidR="0013435E" w:rsidRDefault="0013435E" w:rsidP="0008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5E" w:rsidRDefault="0013435E" w:rsidP="000800EF">
      <w:pPr>
        <w:spacing w:after="0" w:line="240" w:lineRule="auto"/>
      </w:pPr>
      <w:r>
        <w:separator/>
      </w:r>
    </w:p>
  </w:footnote>
  <w:footnote w:type="continuationSeparator" w:id="0">
    <w:p w:rsidR="0013435E" w:rsidRDefault="0013435E" w:rsidP="00080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F"/>
    <w:rsid w:val="00050D8E"/>
    <w:rsid w:val="0006339E"/>
    <w:rsid w:val="000800EF"/>
    <w:rsid w:val="000F7AEF"/>
    <w:rsid w:val="00111EE5"/>
    <w:rsid w:val="00121561"/>
    <w:rsid w:val="0013435E"/>
    <w:rsid w:val="00151259"/>
    <w:rsid w:val="001A181B"/>
    <w:rsid w:val="001D6B8D"/>
    <w:rsid w:val="001E3B72"/>
    <w:rsid w:val="00202188"/>
    <w:rsid w:val="0035576F"/>
    <w:rsid w:val="00391BB0"/>
    <w:rsid w:val="00401FA3"/>
    <w:rsid w:val="00470986"/>
    <w:rsid w:val="005272A0"/>
    <w:rsid w:val="00532FC7"/>
    <w:rsid w:val="00557453"/>
    <w:rsid w:val="005B738A"/>
    <w:rsid w:val="006A6C83"/>
    <w:rsid w:val="006D0CB1"/>
    <w:rsid w:val="006F6FEF"/>
    <w:rsid w:val="00820D36"/>
    <w:rsid w:val="008256B0"/>
    <w:rsid w:val="00840A8A"/>
    <w:rsid w:val="00881D74"/>
    <w:rsid w:val="00882622"/>
    <w:rsid w:val="008C3DAF"/>
    <w:rsid w:val="008D6DC6"/>
    <w:rsid w:val="00961A4A"/>
    <w:rsid w:val="00AA6A70"/>
    <w:rsid w:val="00AE5A64"/>
    <w:rsid w:val="00BC2CA1"/>
    <w:rsid w:val="00BD7AF0"/>
    <w:rsid w:val="00D34C9C"/>
    <w:rsid w:val="00D728DD"/>
    <w:rsid w:val="00E45EE0"/>
    <w:rsid w:val="00E55AC3"/>
    <w:rsid w:val="00ED5624"/>
    <w:rsid w:val="00EE0039"/>
    <w:rsid w:val="00EE41F7"/>
    <w:rsid w:val="00EE787B"/>
    <w:rsid w:val="00F176E1"/>
    <w:rsid w:val="00F8057A"/>
    <w:rsid w:val="00F8235F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47D31-1D18-4B90-B38F-9D543EBA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0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800EF"/>
  </w:style>
  <w:style w:type="paragraph" w:styleId="a4">
    <w:name w:val="footer"/>
    <w:basedOn w:val="a"/>
    <w:link w:val="Char0"/>
    <w:uiPriority w:val="99"/>
    <w:unhideWhenUsed/>
    <w:rsid w:val="000800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8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DM500T8Z-AD3A</dc:creator>
  <cp:keywords/>
  <dc:description/>
  <cp:lastModifiedBy>DM500T8Z-AD3A</cp:lastModifiedBy>
  <cp:revision>2</cp:revision>
  <dcterms:created xsi:type="dcterms:W3CDTF">2020-09-01T00:17:00Z</dcterms:created>
  <dcterms:modified xsi:type="dcterms:W3CDTF">2020-09-01T00:17:00Z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E:\jc0517\tinco\works\bmi\bmi_supple_191108.docx</vt:lpwstr>
  </property>
</Properties>
</file>