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E23" w:rsidRDefault="005B5353">
      <w:pPr>
        <w:spacing w:before="53"/>
        <w:ind w:left="103"/>
        <w:rPr>
          <w:rFonts w:ascii="Arial Black"/>
          <w:b/>
          <w:sz w:val="14"/>
        </w:rPr>
      </w:pPr>
      <w:r>
        <w:rPr>
          <w:rFonts w:ascii="Arial Black"/>
          <w:b/>
          <w:sz w:val="14"/>
        </w:rPr>
        <w:t>Supplement</w:t>
      </w:r>
      <w:bookmarkStart w:id="0" w:name="_GoBack"/>
      <w:bookmarkEnd w:id="0"/>
      <w:r>
        <w:rPr>
          <w:rFonts w:ascii="Arial Black"/>
          <w:b/>
          <w:sz w:val="14"/>
        </w:rPr>
        <w:t xml:space="preserve"> Table 1. Experimental Uses of HAE Treatment Agents in Cardiac Surgery</w:t>
      </w:r>
    </w:p>
    <w:p w:rsidR="004E7E23" w:rsidRDefault="004E7E23">
      <w:pPr>
        <w:pStyle w:val="BodyText"/>
        <w:spacing w:before="4"/>
        <w:rPr>
          <w:rFonts w:ascii="Arial Black"/>
          <w:b/>
          <w:sz w:val="18"/>
        </w:rPr>
      </w:pPr>
    </w:p>
    <w:tbl>
      <w:tblPr>
        <w:tblW w:w="0" w:type="auto"/>
        <w:tblInd w:w="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"/>
        <w:gridCol w:w="766"/>
        <w:gridCol w:w="1186"/>
        <w:gridCol w:w="666"/>
        <w:gridCol w:w="791"/>
        <w:gridCol w:w="947"/>
        <w:gridCol w:w="770"/>
        <w:gridCol w:w="853"/>
        <w:gridCol w:w="2517"/>
        <w:gridCol w:w="2725"/>
      </w:tblGrid>
      <w:tr w:rsidR="004E7E23">
        <w:trPr>
          <w:trHeight w:val="130"/>
        </w:trPr>
        <w:tc>
          <w:tcPr>
            <w:tcW w:w="826" w:type="dxa"/>
            <w:tcBorders>
              <w:right w:val="nil"/>
            </w:tcBorders>
          </w:tcPr>
          <w:p w:rsidR="004E7E23" w:rsidRDefault="005B5353">
            <w:pPr>
              <w:pStyle w:val="TableParagraph"/>
              <w:spacing w:before="0" w:line="111" w:lineRule="exact"/>
              <w:ind w:left="23"/>
              <w:rPr>
                <w:rFonts w:ascii="Arial Black"/>
                <w:b/>
                <w:sz w:val="11"/>
              </w:rPr>
            </w:pPr>
            <w:r>
              <w:rPr>
                <w:rFonts w:ascii="Arial Black"/>
                <w:b/>
                <w:w w:val="95"/>
                <w:sz w:val="11"/>
              </w:rPr>
              <w:t>Author</w:t>
            </w:r>
          </w:p>
        </w:tc>
        <w:tc>
          <w:tcPr>
            <w:tcW w:w="766" w:type="dxa"/>
            <w:tcBorders>
              <w:left w:val="nil"/>
            </w:tcBorders>
          </w:tcPr>
          <w:p w:rsidR="004E7E23" w:rsidRDefault="005B5353">
            <w:pPr>
              <w:pStyle w:val="TableParagraph"/>
              <w:spacing w:before="0" w:line="111" w:lineRule="exact"/>
              <w:ind w:left="68"/>
              <w:rPr>
                <w:rFonts w:ascii="Arial Black"/>
                <w:b/>
                <w:sz w:val="11"/>
              </w:rPr>
            </w:pPr>
            <w:r>
              <w:rPr>
                <w:rFonts w:ascii="Arial Black"/>
                <w:b/>
                <w:w w:val="90"/>
                <w:sz w:val="11"/>
              </w:rPr>
              <w:t>Study Type</w:t>
            </w:r>
          </w:p>
        </w:tc>
        <w:tc>
          <w:tcPr>
            <w:tcW w:w="1186" w:type="dxa"/>
          </w:tcPr>
          <w:p w:rsidR="004E7E23" w:rsidRDefault="005B5353">
            <w:pPr>
              <w:pStyle w:val="TableParagraph"/>
              <w:spacing w:before="0" w:line="111" w:lineRule="exact"/>
              <w:ind w:left="22"/>
              <w:rPr>
                <w:rFonts w:ascii="Arial Black"/>
                <w:b/>
                <w:sz w:val="11"/>
              </w:rPr>
            </w:pPr>
            <w:r>
              <w:rPr>
                <w:rFonts w:ascii="Arial Black"/>
                <w:b/>
                <w:w w:val="90"/>
                <w:sz w:val="11"/>
              </w:rPr>
              <w:t>Population</w:t>
            </w:r>
          </w:p>
        </w:tc>
        <w:tc>
          <w:tcPr>
            <w:tcW w:w="666" w:type="dxa"/>
          </w:tcPr>
          <w:p w:rsidR="004E7E23" w:rsidRDefault="005B5353">
            <w:pPr>
              <w:pStyle w:val="TableParagraph"/>
              <w:spacing w:before="0" w:line="111" w:lineRule="exact"/>
              <w:ind w:left="22"/>
              <w:rPr>
                <w:rFonts w:ascii="Arial Black"/>
                <w:b/>
                <w:sz w:val="11"/>
              </w:rPr>
            </w:pPr>
            <w:r>
              <w:rPr>
                <w:rFonts w:ascii="Arial Black"/>
                <w:b/>
                <w:w w:val="90"/>
                <w:sz w:val="11"/>
              </w:rPr>
              <w:t>Age</w:t>
            </w:r>
          </w:p>
        </w:tc>
        <w:tc>
          <w:tcPr>
            <w:tcW w:w="791" w:type="dxa"/>
            <w:tcBorders>
              <w:right w:val="nil"/>
            </w:tcBorders>
          </w:tcPr>
          <w:p w:rsidR="004E7E23" w:rsidRDefault="005B5353">
            <w:pPr>
              <w:pStyle w:val="TableParagraph"/>
              <w:spacing w:before="0" w:line="111" w:lineRule="exact"/>
              <w:ind w:left="22"/>
              <w:rPr>
                <w:rFonts w:ascii="Arial Black"/>
                <w:b/>
                <w:sz w:val="11"/>
              </w:rPr>
            </w:pPr>
            <w:proofErr w:type="spellStart"/>
            <w:r>
              <w:rPr>
                <w:rFonts w:ascii="Arial Black"/>
                <w:b/>
                <w:w w:val="95"/>
                <w:sz w:val="11"/>
              </w:rPr>
              <w:t>Wt</w:t>
            </w:r>
            <w:proofErr w:type="spellEnd"/>
            <w:r>
              <w:rPr>
                <w:rFonts w:ascii="Arial Black"/>
                <w:b/>
                <w:w w:val="95"/>
                <w:sz w:val="11"/>
              </w:rPr>
              <w:t xml:space="preserve"> or BMI</w:t>
            </w:r>
          </w:p>
        </w:tc>
        <w:tc>
          <w:tcPr>
            <w:tcW w:w="947" w:type="dxa"/>
            <w:tcBorders>
              <w:left w:val="nil"/>
              <w:right w:val="nil"/>
            </w:tcBorders>
          </w:tcPr>
          <w:p w:rsidR="004E7E23" w:rsidRDefault="005B5353">
            <w:pPr>
              <w:pStyle w:val="TableParagraph"/>
              <w:spacing w:before="0" w:line="111" w:lineRule="exact"/>
              <w:ind w:left="28"/>
              <w:rPr>
                <w:rFonts w:ascii="Arial Black"/>
                <w:b/>
                <w:sz w:val="11"/>
              </w:rPr>
            </w:pPr>
            <w:r>
              <w:rPr>
                <w:rFonts w:ascii="Arial Black"/>
                <w:b/>
                <w:w w:val="90"/>
                <w:sz w:val="11"/>
              </w:rPr>
              <w:t>Treatment</w:t>
            </w:r>
          </w:p>
        </w:tc>
        <w:tc>
          <w:tcPr>
            <w:tcW w:w="770" w:type="dxa"/>
            <w:tcBorders>
              <w:left w:val="nil"/>
            </w:tcBorders>
          </w:tcPr>
          <w:p w:rsidR="004E7E23" w:rsidRDefault="005B5353">
            <w:pPr>
              <w:pStyle w:val="TableParagraph"/>
              <w:spacing w:before="0" w:line="111" w:lineRule="exact"/>
              <w:ind w:left="28"/>
              <w:rPr>
                <w:rFonts w:ascii="Arial Black"/>
                <w:b/>
                <w:sz w:val="11"/>
              </w:rPr>
            </w:pPr>
            <w:r>
              <w:rPr>
                <w:rFonts w:ascii="Arial Black"/>
                <w:b/>
                <w:w w:val="90"/>
                <w:sz w:val="11"/>
              </w:rPr>
              <w:t>Dose</w:t>
            </w:r>
          </w:p>
        </w:tc>
        <w:tc>
          <w:tcPr>
            <w:tcW w:w="853" w:type="dxa"/>
          </w:tcPr>
          <w:p w:rsidR="004E7E23" w:rsidRDefault="005B5353">
            <w:pPr>
              <w:pStyle w:val="TableParagraph"/>
              <w:spacing w:before="0" w:line="111" w:lineRule="exact"/>
              <w:ind w:right="171"/>
              <w:jc w:val="right"/>
              <w:rPr>
                <w:rFonts w:ascii="Arial Black"/>
                <w:b/>
                <w:sz w:val="11"/>
              </w:rPr>
            </w:pPr>
            <w:r>
              <w:rPr>
                <w:rFonts w:ascii="Arial Black"/>
                <w:b/>
                <w:w w:val="80"/>
                <w:sz w:val="11"/>
              </w:rPr>
              <w:t>CPB time min</w:t>
            </w:r>
          </w:p>
        </w:tc>
        <w:tc>
          <w:tcPr>
            <w:tcW w:w="2517" w:type="dxa"/>
          </w:tcPr>
          <w:p w:rsidR="004E7E23" w:rsidRDefault="005B5353">
            <w:pPr>
              <w:pStyle w:val="TableParagraph"/>
              <w:spacing w:before="0" w:line="111" w:lineRule="exact"/>
              <w:ind w:left="20"/>
              <w:rPr>
                <w:rFonts w:ascii="Arial Black"/>
                <w:b/>
                <w:sz w:val="11"/>
              </w:rPr>
            </w:pPr>
            <w:r>
              <w:rPr>
                <w:rFonts w:ascii="Arial Black"/>
                <w:b/>
                <w:w w:val="90"/>
                <w:sz w:val="11"/>
              </w:rPr>
              <w:t>Main findings</w:t>
            </w:r>
          </w:p>
        </w:tc>
        <w:tc>
          <w:tcPr>
            <w:tcW w:w="2725" w:type="dxa"/>
          </w:tcPr>
          <w:p w:rsidR="004E7E23" w:rsidRDefault="005B5353">
            <w:pPr>
              <w:pStyle w:val="TableParagraph"/>
              <w:spacing w:before="0" w:line="111" w:lineRule="exact"/>
              <w:ind w:left="20"/>
              <w:rPr>
                <w:rFonts w:ascii="Arial Black"/>
                <w:b/>
                <w:sz w:val="11"/>
              </w:rPr>
            </w:pPr>
            <w:r>
              <w:rPr>
                <w:rFonts w:ascii="Arial Black"/>
                <w:b/>
                <w:w w:val="90"/>
                <w:sz w:val="11"/>
              </w:rPr>
              <w:t>Safety Outcomes</w:t>
            </w:r>
          </w:p>
        </w:tc>
      </w:tr>
      <w:tr w:rsidR="004E7E23">
        <w:trPr>
          <w:trHeight w:val="340"/>
        </w:trPr>
        <w:tc>
          <w:tcPr>
            <w:tcW w:w="826" w:type="dxa"/>
            <w:tcBorders>
              <w:bottom w:val="nil"/>
              <w:right w:val="nil"/>
            </w:tcBorders>
            <w:shd w:val="clear" w:color="auto" w:fill="F2F2F2"/>
          </w:tcPr>
          <w:p w:rsidR="004E7E23" w:rsidRDefault="005B5353">
            <w:pPr>
              <w:pStyle w:val="TableParagraph"/>
              <w:ind w:left="23"/>
              <w:rPr>
                <w:sz w:val="10"/>
              </w:rPr>
            </w:pPr>
            <w:r>
              <w:rPr>
                <w:w w:val="125"/>
                <w:sz w:val="10"/>
              </w:rPr>
              <w:t>Thielman, et al.</w:t>
            </w:r>
          </w:p>
          <w:p w:rsidR="004E7E23" w:rsidRDefault="005B5353">
            <w:pPr>
              <w:pStyle w:val="TableParagraph"/>
              <w:spacing w:before="43"/>
              <w:ind w:left="23"/>
              <w:rPr>
                <w:sz w:val="10"/>
              </w:rPr>
            </w:pPr>
            <w:r>
              <w:rPr>
                <w:w w:val="125"/>
                <w:sz w:val="10"/>
              </w:rPr>
              <w:t xml:space="preserve">2006 </w:t>
            </w:r>
            <w:r>
              <w:rPr>
                <w:w w:val="125"/>
                <w:sz w:val="10"/>
                <w:vertAlign w:val="superscript"/>
              </w:rPr>
              <w:t>133</w:t>
            </w:r>
          </w:p>
        </w:tc>
        <w:tc>
          <w:tcPr>
            <w:tcW w:w="766" w:type="dxa"/>
            <w:tcBorders>
              <w:left w:val="nil"/>
              <w:bottom w:val="nil"/>
            </w:tcBorders>
            <w:shd w:val="clear" w:color="auto" w:fill="F2F2F2"/>
          </w:tcPr>
          <w:p w:rsidR="004E7E23" w:rsidRDefault="005B5353">
            <w:pPr>
              <w:pStyle w:val="TableParagraph"/>
              <w:ind w:left="77" w:right="14"/>
              <w:jc w:val="center"/>
              <w:rPr>
                <w:sz w:val="10"/>
              </w:rPr>
            </w:pPr>
            <w:r>
              <w:rPr>
                <w:w w:val="125"/>
                <w:sz w:val="10"/>
              </w:rPr>
              <w:t>RCT</w:t>
            </w:r>
          </w:p>
          <w:p w:rsidR="004E7E23" w:rsidRDefault="005B5353">
            <w:pPr>
              <w:pStyle w:val="TableParagraph"/>
              <w:spacing w:before="22"/>
              <w:ind w:left="77" w:right="20"/>
              <w:jc w:val="center"/>
              <w:rPr>
                <w:sz w:val="10"/>
              </w:rPr>
            </w:pPr>
            <w:r>
              <w:rPr>
                <w:w w:val="125"/>
                <w:sz w:val="10"/>
              </w:rPr>
              <w:t>(open label)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F2F2F2"/>
          </w:tcPr>
          <w:p w:rsidR="004E7E23" w:rsidRDefault="005B5353">
            <w:pPr>
              <w:pStyle w:val="TableParagraph"/>
              <w:ind w:right="129"/>
              <w:jc w:val="right"/>
              <w:rPr>
                <w:sz w:val="10"/>
              </w:rPr>
            </w:pPr>
            <w:r>
              <w:rPr>
                <w:w w:val="125"/>
                <w:sz w:val="10"/>
              </w:rPr>
              <w:t>CABG after STEMI</w:t>
            </w:r>
          </w:p>
        </w:tc>
        <w:tc>
          <w:tcPr>
            <w:tcW w:w="666" w:type="dxa"/>
            <w:tcBorders>
              <w:bottom w:val="nil"/>
            </w:tcBorders>
            <w:shd w:val="clear" w:color="auto" w:fill="F2F2F2"/>
          </w:tcPr>
          <w:p w:rsidR="004E7E23" w:rsidRDefault="005B5353">
            <w:pPr>
              <w:pStyle w:val="TableParagraph"/>
              <w:ind w:left="157"/>
              <w:rPr>
                <w:sz w:val="10"/>
              </w:rPr>
            </w:pPr>
            <w:r>
              <w:rPr>
                <w:w w:val="125"/>
                <w:sz w:val="10"/>
              </w:rPr>
              <w:t>64 (10)</w:t>
            </w:r>
          </w:p>
        </w:tc>
        <w:tc>
          <w:tcPr>
            <w:tcW w:w="791" w:type="dxa"/>
            <w:tcBorders>
              <w:bottom w:val="nil"/>
            </w:tcBorders>
            <w:shd w:val="clear" w:color="auto" w:fill="F2F2F2"/>
          </w:tcPr>
          <w:p w:rsidR="004E7E23" w:rsidRDefault="005B5353">
            <w:pPr>
              <w:pStyle w:val="TableParagraph"/>
              <w:ind w:left="127" w:right="113"/>
              <w:jc w:val="center"/>
              <w:rPr>
                <w:sz w:val="10"/>
              </w:rPr>
            </w:pPr>
            <w:r>
              <w:rPr>
                <w:w w:val="125"/>
                <w:sz w:val="10"/>
              </w:rPr>
              <w:t>77 (11)</w:t>
            </w:r>
          </w:p>
          <w:p w:rsidR="004E7E23" w:rsidRDefault="005B5353">
            <w:pPr>
              <w:pStyle w:val="TableParagraph"/>
              <w:spacing w:before="22"/>
              <w:ind w:left="115" w:right="113"/>
              <w:jc w:val="center"/>
              <w:rPr>
                <w:sz w:val="10"/>
              </w:rPr>
            </w:pPr>
            <w:r>
              <w:rPr>
                <w:w w:val="125"/>
                <w:sz w:val="10"/>
              </w:rPr>
              <w:t>kg</w:t>
            </w:r>
          </w:p>
        </w:tc>
        <w:tc>
          <w:tcPr>
            <w:tcW w:w="947" w:type="dxa"/>
            <w:tcBorders>
              <w:bottom w:val="nil"/>
            </w:tcBorders>
            <w:shd w:val="clear" w:color="auto" w:fill="F2F2F2"/>
          </w:tcPr>
          <w:p w:rsidR="004E7E23" w:rsidRDefault="005B5353">
            <w:pPr>
              <w:pStyle w:val="TableParagraph"/>
              <w:spacing w:line="285" w:lineRule="auto"/>
              <w:ind w:left="312" w:right="279" w:hanging="21"/>
              <w:rPr>
                <w:sz w:val="10"/>
              </w:rPr>
            </w:pPr>
            <w:r>
              <w:rPr>
                <w:w w:val="125"/>
                <w:sz w:val="10"/>
              </w:rPr>
              <w:t>C1-INH (n=28)</w:t>
            </w:r>
          </w:p>
        </w:tc>
        <w:tc>
          <w:tcPr>
            <w:tcW w:w="770" w:type="dxa"/>
            <w:tcBorders>
              <w:bottom w:val="nil"/>
            </w:tcBorders>
            <w:shd w:val="clear" w:color="auto" w:fill="F2F2F2"/>
          </w:tcPr>
          <w:p w:rsidR="004E7E23" w:rsidRDefault="005B5353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w w:val="125"/>
                <w:sz w:val="10"/>
              </w:rPr>
              <w:t>40 IU/kg</w:t>
            </w:r>
          </w:p>
        </w:tc>
        <w:tc>
          <w:tcPr>
            <w:tcW w:w="853" w:type="dxa"/>
            <w:tcBorders>
              <w:bottom w:val="nil"/>
            </w:tcBorders>
            <w:shd w:val="clear" w:color="auto" w:fill="F2F2F2"/>
          </w:tcPr>
          <w:p w:rsidR="004E7E23" w:rsidRDefault="005B5353">
            <w:pPr>
              <w:pStyle w:val="TableParagraph"/>
              <w:ind w:right="204"/>
              <w:jc w:val="right"/>
              <w:rPr>
                <w:sz w:val="10"/>
              </w:rPr>
            </w:pPr>
            <w:r>
              <w:rPr>
                <w:w w:val="125"/>
                <w:sz w:val="10"/>
              </w:rPr>
              <w:t>121 (44)</w:t>
            </w:r>
          </w:p>
        </w:tc>
        <w:tc>
          <w:tcPr>
            <w:tcW w:w="2517" w:type="dxa"/>
            <w:tcBorders>
              <w:bottom w:val="nil"/>
            </w:tcBorders>
            <w:shd w:val="clear" w:color="auto" w:fill="F2F2F2"/>
          </w:tcPr>
          <w:p w:rsidR="004E7E23" w:rsidRDefault="005B5353">
            <w:pPr>
              <w:pStyle w:val="TableParagraph"/>
              <w:spacing w:line="285" w:lineRule="auto"/>
              <w:ind w:left="20" w:right="180"/>
              <w:rPr>
                <w:sz w:val="10"/>
              </w:rPr>
            </w:pPr>
            <w:r>
              <w:rPr>
                <w:w w:val="125"/>
                <w:sz w:val="10"/>
              </w:rPr>
              <w:t xml:space="preserve">C1-INH level &gt;80% from preop to 48h postop; lower troponin C at 36h if C1-INH given </w:t>
            </w:r>
            <w:r>
              <w:rPr>
                <w:w w:val="125"/>
                <w:sz w:val="10"/>
                <w:u w:val="single"/>
              </w:rPr>
              <w:t>&lt;</w:t>
            </w:r>
            <w:r>
              <w:rPr>
                <w:w w:val="125"/>
                <w:sz w:val="10"/>
              </w:rPr>
              <w:t>6h of</w:t>
            </w:r>
          </w:p>
        </w:tc>
        <w:tc>
          <w:tcPr>
            <w:tcW w:w="2725" w:type="dxa"/>
            <w:tcBorders>
              <w:bottom w:val="nil"/>
            </w:tcBorders>
            <w:shd w:val="clear" w:color="auto" w:fill="F2F2F2"/>
          </w:tcPr>
          <w:p w:rsidR="004E7E23" w:rsidRDefault="005B5353">
            <w:pPr>
              <w:pStyle w:val="TableParagraph"/>
              <w:spacing w:line="285" w:lineRule="auto"/>
              <w:ind w:left="20"/>
              <w:rPr>
                <w:sz w:val="10"/>
              </w:rPr>
            </w:pPr>
            <w:r>
              <w:rPr>
                <w:w w:val="125"/>
                <w:sz w:val="10"/>
              </w:rPr>
              <w:t>No drug related AE's; No difference in 30-day mortality: 14.3% with C1-INH vs. 13.8% in control (NS)</w:t>
            </w:r>
          </w:p>
        </w:tc>
      </w:tr>
      <w:tr w:rsidR="004E7E23">
        <w:trPr>
          <w:trHeight w:val="320"/>
        </w:trPr>
        <w:tc>
          <w:tcPr>
            <w:tcW w:w="1592" w:type="dxa"/>
            <w:gridSpan w:val="2"/>
            <w:tcBorders>
              <w:top w:val="nil"/>
            </w:tcBorders>
          </w:tcPr>
          <w:p w:rsidR="004E7E23" w:rsidRDefault="004E7E23">
            <w:pPr>
              <w:pStyle w:val="TableParagraph"/>
              <w:spacing w:before="0"/>
              <w:rPr>
                <w:rFonts w:ascii="Times"/>
                <w:sz w:val="10"/>
              </w:rPr>
            </w:pPr>
          </w:p>
        </w:tc>
        <w:tc>
          <w:tcPr>
            <w:tcW w:w="1186" w:type="dxa"/>
            <w:tcBorders>
              <w:top w:val="nil"/>
            </w:tcBorders>
          </w:tcPr>
          <w:p w:rsidR="004E7E23" w:rsidRDefault="004E7E23">
            <w:pPr>
              <w:pStyle w:val="TableParagraph"/>
              <w:spacing w:before="0"/>
              <w:rPr>
                <w:rFonts w:ascii="Times"/>
                <w:sz w:val="10"/>
              </w:rPr>
            </w:pPr>
          </w:p>
        </w:tc>
        <w:tc>
          <w:tcPr>
            <w:tcW w:w="666" w:type="dxa"/>
            <w:tcBorders>
              <w:top w:val="nil"/>
            </w:tcBorders>
          </w:tcPr>
          <w:p w:rsidR="004E7E23" w:rsidRDefault="005B5353">
            <w:pPr>
              <w:pStyle w:val="TableParagraph"/>
              <w:spacing w:before="12"/>
              <w:ind w:left="188"/>
              <w:rPr>
                <w:sz w:val="10"/>
              </w:rPr>
            </w:pPr>
            <w:r>
              <w:rPr>
                <w:w w:val="125"/>
                <w:sz w:val="10"/>
              </w:rPr>
              <w:t>65 (9)</w:t>
            </w:r>
          </w:p>
        </w:tc>
        <w:tc>
          <w:tcPr>
            <w:tcW w:w="791" w:type="dxa"/>
            <w:tcBorders>
              <w:top w:val="nil"/>
            </w:tcBorders>
          </w:tcPr>
          <w:p w:rsidR="004E7E23" w:rsidRDefault="005B5353">
            <w:pPr>
              <w:pStyle w:val="TableParagraph"/>
              <w:spacing w:before="12"/>
              <w:ind w:left="127" w:right="113"/>
              <w:jc w:val="center"/>
              <w:rPr>
                <w:sz w:val="10"/>
              </w:rPr>
            </w:pPr>
            <w:r>
              <w:rPr>
                <w:w w:val="125"/>
                <w:sz w:val="10"/>
              </w:rPr>
              <w:t>79 (13)</w:t>
            </w:r>
          </w:p>
          <w:p w:rsidR="004E7E23" w:rsidRDefault="005B5353">
            <w:pPr>
              <w:pStyle w:val="TableParagraph"/>
              <w:spacing w:before="21"/>
              <w:ind w:left="115" w:right="113"/>
              <w:jc w:val="center"/>
              <w:rPr>
                <w:sz w:val="10"/>
              </w:rPr>
            </w:pPr>
            <w:r>
              <w:rPr>
                <w:w w:val="125"/>
                <w:sz w:val="10"/>
              </w:rPr>
              <w:t>kg</w:t>
            </w:r>
          </w:p>
        </w:tc>
        <w:tc>
          <w:tcPr>
            <w:tcW w:w="947" w:type="dxa"/>
            <w:tcBorders>
              <w:top w:val="nil"/>
            </w:tcBorders>
          </w:tcPr>
          <w:p w:rsidR="004E7E23" w:rsidRDefault="005B5353">
            <w:pPr>
              <w:pStyle w:val="TableParagraph"/>
              <w:spacing w:before="12" w:line="285" w:lineRule="auto"/>
              <w:ind w:left="312" w:right="290" w:hanging="21"/>
              <w:rPr>
                <w:sz w:val="10"/>
              </w:rPr>
            </w:pPr>
            <w:r>
              <w:rPr>
                <w:w w:val="125"/>
                <w:sz w:val="10"/>
              </w:rPr>
              <w:t>Control (n=29)</w:t>
            </w:r>
          </w:p>
        </w:tc>
        <w:tc>
          <w:tcPr>
            <w:tcW w:w="770" w:type="dxa"/>
            <w:tcBorders>
              <w:top w:val="nil"/>
            </w:tcBorders>
          </w:tcPr>
          <w:p w:rsidR="004E7E23" w:rsidRDefault="005B5353">
            <w:pPr>
              <w:pStyle w:val="TableParagraph"/>
              <w:spacing w:before="12"/>
              <w:ind w:left="30" w:right="36"/>
              <w:jc w:val="center"/>
              <w:rPr>
                <w:sz w:val="10"/>
              </w:rPr>
            </w:pPr>
            <w:r>
              <w:rPr>
                <w:w w:val="125"/>
                <w:sz w:val="10"/>
              </w:rPr>
              <w:t>N.A.</w:t>
            </w:r>
          </w:p>
        </w:tc>
        <w:tc>
          <w:tcPr>
            <w:tcW w:w="853" w:type="dxa"/>
            <w:tcBorders>
              <w:top w:val="nil"/>
            </w:tcBorders>
          </w:tcPr>
          <w:p w:rsidR="004E7E23" w:rsidRDefault="005B5353">
            <w:pPr>
              <w:pStyle w:val="TableParagraph"/>
              <w:spacing w:before="12"/>
              <w:ind w:right="204"/>
              <w:jc w:val="right"/>
              <w:rPr>
                <w:sz w:val="10"/>
              </w:rPr>
            </w:pPr>
            <w:r>
              <w:rPr>
                <w:w w:val="125"/>
                <w:sz w:val="10"/>
              </w:rPr>
              <w:t>118 (49)</w:t>
            </w:r>
          </w:p>
        </w:tc>
        <w:tc>
          <w:tcPr>
            <w:tcW w:w="2517" w:type="dxa"/>
            <w:tcBorders>
              <w:top w:val="nil"/>
            </w:tcBorders>
          </w:tcPr>
          <w:p w:rsidR="004E7E23" w:rsidRDefault="005B5353">
            <w:pPr>
              <w:pStyle w:val="TableParagraph"/>
              <w:spacing w:before="12" w:line="285" w:lineRule="auto"/>
              <w:ind w:left="20" w:right="11"/>
              <w:rPr>
                <w:sz w:val="10"/>
              </w:rPr>
            </w:pPr>
            <w:r>
              <w:rPr>
                <w:w w:val="125"/>
                <w:sz w:val="10"/>
              </w:rPr>
              <w:t xml:space="preserve">C1-INH level </w:t>
            </w:r>
            <w:r>
              <w:rPr>
                <w:spacing w:val="2"/>
                <w:w w:val="125"/>
                <w:sz w:val="10"/>
              </w:rPr>
              <w:t xml:space="preserve">&lt;70% </w:t>
            </w:r>
            <w:proofErr w:type="spellStart"/>
            <w:r>
              <w:rPr>
                <w:spacing w:val="2"/>
                <w:w w:val="125"/>
                <w:sz w:val="10"/>
              </w:rPr>
              <w:t>beween</w:t>
            </w:r>
            <w:proofErr w:type="spellEnd"/>
            <w:r>
              <w:rPr>
                <w:spacing w:val="2"/>
                <w:w w:val="125"/>
                <w:sz w:val="10"/>
              </w:rPr>
              <w:t xml:space="preserve"> </w:t>
            </w:r>
            <w:r>
              <w:rPr>
                <w:w w:val="125"/>
                <w:sz w:val="10"/>
              </w:rPr>
              <w:t xml:space="preserve">1-16  h  </w:t>
            </w:r>
            <w:r>
              <w:rPr>
                <w:spacing w:val="2"/>
                <w:w w:val="125"/>
                <w:sz w:val="10"/>
              </w:rPr>
              <w:t xml:space="preserve">postop;  </w:t>
            </w:r>
            <w:r>
              <w:rPr>
                <w:w w:val="125"/>
                <w:sz w:val="10"/>
              </w:rPr>
              <w:t xml:space="preserve">trend </w:t>
            </w:r>
            <w:r>
              <w:rPr>
                <w:spacing w:val="2"/>
                <w:w w:val="125"/>
                <w:sz w:val="10"/>
              </w:rPr>
              <w:t>for</w:t>
            </w:r>
            <w:r>
              <w:rPr>
                <w:spacing w:val="3"/>
                <w:w w:val="125"/>
                <w:sz w:val="10"/>
              </w:rPr>
              <w:t xml:space="preserve"> </w:t>
            </w:r>
            <w:r>
              <w:rPr>
                <w:w w:val="125"/>
                <w:sz w:val="10"/>
              </w:rPr>
              <w:t>elevated</w:t>
            </w:r>
            <w:r>
              <w:rPr>
                <w:spacing w:val="14"/>
                <w:w w:val="125"/>
                <w:sz w:val="10"/>
              </w:rPr>
              <w:t xml:space="preserve"> </w:t>
            </w:r>
            <w:r>
              <w:rPr>
                <w:w w:val="125"/>
                <w:sz w:val="10"/>
              </w:rPr>
              <w:t>C4</w:t>
            </w:r>
            <w:r>
              <w:rPr>
                <w:spacing w:val="13"/>
                <w:w w:val="125"/>
                <w:sz w:val="10"/>
              </w:rPr>
              <w:t xml:space="preserve"> </w:t>
            </w:r>
            <w:r>
              <w:rPr>
                <w:w w:val="125"/>
                <w:sz w:val="10"/>
              </w:rPr>
              <w:t>fragment</w:t>
            </w:r>
            <w:r>
              <w:rPr>
                <w:spacing w:val="11"/>
                <w:w w:val="125"/>
                <w:sz w:val="10"/>
              </w:rPr>
              <w:t xml:space="preserve"> </w:t>
            </w:r>
            <w:r>
              <w:rPr>
                <w:w w:val="125"/>
                <w:sz w:val="10"/>
              </w:rPr>
              <w:t>in</w:t>
            </w:r>
            <w:r>
              <w:rPr>
                <w:spacing w:val="14"/>
                <w:w w:val="125"/>
                <w:sz w:val="10"/>
              </w:rPr>
              <w:t xml:space="preserve"> </w:t>
            </w:r>
            <w:r>
              <w:rPr>
                <w:w w:val="125"/>
                <w:sz w:val="10"/>
              </w:rPr>
              <w:t>24-48</w:t>
            </w:r>
            <w:r>
              <w:rPr>
                <w:spacing w:val="13"/>
                <w:w w:val="125"/>
                <w:sz w:val="10"/>
              </w:rPr>
              <w:t xml:space="preserve"> </w:t>
            </w:r>
            <w:r>
              <w:rPr>
                <w:w w:val="125"/>
                <w:sz w:val="10"/>
              </w:rPr>
              <w:t>h</w:t>
            </w:r>
            <w:r>
              <w:rPr>
                <w:spacing w:val="14"/>
                <w:w w:val="125"/>
                <w:sz w:val="10"/>
              </w:rPr>
              <w:t xml:space="preserve"> </w:t>
            </w:r>
            <w:r>
              <w:rPr>
                <w:spacing w:val="-3"/>
                <w:w w:val="125"/>
                <w:sz w:val="10"/>
              </w:rPr>
              <w:t>(NS</w:t>
            </w:r>
            <w:r>
              <w:rPr>
                <w:spacing w:val="13"/>
                <w:w w:val="125"/>
                <w:sz w:val="10"/>
              </w:rPr>
              <w:t xml:space="preserve"> </w:t>
            </w:r>
            <w:r>
              <w:rPr>
                <w:w w:val="125"/>
                <w:sz w:val="10"/>
              </w:rPr>
              <w:t>vs.C1-INH)</w:t>
            </w:r>
          </w:p>
        </w:tc>
        <w:tc>
          <w:tcPr>
            <w:tcW w:w="2725" w:type="dxa"/>
            <w:tcBorders>
              <w:top w:val="nil"/>
            </w:tcBorders>
          </w:tcPr>
          <w:p w:rsidR="004E7E23" w:rsidRDefault="004E7E23">
            <w:pPr>
              <w:pStyle w:val="TableParagraph"/>
              <w:spacing w:before="0"/>
              <w:rPr>
                <w:rFonts w:ascii="Times"/>
                <w:sz w:val="10"/>
              </w:rPr>
            </w:pPr>
          </w:p>
        </w:tc>
      </w:tr>
      <w:tr w:rsidR="004E7E23">
        <w:trPr>
          <w:trHeight w:val="403"/>
        </w:trPr>
        <w:tc>
          <w:tcPr>
            <w:tcW w:w="826" w:type="dxa"/>
            <w:tcBorders>
              <w:bottom w:val="nil"/>
              <w:right w:val="nil"/>
            </w:tcBorders>
            <w:shd w:val="clear" w:color="auto" w:fill="F2F2F2"/>
          </w:tcPr>
          <w:p w:rsidR="004E7E23" w:rsidRDefault="005B5353">
            <w:pPr>
              <w:pStyle w:val="TableParagraph"/>
              <w:spacing w:line="331" w:lineRule="auto"/>
              <w:ind w:left="23"/>
              <w:rPr>
                <w:sz w:val="10"/>
              </w:rPr>
            </w:pPr>
            <w:proofErr w:type="spellStart"/>
            <w:r>
              <w:rPr>
                <w:w w:val="125"/>
                <w:sz w:val="10"/>
              </w:rPr>
              <w:t>Bokesch</w:t>
            </w:r>
            <w:proofErr w:type="spellEnd"/>
            <w:r>
              <w:rPr>
                <w:w w:val="125"/>
                <w:sz w:val="10"/>
              </w:rPr>
              <w:t xml:space="preserve">, et al. 2012 </w:t>
            </w:r>
            <w:r>
              <w:rPr>
                <w:w w:val="125"/>
                <w:sz w:val="10"/>
                <w:vertAlign w:val="superscript"/>
              </w:rPr>
              <w:t>137</w:t>
            </w:r>
          </w:p>
        </w:tc>
        <w:tc>
          <w:tcPr>
            <w:tcW w:w="766" w:type="dxa"/>
            <w:tcBorders>
              <w:left w:val="nil"/>
              <w:bottom w:val="nil"/>
            </w:tcBorders>
            <w:shd w:val="clear" w:color="auto" w:fill="F2F2F2"/>
          </w:tcPr>
          <w:p w:rsidR="004E7E23" w:rsidRDefault="005B5353">
            <w:pPr>
              <w:pStyle w:val="TableParagraph"/>
              <w:ind w:left="77" w:right="14"/>
              <w:jc w:val="center"/>
              <w:rPr>
                <w:sz w:val="10"/>
              </w:rPr>
            </w:pPr>
            <w:r>
              <w:rPr>
                <w:w w:val="125"/>
                <w:sz w:val="10"/>
              </w:rPr>
              <w:t>RCT</w:t>
            </w:r>
          </w:p>
          <w:p w:rsidR="004E7E23" w:rsidRDefault="005B5353">
            <w:pPr>
              <w:pStyle w:val="TableParagraph"/>
              <w:spacing w:before="22"/>
              <w:ind w:left="77" w:right="20"/>
              <w:jc w:val="center"/>
              <w:rPr>
                <w:sz w:val="10"/>
              </w:rPr>
            </w:pPr>
            <w:r>
              <w:rPr>
                <w:w w:val="125"/>
                <w:sz w:val="10"/>
              </w:rPr>
              <w:t>(double blind)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F2F2F2"/>
          </w:tcPr>
          <w:p w:rsidR="004E7E23" w:rsidRDefault="005B5353">
            <w:pPr>
              <w:pStyle w:val="TableParagraph"/>
              <w:spacing w:line="285" w:lineRule="auto"/>
              <w:ind w:left="106" w:hanging="52"/>
              <w:rPr>
                <w:sz w:val="10"/>
              </w:rPr>
            </w:pPr>
            <w:r>
              <w:rPr>
                <w:w w:val="125"/>
                <w:sz w:val="10"/>
              </w:rPr>
              <w:t>Mixed Cardiac Surgery (incl. multiple valves,</w:t>
            </w:r>
          </w:p>
          <w:p w:rsidR="004E7E23" w:rsidRDefault="005B5353">
            <w:pPr>
              <w:pStyle w:val="TableParagraph"/>
              <w:spacing w:before="1" w:line="103" w:lineRule="exact"/>
              <w:ind w:left="33"/>
              <w:rPr>
                <w:sz w:val="10"/>
              </w:rPr>
            </w:pPr>
            <w:r>
              <w:rPr>
                <w:w w:val="125"/>
                <w:sz w:val="10"/>
              </w:rPr>
              <w:t>aortic repl., and CABG)</w:t>
            </w:r>
          </w:p>
        </w:tc>
        <w:tc>
          <w:tcPr>
            <w:tcW w:w="666" w:type="dxa"/>
            <w:tcBorders>
              <w:bottom w:val="nil"/>
            </w:tcBorders>
            <w:shd w:val="clear" w:color="auto" w:fill="F2F2F2"/>
          </w:tcPr>
          <w:p w:rsidR="004E7E23" w:rsidRDefault="005B5353">
            <w:pPr>
              <w:pStyle w:val="TableParagraph"/>
              <w:ind w:left="95"/>
              <w:rPr>
                <w:sz w:val="10"/>
              </w:rPr>
            </w:pPr>
            <w:r>
              <w:rPr>
                <w:w w:val="125"/>
                <w:sz w:val="10"/>
              </w:rPr>
              <w:t>69.6 (8.2)</w:t>
            </w:r>
          </w:p>
        </w:tc>
        <w:tc>
          <w:tcPr>
            <w:tcW w:w="791" w:type="dxa"/>
            <w:tcBorders>
              <w:bottom w:val="nil"/>
            </w:tcBorders>
            <w:shd w:val="clear" w:color="auto" w:fill="F2F2F2"/>
          </w:tcPr>
          <w:p w:rsidR="004E7E23" w:rsidRDefault="005B5353">
            <w:pPr>
              <w:pStyle w:val="TableParagraph"/>
              <w:ind w:left="127" w:right="113"/>
              <w:jc w:val="center"/>
              <w:rPr>
                <w:sz w:val="10"/>
              </w:rPr>
            </w:pPr>
            <w:r>
              <w:rPr>
                <w:w w:val="125"/>
                <w:sz w:val="10"/>
              </w:rPr>
              <w:t>78.3 (13.2)</w:t>
            </w:r>
          </w:p>
          <w:p w:rsidR="004E7E23" w:rsidRDefault="005B5353">
            <w:pPr>
              <w:pStyle w:val="TableParagraph"/>
              <w:spacing w:before="22"/>
              <w:ind w:left="115" w:right="113"/>
              <w:jc w:val="center"/>
              <w:rPr>
                <w:sz w:val="10"/>
              </w:rPr>
            </w:pPr>
            <w:r>
              <w:rPr>
                <w:w w:val="125"/>
                <w:sz w:val="10"/>
              </w:rPr>
              <w:t>kg</w:t>
            </w:r>
          </w:p>
        </w:tc>
        <w:tc>
          <w:tcPr>
            <w:tcW w:w="947" w:type="dxa"/>
            <w:tcBorders>
              <w:bottom w:val="nil"/>
            </w:tcBorders>
            <w:shd w:val="clear" w:color="auto" w:fill="F2F2F2"/>
          </w:tcPr>
          <w:p w:rsidR="004E7E23" w:rsidRDefault="005B5353">
            <w:pPr>
              <w:pStyle w:val="TableParagraph"/>
              <w:spacing w:line="285" w:lineRule="auto"/>
              <w:ind w:left="281" w:right="32" w:hanging="84"/>
              <w:rPr>
                <w:sz w:val="10"/>
              </w:rPr>
            </w:pPr>
            <w:proofErr w:type="spellStart"/>
            <w:r>
              <w:rPr>
                <w:w w:val="125"/>
                <w:sz w:val="10"/>
              </w:rPr>
              <w:t>Ecallantide</w:t>
            </w:r>
            <w:proofErr w:type="spellEnd"/>
            <w:r>
              <w:rPr>
                <w:w w:val="125"/>
                <w:sz w:val="10"/>
              </w:rPr>
              <w:t xml:space="preserve"> (n=109)</w:t>
            </w:r>
          </w:p>
        </w:tc>
        <w:tc>
          <w:tcPr>
            <w:tcW w:w="770" w:type="dxa"/>
            <w:tcBorders>
              <w:bottom w:val="nil"/>
            </w:tcBorders>
            <w:shd w:val="clear" w:color="auto" w:fill="F2F2F2"/>
          </w:tcPr>
          <w:p w:rsidR="004E7E23" w:rsidRDefault="005B5353">
            <w:pPr>
              <w:pStyle w:val="TableParagraph"/>
              <w:ind w:left="20"/>
              <w:rPr>
                <w:sz w:val="10"/>
              </w:rPr>
            </w:pPr>
            <w:r>
              <w:rPr>
                <w:w w:val="125"/>
                <w:sz w:val="10"/>
              </w:rPr>
              <w:t xml:space="preserve">130 µg/kg </w:t>
            </w:r>
            <w:proofErr w:type="spellStart"/>
            <w:r>
              <w:rPr>
                <w:w w:val="125"/>
                <w:sz w:val="10"/>
              </w:rPr>
              <w:t>i.v.</w:t>
            </w:r>
            <w:proofErr w:type="spellEnd"/>
            <w:r>
              <w:rPr>
                <w:w w:val="125"/>
                <w:sz w:val="10"/>
              </w:rPr>
              <w:t>+</w:t>
            </w:r>
          </w:p>
          <w:p w:rsidR="004E7E23" w:rsidRDefault="005B5353">
            <w:pPr>
              <w:pStyle w:val="TableParagraph"/>
              <w:spacing w:before="5" w:line="130" w:lineRule="atLeast"/>
              <w:ind w:left="197" w:hanging="115"/>
              <w:rPr>
                <w:sz w:val="10"/>
              </w:rPr>
            </w:pPr>
            <w:r>
              <w:rPr>
                <w:w w:val="125"/>
                <w:sz w:val="10"/>
              </w:rPr>
              <w:t>infusion 140 µg/kg/h</w:t>
            </w:r>
          </w:p>
        </w:tc>
        <w:tc>
          <w:tcPr>
            <w:tcW w:w="853" w:type="dxa"/>
            <w:tcBorders>
              <w:bottom w:val="nil"/>
            </w:tcBorders>
            <w:shd w:val="clear" w:color="auto" w:fill="F2F2F2"/>
          </w:tcPr>
          <w:p w:rsidR="004E7E23" w:rsidRDefault="005B5353">
            <w:pPr>
              <w:pStyle w:val="TableParagraph"/>
              <w:ind w:right="152"/>
              <w:jc w:val="right"/>
              <w:rPr>
                <w:sz w:val="10"/>
              </w:rPr>
            </w:pPr>
            <w:r>
              <w:rPr>
                <w:w w:val="125"/>
                <w:sz w:val="10"/>
              </w:rPr>
              <w:t>129 (65.1)</w:t>
            </w:r>
          </w:p>
        </w:tc>
        <w:tc>
          <w:tcPr>
            <w:tcW w:w="2517" w:type="dxa"/>
            <w:tcBorders>
              <w:bottom w:val="nil"/>
            </w:tcBorders>
            <w:shd w:val="clear" w:color="auto" w:fill="F2F2F2"/>
          </w:tcPr>
          <w:p w:rsidR="004E7E23" w:rsidRDefault="005B5353">
            <w:pPr>
              <w:pStyle w:val="TableParagraph"/>
              <w:spacing w:line="285" w:lineRule="auto"/>
              <w:ind w:left="20"/>
              <w:rPr>
                <w:sz w:val="10"/>
              </w:rPr>
            </w:pPr>
            <w:r>
              <w:rPr>
                <w:w w:val="125"/>
                <w:sz w:val="10"/>
              </w:rPr>
              <w:t xml:space="preserve">Increased RBC transfusion with </w:t>
            </w:r>
            <w:proofErr w:type="spellStart"/>
            <w:r>
              <w:rPr>
                <w:w w:val="125"/>
                <w:sz w:val="10"/>
              </w:rPr>
              <w:t>ecallantide</w:t>
            </w:r>
            <w:proofErr w:type="spellEnd"/>
            <w:r>
              <w:rPr>
                <w:w w:val="125"/>
                <w:sz w:val="10"/>
              </w:rPr>
              <w:t xml:space="preserve"> vs. TXA (median, 900 vs. 300 ml, P&lt;0.001)</w:t>
            </w:r>
          </w:p>
        </w:tc>
        <w:tc>
          <w:tcPr>
            <w:tcW w:w="2725" w:type="dxa"/>
            <w:tcBorders>
              <w:bottom w:val="nil"/>
            </w:tcBorders>
            <w:shd w:val="clear" w:color="auto" w:fill="F2F2F2"/>
          </w:tcPr>
          <w:p w:rsidR="004E7E23" w:rsidRDefault="005B5353">
            <w:pPr>
              <w:pStyle w:val="TableParagraph"/>
              <w:spacing w:line="285" w:lineRule="auto"/>
              <w:ind w:left="20" w:right="140"/>
              <w:rPr>
                <w:sz w:val="10"/>
              </w:rPr>
            </w:pPr>
            <w:r>
              <w:rPr>
                <w:w w:val="125"/>
                <w:sz w:val="10"/>
              </w:rPr>
              <w:t xml:space="preserve">Higher 30-day mortality: 12% with </w:t>
            </w:r>
            <w:proofErr w:type="spellStart"/>
            <w:r>
              <w:rPr>
                <w:w w:val="125"/>
                <w:sz w:val="10"/>
              </w:rPr>
              <w:t>ecallantide</w:t>
            </w:r>
            <w:proofErr w:type="spellEnd"/>
            <w:r>
              <w:rPr>
                <w:w w:val="125"/>
                <w:sz w:val="10"/>
              </w:rPr>
              <w:t xml:space="preserve"> vs. 4% with TXA (P=0.041); early termination of the RCT</w:t>
            </w:r>
          </w:p>
        </w:tc>
      </w:tr>
      <w:tr w:rsidR="004E7E23">
        <w:trPr>
          <w:trHeight w:val="392"/>
        </w:trPr>
        <w:tc>
          <w:tcPr>
            <w:tcW w:w="1592" w:type="dxa"/>
            <w:gridSpan w:val="2"/>
            <w:tcBorders>
              <w:top w:val="nil"/>
            </w:tcBorders>
          </w:tcPr>
          <w:p w:rsidR="004E7E23" w:rsidRDefault="004E7E23">
            <w:pPr>
              <w:pStyle w:val="TableParagraph"/>
              <w:spacing w:before="0"/>
              <w:rPr>
                <w:rFonts w:ascii="Times"/>
                <w:sz w:val="10"/>
              </w:rPr>
            </w:pPr>
          </w:p>
        </w:tc>
        <w:tc>
          <w:tcPr>
            <w:tcW w:w="1186" w:type="dxa"/>
            <w:tcBorders>
              <w:top w:val="nil"/>
            </w:tcBorders>
          </w:tcPr>
          <w:p w:rsidR="004E7E23" w:rsidRDefault="004E7E23">
            <w:pPr>
              <w:pStyle w:val="TableParagraph"/>
              <w:spacing w:before="0"/>
              <w:rPr>
                <w:rFonts w:ascii="Times"/>
                <w:sz w:val="10"/>
              </w:rPr>
            </w:pPr>
          </w:p>
        </w:tc>
        <w:tc>
          <w:tcPr>
            <w:tcW w:w="666" w:type="dxa"/>
            <w:tcBorders>
              <w:top w:val="nil"/>
            </w:tcBorders>
          </w:tcPr>
          <w:p w:rsidR="004E7E23" w:rsidRDefault="005B5353">
            <w:pPr>
              <w:pStyle w:val="TableParagraph"/>
              <w:spacing w:before="12"/>
              <w:ind w:left="65" w:right="50"/>
              <w:jc w:val="center"/>
              <w:rPr>
                <w:sz w:val="10"/>
              </w:rPr>
            </w:pPr>
            <w:r>
              <w:rPr>
                <w:w w:val="125"/>
                <w:sz w:val="10"/>
              </w:rPr>
              <w:t>66.8 (10.8)</w:t>
            </w:r>
          </w:p>
          <w:p w:rsidR="004E7E23" w:rsidRDefault="005B5353">
            <w:pPr>
              <w:pStyle w:val="TableParagraph"/>
              <w:spacing w:before="21"/>
              <w:ind w:left="65" w:right="44"/>
              <w:jc w:val="center"/>
              <w:rPr>
                <w:sz w:val="10"/>
              </w:rPr>
            </w:pPr>
            <w:proofErr w:type="spellStart"/>
            <w:r>
              <w:rPr>
                <w:w w:val="125"/>
                <w:sz w:val="10"/>
              </w:rPr>
              <w:t>yr</w:t>
            </w:r>
            <w:proofErr w:type="spellEnd"/>
          </w:p>
        </w:tc>
        <w:tc>
          <w:tcPr>
            <w:tcW w:w="791" w:type="dxa"/>
            <w:tcBorders>
              <w:top w:val="nil"/>
            </w:tcBorders>
          </w:tcPr>
          <w:p w:rsidR="004E7E23" w:rsidRDefault="005B5353">
            <w:pPr>
              <w:pStyle w:val="TableParagraph"/>
              <w:spacing w:before="12"/>
              <w:ind w:left="127" w:right="113"/>
              <w:jc w:val="center"/>
              <w:rPr>
                <w:sz w:val="10"/>
              </w:rPr>
            </w:pPr>
            <w:r>
              <w:rPr>
                <w:w w:val="125"/>
                <w:sz w:val="10"/>
              </w:rPr>
              <w:t>81.0 (15.7)</w:t>
            </w:r>
          </w:p>
          <w:p w:rsidR="004E7E23" w:rsidRDefault="005B5353">
            <w:pPr>
              <w:pStyle w:val="TableParagraph"/>
              <w:spacing w:before="21"/>
              <w:ind w:left="115" w:right="113"/>
              <w:jc w:val="center"/>
              <w:rPr>
                <w:sz w:val="10"/>
              </w:rPr>
            </w:pPr>
            <w:r>
              <w:rPr>
                <w:w w:val="125"/>
                <w:sz w:val="10"/>
              </w:rPr>
              <w:t>kg</w:t>
            </w:r>
          </w:p>
        </w:tc>
        <w:tc>
          <w:tcPr>
            <w:tcW w:w="947" w:type="dxa"/>
            <w:tcBorders>
              <w:top w:val="nil"/>
            </w:tcBorders>
          </w:tcPr>
          <w:p w:rsidR="004E7E23" w:rsidRDefault="005B5353">
            <w:pPr>
              <w:pStyle w:val="TableParagraph"/>
              <w:spacing w:before="12" w:line="285" w:lineRule="auto"/>
              <w:ind w:left="281" w:right="32" w:firstLine="83"/>
              <w:rPr>
                <w:sz w:val="10"/>
              </w:rPr>
            </w:pPr>
            <w:r>
              <w:rPr>
                <w:w w:val="125"/>
                <w:sz w:val="10"/>
              </w:rPr>
              <w:t>TXA (n=109)</w:t>
            </w:r>
          </w:p>
        </w:tc>
        <w:tc>
          <w:tcPr>
            <w:tcW w:w="770" w:type="dxa"/>
            <w:tcBorders>
              <w:top w:val="nil"/>
            </w:tcBorders>
          </w:tcPr>
          <w:p w:rsidR="004E7E23" w:rsidRDefault="005B5353">
            <w:pPr>
              <w:pStyle w:val="TableParagraph"/>
              <w:spacing w:before="12" w:line="285" w:lineRule="auto"/>
              <w:ind w:left="124" w:hanging="21"/>
              <w:rPr>
                <w:sz w:val="10"/>
              </w:rPr>
            </w:pPr>
            <w:r>
              <w:rPr>
                <w:w w:val="125"/>
                <w:sz w:val="10"/>
              </w:rPr>
              <w:t>Two dosing regimen (*)</w:t>
            </w:r>
          </w:p>
        </w:tc>
        <w:tc>
          <w:tcPr>
            <w:tcW w:w="853" w:type="dxa"/>
            <w:tcBorders>
              <w:top w:val="nil"/>
            </w:tcBorders>
          </w:tcPr>
          <w:p w:rsidR="004E7E23" w:rsidRDefault="005B5353">
            <w:pPr>
              <w:pStyle w:val="TableParagraph"/>
              <w:spacing w:before="12"/>
              <w:ind w:right="152"/>
              <w:jc w:val="right"/>
              <w:rPr>
                <w:sz w:val="10"/>
              </w:rPr>
            </w:pPr>
            <w:r>
              <w:rPr>
                <w:w w:val="125"/>
                <w:sz w:val="10"/>
              </w:rPr>
              <w:t>130 (50.9)</w:t>
            </w:r>
          </w:p>
        </w:tc>
        <w:tc>
          <w:tcPr>
            <w:tcW w:w="2517" w:type="dxa"/>
            <w:tcBorders>
              <w:top w:val="nil"/>
            </w:tcBorders>
          </w:tcPr>
          <w:p w:rsidR="004E7E23" w:rsidRDefault="005B5353">
            <w:pPr>
              <w:pStyle w:val="TableParagraph"/>
              <w:spacing w:before="12" w:line="285" w:lineRule="auto"/>
              <w:ind w:left="20"/>
              <w:rPr>
                <w:sz w:val="10"/>
              </w:rPr>
            </w:pPr>
            <w:r>
              <w:rPr>
                <w:w w:val="125"/>
                <w:sz w:val="10"/>
              </w:rPr>
              <w:t>High-dose TXA group received less RBCs than low- dose group (median, zero vs. 400 ml, P=0.008)</w:t>
            </w:r>
          </w:p>
        </w:tc>
        <w:tc>
          <w:tcPr>
            <w:tcW w:w="2725" w:type="dxa"/>
            <w:tcBorders>
              <w:top w:val="nil"/>
            </w:tcBorders>
          </w:tcPr>
          <w:p w:rsidR="004E7E23" w:rsidRDefault="004E7E23">
            <w:pPr>
              <w:pStyle w:val="TableParagraph"/>
              <w:spacing w:before="0"/>
              <w:rPr>
                <w:rFonts w:ascii="Times"/>
                <w:sz w:val="10"/>
              </w:rPr>
            </w:pPr>
          </w:p>
        </w:tc>
      </w:tr>
      <w:tr w:rsidR="004E7E23">
        <w:trPr>
          <w:trHeight w:val="403"/>
        </w:trPr>
        <w:tc>
          <w:tcPr>
            <w:tcW w:w="826" w:type="dxa"/>
            <w:tcBorders>
              <w:bottom w:val="nil"/>
              <w:right w:val="nil"/>
            </w:tcBorders>
            <w:shd w:val="clear" w:color="auto" w:fill="F2F2F2"/>
          </w:tcPr>
          <w:p w:rsidR="004E7E23" w:rsidRDefault="005B5353">
            <w:pPr>
              <w:pStyle w:val="TableParagraph"/>
              <w:spacing w:line="331" w:lineRule="auto"/>
              <w:ind w:left="23"/>
              <w:rPr>
                <w:sz w:val="10"/>
              </w:rPr>
            </w:pPr>
            <w:r>
              <w:rPr>
                <w:w w:val="125"/>
                <w:sz w:val="10"/>
              </w:rPr>
              <w:t xml:space="preserve">Balaguer, et al. 2013 </w:t>
            </w:r>
            <w:r>
              <w:rPr>
                <w:w w:val="125"/>
                <w:sz w:val="10"/>
                <w:vertAlign w:val="superscript"/>
              </w:rPr>
              <w:t>141</w:t>
            </w:r>
          </w:p>
        </w:tc>
        <w:tc>
          <w:tcPr>
            <w:tcW w:w="766" w:type="dxa"/>
            <w:tcBorders>
              <w:left w:val="nil"/>
              <w:bottom w:val="nil"/>
            </w:tcBorders>
            <w:shd w:val="clear" w:color="auto" w:fill="F2F2F2"/>
          </w:tcPr>
          <w:p w:rsidR="004E7E23" w:rsidRDefault="005B5353">
            <w:pPr>
              <w:pStyle w:val="TableParagraph"/>
              <w:ind w:left="77" w:right="14"/>
              <w:jc w:val="center"/>
              <w:rPr>
                <w:sz w:val="10"/>
              </w:rPr>
            </w:pPr>
            <w:r>
              <w:rPr>
                <w:w w:val="125"/>
                <w:sz w:val="10"/>
              </w:rPr>
              <w:t>RCT</w:t>
            </w:r>
          </w:p>
          <w:p w:rsidR="004E7E23" w:rsidRDefault="005B5353">
            <w:pPr>
              <w:pStyle w:val="TableParagraph"/>
              <w:spacing w:before="22"/>
              <w:ind w:left="77" w:right="20"/>
              <w:jc w:val="center"/>
              <w:rPr>
                <w:sz w:val="10"/>
              </w:rPr>
            </w:pPr>
            <w:r>
              <w:rPr>
                <w:w w:val="125"/>
                <w:sz w:val="10"/>
              </w:rPr>
              <w:t>(double blind)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F2F2F2"/>
          </w:tcPr>
          <w:p w:rsidR="004E7E23" w:rsidRDefault="005B5353">
            <w:pPr>
              <w:pStyle w:val="TableParagraph"/>
              <w:spacing w:line="285" w:lineRule="auto"/>
              <w:ind w:left="22" w:right="13" w:firstLine="11"/>
              <w:jc w:val="center"/>
              <w:rPr>
                <w:sz w:val="10"/>
              </w:rPr>
            </w:pPr>
            <w:r>
              <w:rPr>
                <w:w w:val="125"/>
                <w:sz w:val="10"/>
              </w:rPr>
              <w:t>Mixed Cardiac Surgery (mostly valves and 10%</w:t>
            </w:r>
          </w:p>
          <w:p w:rsidR="004E7E23" w:rsidRDefault="005B5353">
            <w:pPr>
              <w:pStyle w:val="TableParagraph"/>
              <w:spacing w:before="1" w:line="103" w:lineRule="exact"/>
              <w:ind w:left="385" w:right="363"/>
              <w:jc w:val="center"/>
              <w:rPr>
                <w:sz w:val="10"/>
              </w:rPr>
            </w:pPr>
            <w:r>
              <w:rPr>
                <w:w w:val="125"/>
                <w:sz w:val="10"/>
              </w:rPr>
              <w:t>CABG)</w:t>
            </w:r>
          </w:p>
        </w:tc>
        <w:tc>
          <w:tcPr>
            <w:tcW w:w="666" w:type="dxa"/>
            <w:tcBorders>
              <w:bottom w:val="nil"/>
            </w:tcBorders>
            <w:shd w:val="clear" w:color="auto" w:fill="F2F2F2"/>
          </w:tcPr>
          <w:p w:rsidR="004E7E23" w:rsidRDefault="005B5353">
            <w:pPr>
              <w:pStyle w:val="TableParagraph"/>
              <w:ind w:left="65" w:right="50"/>
              <w:jc w:val="center"/>
              <w:rPr>
                <w:sz w:val="10"/>
              </w:rPr>
            </w:pPr>
            <w:r>
              <w:rPr>
                <w:w w:val="125"/>
                <w:sz w:val="10"/>
              </w:rPr>
              <w:t>61.0 (2.0)</w:t>
            </w:r>
          </w:p>
          <w:p w:rsidR="004E7E23" w:rsidRDefault="005B5353">
            <w:pPr>
              <w:pStyle w:val="TableParagraph"/>
              <w:spacing w:before="22"/>
              <w:ind w:left="65" w:right="44"/>
              <w:jc w:val="center"/>
              <w:rPr>
                <w:sz w:val="10"/>
              </w:rPr>
            </w:pPr>
            <w:proofErr w:type="spellStart"/>
            <w:r>
              <w:rPr>
                <w:w w:val="125"/>
                <w:sz w:val="10"/>
              </w:rPr>
              <w:t>yr</w:t>
            </w:r>
            <w:proofErr w:type="spellEnd"/>
          </w:p>
        </w:tc>
        <w:tc>
          <w:tcPr>
            <w:tcW w:w="791" w:type="dxa"/>
            <w:tcBorders>
              <w:bottom w:val="nil"/>
            </w:tcBorders>
            <w:shd w:val="clear" w:color="auto" w:fill="F2F2F2"/>
          </w:tcPr>
          <w:p w:rsidR="004E7E23" w:rsidRDefault="005B5353">
            <w:pPr>
              <w:pStyle w:val="TableParagraph"/>
              <w:ind w:left="157"/>
              <w:rPr>
                <w:sz w:val="10"/>
              </w:rPr>
            </w:pPr>
            <w:r>
              <w:rPr>
                <w:w w:val="125"/>
                <w:sz w:val="10"/>
              </w:rPr>
              <w:t>28.3 (0.9)</w:t>
            </w:r>
          </w:p>
          <w:p w:rsidR="004E7E23" w:rsidRDefault="005B5353">
            <w:pPr>
              <w:pStyle w:val="TableParagraph"/>
              <w:spacing w:before="22"/>
              <w:ind w:left="250"/>
              <w:rPr>
                <w:sz w:val="10"/>
              </w:rPr>
            </w:pPr>
            <w:r>
              <w:rPr>
                <w:w w:val="125"/>
                <w:sz w:val="10"/>
              </w:rPr>
              <w:t>kg/m2</w:t>
            </w:r>
          </w:p>
        </w:tc>
        <w:tc>
          <w:tcPr>
            <w:tcW w:w="947" w:type="dxa"/>
            <w:tcBorders>
              <w:bottom w:val="nil"/>
            </w:tcBorders>
            <w:shd w:val="clear" w:color="auto" w:fill="F2F2F2"/>
          </w:tcPr>
          <w:p w:rsidR="004E7E23" w:rsidRDefault="005B5353">
            <w:pPr>
              <w:pStyle w:val="TableParagraph"/>
              <w:spacing w:line="285" w:lineRule="auto"/>
              <w:ind w:left="312" w:right="32" w:hanging="52"/>
              <w:rPr>
                <w:sz w:val="10"/>
              </w:rPr>
            </w:pPr>
            <w:proofErr w:type="spellStart"/>
            <w:r>
              <w:rPr>
                <w:w w:val="125"/>
                <w:sz w:val="10"/>
              </w:rPr>
              <w:t>Icatibant</w:t>
            </w:r>
            <w:proofErr w:type="spellEnd"/>
            <w:r>
              <w:rPr>
                <w:w w:val="125"/>
                <w:sz w:val="10"/>
              </w:rPr>
              <w:t xml:space="preserve"> (n=40)</w:t>
            </w:r>
          </w:p>
        </w:tc>
        <w:tc>
          <w:tcPr>
            <w:tcW w:w="770" w:type="dxa"/>
            <w:tcBorders>
              <w:bottom w:val="nil"/>
            </w:tcBorders>
            <w:shd w:val="clear" w:color="auto" w:fill="F2F2F2"/>
          </w:tcPr>
          <w:p w:rsidR="004E7E23" w:rsidRDefault="005B5353">
            <w:pPr>
              <w:pStyle w:val="TableParagraph"/>
              <w:spacing w:line="285" w:lineRule="auto"/>
              <w:ind w:left="31" w:right="36"/>
              <w:jc w:val="center"/>
              <w:rPr>
                <w:sz w:val="10"/>
              </w:rPr>
            </w:pPr>
            <w:r>
              <w:rPr>
                <w:w w:val="125"/>
                <w:sz w:val="10"/>
              </w:rPr>
              <w:t xml:space="preserve">22 µg/kg </w:t>
            </w:r>
            <w:proofErr w:type="spellStart"/>
            <w:r>
              <w:rPr>
                <w:w w:val="125"/>
                <w:sz w:val="10"/>
              </w:rPr>
              <w:t>i.v.</w:t>
            </w:r>
            <w:proofErr w:type="spellEnd"/>
            <w:r>
              <w:rPr>
                <w:w w:val="125"/>
                <w:sz w:val="10"/>
              </w:rPr>
              <w:t xml:space="preserve"> + infusion at 18</w:t>
            </w:r>
          </w:p>
          <w:p w:rsidR="004E7E23" w:rsidRDefault="005B5353">
            <w:pPr>
              <w:pStyle w:val="TableParagraph"/>
              <w:spacing w:before="1" w:line="103" w:lineRule="exact"/>
              <w:ind w:left="31" w:right="31"/>
              <w:jc w:val="center"/>
              <w:rPr>
                <w:sz w:val="10"/>
              </w:rPr>
            </w:pPr>
            <w:r>
              <w:rPr>
                <w:w w:val="125"/>
                <w:sz w:val="10"/>
              </w:rPr>
              <w:t>µg/kg/h</w:t>
            </w:r>
          </w:p>
        </w:tc>
        <w:tc>
          <w:tcPr>
            <w:tcW w:w="853" w:type="dxa"/>
            <w:tcBorders>
              <w:bottom w:val="nil"/>
            </w:tcBorders>
            <w:shd w:val="clear" w:color="auto" w:fill="F2F2F2"/>
          </w:tcPr>
          <w:p w:rsidR="004E7E23" w:rsidRDefault="005B5353">
            <w:pPr>
              <w:pStyle w:val="TableParagraph"/>
              <w:ind w:right="183"/>
              <w:jc w:val="right"/>
              <w:rPr>
                <w:sz w:val="10"/>
              </w:rPr>
            </w:pPr>
            <w:r>
              <w:rPr>
                <w:w w:val="125"/>
                <w:sz w:val="10"/>
              </w:rPr>
              <w:t>115 (5.9)</w:t>
            </w:r>
          </w:p>
        </w:tc>
        <w:tc>
          <w:tcPr>
            <w:tcW w:w="2517" w:type="dxa"/>
            <w:tcBorders>
              <w:bottom w:val="nil"/>
            </w:tcBorders>
            <w:shd w:val="clear" w:color="auto" w:fill="F2F2F2"/>
          </w:tcPr>
          <w:p w:rsidR="004E7E23" w:rsidRDefault="005B5353">
            <w:pPr>
              <w:pStyle w:val="TableParagraph"/>
              <w:spacing w:line="285" w:lineRule="auto"/>
              <w:ind w:left="20"/>
              <w:rPr>
                <w:sz w:val="10"/>
              </w:rPr>
            </w:pPr>
            <w:r>
              <w:rPr>
                <w:w w:val="125"/>
                <w:sz w:val="10"/>
              </w:rPr>
              <w:t xml:space="preserve">Elevated </w:t>
            </w:r>
            <w:proofErr w:type="spellStart"/>
            <w:r>
              <w:rPr>
                <w:w w:val="125"/>
                <w:sz w:val="10"/>
              </w:rPr>
              <w:t>tPA</w:t>
            </w:r>
            <w:proofErr w:type="spellEnd"/>
            <w:r>
              <w:rPr>
                <w:w w:val="125"/>
                <w:sz w:val="10"/>
              </w:rPr>
              <w:t xml:space="preserve"> during CPB in all groups (NS); no difference in transfusion rate or nadir blood</w:t>
            </w:r>
          </w:p>
          <w:p w:rsidR="004E7E23" w:rsidRDefault="005B5353">
            <w:pPr>
              <w:pStyle w:val="TableParagraph"/>
              <w:spacing w:before="1" w:line="103" w:lineRule="exact"/>
              <w:ind w:left="20"/>
              <w:rPr>
                <w:sz w:val="10"/>
              </w:rPr>
            </w:pPr>
            <w:r>
              <w:rPr>
                <w:w w:val="125"/>
                <w:sz w:val="10"/>
              </w:rPr>
              <w:t>pressure on CPB</w:t>
            </w:r>
          </w:p>
        </w:tc>
        <w:tc>
          <w:tcPr>
            <w:tcW w:w="2725" w:type="dxa"/>
            <w:tcBorders>
              <w:bottom w:val="nil"/>
            </w:tcBorders>
            <w:shd w:val="clear" w:color="auto" w:fill="F2F2F2"/>
          </w:tcPr>
          <w:p w:rsidR="004E7E23" w:rsidRDefault="005B5353">
            <w:pPr>
              <w:pStyle w:val="TableParagraph"/>
              <w:spacing w:line="285" w:lineRule="auto"/>
              <w:ind w:left="20" w:right="140"/>
              <w:rPr>
                <w:sz w:val="10"/>
              </w:rPr>
            </w:pPr>
            <w:r>
              <w:rPr>
                <w:w w:val="125"/>
                <w:sz w:val="10"/>
              </w:rPr>
              <w:t>No difference in postoperative atrial fibrillation, pacemaker need, AKI, length of stay, and 30-day</w:t>
            </w:r>
          </w:p>
          <w:p w:rsidR="004E7E23" w:rsidRDefault="005B5353">
            <w:pPr>
              <w:pStyle w:val="TableParagraph"/>
              <w:spacing w:before="1" w:line="103" w:lineRule="exact"/>
              <w:ind w:left="20"/>
              <w:rPr>
                <w:sz w:val="10"/>
              </w:rPr>
            </w:pPr>
            <w:r>
              <w:rPr>
                <w:w w:val="125"/>
                <w:sz w:val="10"/>
              </w:rPr>
              <w:t>readmission rate.</w:t>
            </w:r>
          </w:p>
        </w:tc>
      </w:tr>
      <w:tr w:rsidR="004E7E23">
        <w:trPr>
          <w:trHeight w:val="284"/>
        </w:trPr>
        <w:tc>
          <w:tcPr>
            <w:tcW w:w="1592" w:type="dxa"/>
            <w:gridSpan w:val="2"/>
            <w:vMerge w:val="restart"/>
            <w:tcBorders>
              <w:top w:val="nil"/>
            </w:tcBorders>
          </w:tcPr>
          <w:p w:rsidR="004E7E23" w:rsidRDefault="004E7E23">
            <w:pPr>
              <w:pStyle w:val="TableParagraph"/>
              <w:spacing w:before="0"/>
              <w:rPr>
                <w:rFonts w:ascii="Times"/>
                <w:sz w:val="10"/>
              </w:rPr>
            </w:pPr>
          </w:p>
        </w:tc>
        <w:tc>
          <w:tcPr>
            <w:tcW w:w="1186" w:type="dxa"/>
            <w:vMerge w:val="restart"/>
            <w:tcBorders>
              <w:top w:val="nil"/>
            </w:tcBorders>
          </w:tcPr>
          <w:p w:rsidR="004E7E23" w:rsidRDefault="004E7E23">
            <w:pPr>
              <w:pStyle w:val="TableParagraph"/>
              <w:spacing w:before="0"/>
              <w:rPr>
                <w:rFonts w:ascii="Times"/>
                <w:sz w:val="10"/>
              </w:rPr>
            </w:pPr>
          </w:p>
        </w:tc>
        <w:tc>
          <w:tcPr>
            <w:tcW w:w="666" w:type="dxa"/>
            <w:tcBorders>
              <w:top w:val="nil"/>
              <w:bottom w:val="nil"/>
            </w:tcBorders>
          </w:tcPr>
          <w:p w:rsidR="004E7E23" w:rsidRDefault="005B5353">
            <w:pPr>
              <w:pStyle w:val="TableParagraph"/>
              <w:spacing w:before="12"/>
              <w:ind w:left="65" w:right="50"/>
              <w:jc w:val="center"/>
              <w:rPr>
                <w:sz w:val="10"/>
              </w:rPr>
            </w:pPr>
            <w:r>
              <w:rPr>
                <w:w w:val="125"/>
                <w:sz w:val="10"/>
              </w:rPr>
              <w:t>58.5 (2.0)</w:t>
            </w:r>
          </w:p>
          <w:p w:rsidR="004E7E23" w:rsidRDefault="005B5353">
            <w:pPr>
              <w:pStyle w:val="TableParagraph"/>
              <w:spacing w:before="21"/>
              <w:ind w:left="65" w:right="44"/>
              <w:jc w:val="center"/>
              <w:rPr>
                <w:sz w:val="10"/>
              </w:rPr>
            </w:pPr>
            <w:proofErr w:type="spellStart"/>
            <w:r>
              <w:rPr>
                <w:w w:val="125"/>
                <w:sz w:val="10"/>
              </w:rPr>
              <w:t>yr</w:t>
            </w:r>
            <w:proofErr w:type="spellEnd"/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4E7E23" w:rsidRDefault="005B5353">
            <w:pPr>
              <w:pStyle w:val="TableParagraph"/>
              <w:spacing w:before="12"/>
              <w:ind w:left="157"/>
              <w:rPr>
                <w:sz w:val="10"/>
              </w:rPr>
            </w:pPr>
            <w:r>
              <w:rPr>
                <w:w w:val="125"/>
                <w:sz w:val="10"/>
              </w:rPr>
              <w:t>27.2 (0.8)</w:t>
            </w:r>
          </w:p>
          <w:p w:rsidR="004E7E23" w:rsidRDefault="005B5353">
            <w:pPr>
              <w:pStyle w:val="TableParagraph"/>
              <w:spacing w:before="21"/>
              <w:ind w:left="250"/>
              <w:rPr>
                <w:sz w:val="10"/>
              </w:rPr>
            </w:pPr>
            <w:r>
              <w:rPr>
                <w:w w:val="125"/>
                <w:sz w:val="10"/>
              </w:rPr>
              <w:t>kg/m2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 w:rsidR="004E7E23" w:rsidRDefault="005B5353">
            <w:pPr>
              <w:pStyle w:val="TableParagraph"/>
              <w:spacing w:before="12"/>
              <w:ind w:left="293" w:right="292"/>
              <w:jc w:val="center"/>
              <w:rPr>
                <w:sz w:val="10"/>
              </w:rPr>
            </w:pPr>
            <w:r>
              <w:rPr>
                <w:w w:val="125"/>
                <w:sz w:val="10"/>
              </w:rPr>
              <w:t>EACA</w:t>
            </w:r>
          </w:p>
          <w:p w:rsidR="004E7E23" w:rsidRDefault="005B5353">
            <w:pPr>
              <w:pStyle w:val="TableParagraph"/>
              <w:spacing w:before="21"/>
              <w:ind w:left="300" w:right="292"/>
              <w:jc w:val="center"/>
              <w:rPr>
                <w:sz w:val="10"/>
              </w:rPr>
            </w:pPr>
            <w:r>
              <w:rPr>
                <w:w w:val="125"/>
                <w:sz w:val="10"/>
              </w:rPr>
              <w:t>(n=37)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4E7E23" w:rsidRDefault="005B5353">
            <w:pPr>
              <w:pStyle w:val="TableParagraph"/>
              <w:spacing w:before="12"/>
              <w:ind w:left="41"/>
              <w:rPr>
                <w:sz w:val="10"/>
              </w:rPr>
            </w:pPr>
            <w:r>
              <w:rPr>
                <w:spacing w:val="2"/>
                <w:w w:val="125"/>
                <w:sz w:val="10"/>
              </w:rPr>
              <w:t xml:space="preserve">100  </w:t>
            </w:r>
            <w:r>
              <w:rPr>
                <w:w w:val="125"/>
                <w:sz w:val="10"/>
              </w:rPr>
              <w:t>mg/kg</w:t>
            </w:r>
            <w:r>
              <w:rPr>
                <w:spacing w:val="-7"/>
                <w:w w:val="125"/>
                <w:sz w:val="10"/>
              </w:rPr>
              <w:t xml:space="preserve"> </w:t>
            </w:r>
            <w:proofErr w:type="spellStart"/>
            <w:r>
              <w:rPr>
                <w:w w:val="125"/>
                <w:sz w:val="10"/>
              </w:rPr>
              <w:t>i.v.</w:t>
            </w:r>
            <w:proofErr w:type="spellEnd"/>
          </w:p>
          <w:p w:rsidR="004E7E23" w:rsidRDefault="005B5353">
            <w:pPr>
              <w:pStyle w:val="TableParagraph"/>
              <w:spacing w:before="21"/>
              <w:ind w:left="62"/>
              <w:rPr>
                <w:sz w:val="10"/>
              </w:rPr>
            </w:pPr>
            <w:r>
              <w:rPr>
                <w:w w:val="125"/>
                <w:sz w:val="10"/>
              </w:rPr>
              <w:t>+  30</w:t>
            </w:r>
            <w:r>
              <w:rPr>
                <w:spacing w:val="2"/>
                <w:w w:val="125"/>
                <w:sz w:val="10"/>
              </w:rPr>
              <w:t xml:space="preserve"> </w:t>
            </w:r>
            <w:r>
              <w:rPr>
                <w:w w:val="125"/>
                <w:sz w:val="10"/>
              </w:rPr>
              <w:t>mg/kg/h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4E7E23" w:rsidRDefault="005B5353">
            <w:pPr>
              <w:pStyle w:val="TableParagraph"/>
              <w:spacing w:before="12"/>
              <w:ind w:right="183"/>
              <w:jc w:val="right"/>
              <w:rPr>
                <w:sz w:val="10"/>
              </w:rPr>
            </w:pPr>
            <w:r>
              <w:rPr>
                <w:w w:val="125"/>
                <w:sz w:val="10"/>
              </w:rPr>
              <w:t>122 (6.3)</w:t>
            </w: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4E7E23" w:rsidRDefault="005B5353">
            <w:pPr>
              <w:pStyle w:val="TableParagraph"/>
              <w:spacing w:before="12"/>
              <w:ind w:left="20"/>
              <w:rPr>
                <w:sz w:val="10"/>
              </w:rPr>
            </w:pPr>
            <w:r>
              <w:rPr>
                <w:w w:val="125"/>
                <w:sz w:val="10"/>
              </w:rPr>
              <w:t>Least D-dimer elevation in EACA group</w:t>
            </w:r>
          </w:p>
        </w:tc>
        <w:tc>
          <w:tcPr>
            <w:tcW w:w="2725" w:type="dxa"/>
            <w:vMerge w:val="restart"/>
            <w:tcBorders>
              <w:top w:val="nil"/>
            </w:tcBorders>
          </w:tcPr>
          <w:p w:rsidR="004E7E23" w:rsidRDefault="004E7E23">
            <w:pPr>
              <w:pStyle w:val="TableParagraph"/>
              <w:spacing w:before="0"/>
              <w:rPr>
                <w:rFonts w:ascii="Times"/>
                <w:sz w:val="10"/>
              </w:rPr>
            </w:pPr>
          </w:p>
        </w:tc>
      </w:tr>
      <w:tr w:rsidR="004E7E23">
        <w:trPr>
          <w:trHeight w:val="343"/>
        </w:trPr>
        <w:tc>
          <w:tcPr>
            <w:tcW w:w="1592" w:type="dxa"/>
            <w:gridSpan w:val="2"/>
            <w:vMerge/>
            <w:tcBorders>
              <w:top w:val="nil"/>
            </w:tcBorders>
          </w:tcPr>
          <w:p w:rsidR="004E7E23" w:rsidRDefault="004E7E23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4E7E23" w:rsidRDefault="004E7E23">
            <w:pPr>
              <w:rPr>
                <w:sz w:val="2"/>
                <w:szCs w:val="2"/>
              </w:rPr>
            </w:pPr>
          </w:p>
        </w:tc>
        <w:tc>
          <w:tcPr>
            <w:tcW w:w="666" w:type="dxa"/>
            <w:tcBorders>
              <w:top w:val="nil"/>
            </w:tcBorders>
          </w:tcPr>
          <w:p w:rsidR="004E7E23" w:rsidRDefault="005B5353">
            <w:pPr>
              <w:pStyle w:val="TableParagraph"/>
              <w:spacing w:before="24"/>
              <w:ind w:left="65" w:right="50"/>
              <w:jc w:val="center"/>
              <w:rPr>
                <w:sz w:val="10"/>
              </w:rPr>
            </w:pPr>
            <w:r>
              <w:rPr>
                <w:w w:val="125"/>
                <w:sz w:val="10"/>
              </w:rPr>
              <w:t>60.1 (1.8)</w:t>
            </w:r>
          </w:p>
          <w:p w:rsidR="004E7E23" w:rsidRDefault="005B5353">
            <w:pPr>
              <w:pStyle w:val="TableParagraph"/>
              <w:spacing w:before="22"/>
              <w:ind w:left="65" w:right="44"/>
              <w:jc w:val="center"/>
              <w:rPr>
                <w:sz w:val="10"/>
              </w:rPr>
            </w:pPr>
            <w:proofErr w:type="spellStart"/>
            <w:r>
              <w:rPr>
                <w:w w:val="125"/>
                <w:sz w:val="10"/>
              </w:rPr>
              <w:t>yr</w:t>
            </w:r>
            <w:proofErr w:type="spellEnd"/>
          </w:p>
        </w:tc>
        <w:tc>
          <w:tcPr>
            <w:tcW w:w="791" w:type="dxa"/>
            <w:tcBorders>
              <w:top w:val="nil"/>
            </w:tcBorders>
          </w:tcPr>
          <w:p w:rsidR="004E7E23" w:rsidRDefault="005B5353">
            <w:pPr>
              <w:pStyle w:val="TableParagraph"/>
              <w:spacing w:before="24"/>
              <w:ind w:left="157"/>
              <w:rPr>
                <w:sz w:val="10"/>
              </w:rPr>
            </w:pPr>
            <w:r>
              <w:rPr>
                <w:w w:val="125"/>
                <w:sz w:val="10"/>
              </w:rPr>
              <w:t>27.5 (0.8)</w:t>
            </w:r>
          </w:p>
          <w:p w:rsidR="004E7E23" w:rsidRDefault="005B5353">
            <w:pPr>
              <w:pStyle w:val="TableParagraph"/>
              <w:spacing w:before="22"/>
              <w:ind w:left="250"/>
              <w:rPr>
                <w:sz w:val="10"/>
              </w:rPr>
            </w:pPr>
            <w:r>
              <w:rPr>
                <w:w w:val="125"/>
                <w:sz w:val="10"/>
              </w:rPr>
              <w:t>kg/m2</w:t>
            </w:r>
          </w:p>
        </w:tc>
        <w:tc>
          <w:tcPr>
            <w:tcW w:w="947" w:type="dxa"/>
            <w:tcBorders>
              <w:top w:val="nil"/>
            </w:tcBorders>
          </w:tcPr>
          <w:p w:rsidR="004E7E23" w:rsidRDefault="005B5353">
            <w:pPr>
              <w:pStyle w:val="TableParagraph"/>
              <w:spacing w:before="24" w:line="285" w:lineRule="auto"/>
              <w:ind w:left="312" w:right="32" w:hanging="42"/>
              <w:rPr>
                <w:sz w:val="10"/>
              </w:rPr>
            </w:pPr>
            <w:r>
              <w:rPr>
                <w:w w:val="125"/>
                <w:sz w:val="10"/>
              </w:rPr>
              <w:t>Placebo (n=38)</w:t>
            </w:r>
          </w:p>
        </w:tc>
        <w:tc>
          <w:tcPr>
            <w:tcW w:w="770" w:type="dxa"/>
            <w:tcBorders>
              <w:top w:val="nil"/>
            </w:tcBorders>
          </w:tcPr>
          <w:p w:rsidR="004E7E23" w:rsidRDefault="005B5353">
            <w:pPr>
              <w:pStyle w:val="TableParagraph"/>
              <w:spacing w:before="24"/>
              <w:ind w:left="30" w:right="36"/>
              <w:jc w:val="center"/>
              <w:rPr>
                <w:sz w:val="10"/>
              </w:rPr>
            </w:pPr>
            <w:r>
              <w:rPr>
                <w:w w:val="125"/>
                <w:sz w:val="10"/>
              </w:rPr>
              <w:t>N.A.</w:t>
            </w:r>
          </w:p>
        </w:tc>
        <w:tc>
          <w:tcPr>
            <w:tcW w:w="853" w:type="dxa"/>
            <w:tcBorders>
              <w:top w:val="nil"/>
            </w:tcBorders>
          </w:tcPr>
          <w:p w:rsidR="004E7E23" w:rsidRDefault="005B5353">
            <w:pPr>
              <w:pStyle w:val="TableParagraph"/>
              <w:spacing w:before="24"/>
              <w:ind w:right="204"/>
              <w:jc w:val="right"/>
              <w:rPr>
                <w:sz w:val="10"/>
              </w:rPr>
            </w:pPr>
            <w:r>
              <w:rPr>
                <w:w w:val="125"/>
                <w:sz w:val="10"/>
              </w:rPr>
              <w:t>112 (6.0)</w:t>
            </w:r>
          </w:p>
        </w:tc>
        <w:tc>
          <w:tcPr>
            <w:tcW w:w="2517" w:type="dxa"/>
            <w:tcBorders>
              <w:top w:val="nil"/>
            </w:tcBorders>
          </w:tcPr>
          <w:p w:rsidR="004E7E23" w:rsidRDefault="004E7E23">
            <w:pPr>
              <w:pStyle w:val="TableParagraph"/>
              <w:spacing w:before="0"/>
              <w:rPr>
                <w:rFonts w:ascii="Times"/>
                <w:sz w:val="10"/>
              </w:rPr>
            </w:pPr>
          </w:p>
        </w:tc>
        <w:tc>
          <w:tcPr>
            <w:tcW w:w="2725" w:type="dxa"/>
            <w:vMerge/>
            <w:tcBorders>
              <w:top w:val="nil"/>
            </w:tcBorders>
          </w:tcPr>
          <w:p w:rsidR="004E7E23" w:rsidRDefault="004E7E23">
            <w:pPr>
              <w:rPr>
                <w:sz w:val="2"/>
                <w:szCs w:val="2"/>
              </w:rPr>
            </w:pPr>
          </w:p>
        </w:tc>
      </w:tr>
      <w:tr w:rsidR="004E7E23">
        <w:trPr>
          <w:trHeight w:val="131"/>
        </w:trPr>
        <w:tc>
          <w:tcPr>
            <w:tcW w:w="1592" w:type="dxa"/>
            <w:gridSpan w:val="2"/>
            <w:tcBorders>
              <w:bottom w:val="nil"/>
            </w:tcBorders>
            <w:shd w:val="clear" w:color="auto" w:fill="F2F2F2"/>
          </w:tcPr>
          <w:p w:rsidR="004E7E23" w:rsidRDefault="005B5353">
            <w:pPr>
              <w:pStyle w:val="TableParagraph"/>
              <w:spacing w:line="102" w:lineRule="exact"/>
              <w:ind w:left="23"/>
              <w:rPr>
                <w:sz w:val="10"/>
              </w:rPr>
            </w:pPr>
            <w:r>
              <w:rPr>
                <w:w w:val="125"/>
                <w:sz w:val="10"/>
              </w:rPr>
              <w:t>Miyamoto, et al. Observational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F2F2F2"/>
          </w:tcPr>
          <w:p w:rsidR="004E7E23" w:rsidRDefault="005B5353">
            <w:pPr>
              <w:pStyle w:val="TableParagraph"/>
              <w:spacing w:line="102" w:lineRule="exact"/>
              <w:ind w:right="181"/>
              <w:jc w:val="right"/>
              <w:rPr>
                <w:sz w:val="10"/>
              </w:rPr>
            </w:pPr>
            <w:r>
              <w:rPr>
                <w:w w:val="125"/>
                <w:sz w:val="10"/>
              </w:rPr>
              <w:t>Congenital Heart</w:t>
            </w:r>
          </w:p>
        </w:tc>
        <w:tc>
          <w:tcPr>
            <w:tcW w:w="666" w:type="dxa"/>
            <w:tcBorders>
              <w:bottom w:val="nil"/>
            </w:tcBorders>
            <w:shd w:val="clear" w:color="auto" w:fill="F2F2F2"/>
          </w:tcPr>
          <w:p w:rsidR="004E7E23" w:rsidRDefault="005B5353">
            <w:pPr>
              <w:pStyle w:val="TableParagraph"/>
              <w:spacing w:line="102" w:lineRule="exact"/>
              <w:ind w:left="157"/>
              <w:rPr>
                <w:sz w:val="10"/>
              </w:rPr>
            </w:pPr>
            <w:r>
              <w:rPr>
                <w:w w:val="125"/>
                <w:sz w:val="10"/>
              </w:rPr>
              <w:t xml:space="preserve">9.5 </w:t>
            </w:r>
            <w:proofErr w:type="spellStart"/>
            <w:r>
              <w:rPr>
                <w:w w:val="125"/>
                <w:sz w:val="10"/>
              </w:rPr>
              <w:t>mo</w:t>
            </w:r>
            <w:proofErr w:type="spellEnd"/>
          </w:p>
        </w:tc>
        <w:tc>
          <w:tcPr>
            <w:tcW w:w="791" w:type="dxa"/>
            <w:tcBorders>
              <w:bottom w:val="nil"/>
            </w:tcBorders>
            <w:shd w:val="clear" w:color="auto" w:fill="F2F2F2"/>
          </w:tcPr>
          <w:p w:rsidR="004E7E23" w:rsidRDefault="005B5353">
            <w:pPr>
              <w:pStyle w:val="TableParagraph"/>
              <w:spacing w:line="102" w:lineRule="exact"/>
              <w:ind w:right="78"/>
              <w:jc w:val="right"/>
              <w:rPr>
                <w:sz w:val="10"/>
              </w:rPr>
            </w:pPr>
            <w:r>
              <w:rPr>
                <w:w w:val="125"/>
                <w:sz w:val="10"/>
              </w:rPr>
              <w:t>6.6 (5.5-6.8)</w:t>
            </w:r>
          </w:p>
        </w:tc>
        <w:tc>
          <w:tcPr>
            <w:tcW w:w="947" w:type="dxa"/>
            <w:tcBorders>
              <w:bottom w:val="nil"/>
            </w:tcBorders>
            <w:shd w:val="clear" w:color="auto" w:fill="F2F2F2"/>
          </w:tcPr>
          <w:p w:rsidR="004E7E23" w:rsidRDefault="005B5353">
            <w:pPr>
              <w:pStyle w:val="TableParagraph"/>
              <w:spacing w:line="102" w:lineRule="exact"/>
              <w:ind w:right="294"/>
              <w:jc w:val="right"/>
              <w:rPr>
                <w:sz w:val="10"/>
              </w:rPr>
            </w:pPr>
            <w:r>
              <w:rPr>
                <w:w w:val="125"/>
                <w:sz w:val="10"/>
              </w:rPr>
              <w:t>C1-INH</w:t>
            </w:r>
          </w:p>
        </w:tc>
        <w:tc>
          <w:tcPr>
            <w:tcW w:w="770" w:type="dxa"/>
            <w:tcBorders>
              <w:bottom w:val="nil"/>
            </w:tcBorders>
            <w:shd w:val="clear" w:color="auto" w:fill="F2F2F2"/>
          </w:tcPr>
          <w:p w:rsidR="004E7E23" w:rsidRDefault="005B5353">
            <w:pPr>
              <w:pStyle w:val="TableParagraph"/>
              <w:spacing w:line="102" w:lineRule="exact"/>
              <w:ind w:right="175"/>
              <w:jc w:val="right"/>
              <w:rPr>
                <w:sz w:val="10"/>
              </w:rPr>
            </w:pPr>
            <w:r>
              <w:rPr>
                <w:w w:val="125"/>
                <w:sz w:val="10"/>
              </w:rPr>
              <w:t>20 IU/kg</w:t>
            </w:r>
          </w:p>
        </w:tc>
        <w:tc>
          <w:tcPr>
            <w:tcW w:w="853" w:type="dxa"/>
            <w:tcBorders>
              <w:bottom w:val="nil"/>
            </w:tcBorders>
            <w:shd w:val="clear" w:color="auto" w:fill="F2F2F2"/>
          </w:tcPr>
          <w:p w:rsidR="004E7E23" w:rsidRDefault="005B5353">
            <w:pPr>
              <w:pStyle w:val="TableParagraph"/>
              <w:spacing w:line="102" w:lineRule="exact"/>
              <w:ind w:left="320" w:right="306"/>
              <w:jc w:val="center"/>
              <w:rPr>
                <w:sz w:val="10"/>
              </w:rPr>
            </w:pPr>
            <w:r>
              <w:rPr>
                <w:w w:val="125"/>
                <w:sz w:val="10"/>
              </w:rPr>
              <w:t>258</w:t>
            </w:r>
          </w:p>
        </w:tc>
        <w:tc>
          <w:tcPr>
            <w:tcW w:w="2517" w:type="dxa"/>
            <w:tcBorders>
              <w:bottom w:val="nil"/>
            </w:tcBorders>
            <w:shd w:val="clear" w:color="auto" w:fill="F2F2F2"/>
          </w:tcPr>
          <w:p w:rsidR="004E7E23" w:rsidRDefault="005B5353">
            <w:pPr>
              <w:pStyle w:val="TableParagraph"/>
              <w:spacing w:line="102" w:lineRule="exact"/>
              <w:ind w:left="20"/>
              <w:rPr>
                <w:sz w:val="10"/>
              </w:rPr>
            </w:pPr>
            <w:r>
              <w:rPr>
                <w:w w:val="125"/>
                <w:sz w:val="10"/>
              </w:rPr>
              <w:t xml:space="preserve">C1-INH 20 IU/kg </w:t>
            </w:r>
            <w:proofErr w:type="spellStart"/>
            <w:r>
              <w:rPr>
                <w:w w:val="125"/>
                <w:sz w:val="10"/>
              </w:rPr>
              <w:t>i.v.</w:t>
            </w:r>
            <w:proofErr w:type="spellEnd"/>
            <w:r>
              <w:rPr>
                <w:w w:val="125"/>
                <w:sz w:val="10"/>
              </w:rPr>
              <w:t xml:space="preserve"> after 60 min on CPB showed</w:t>
            </w:r>
          </w:p>
        </w:tc>
        <w:tc>
          <w:tcPr>
            <w:tcW w:w="2725" w:type="dxa"/>
            <w:tcBorders>
              <w:bottom w:val="nil"/>
            </w:tcBorders>
            <w:shd w:val="clear" w:color="auto" w:fill="F2F2F2"/>
          </w:tcPr>
          <w:p w:rsidR="004E7E23" w:rsidRDefault="005B5353">
            <w:pPr>
              <w:pStyle w:val="TableParagraph"/>
              <w:spacing w:line="102" w:lineRule="exact"/>
              <w:ind w:left="20"/>
              <w:rPr>
                <w:sz w:val="10"/>
              </w:rPr>
            </w:pPr>
            <w:r>
              <w:rPr>
                <w:w w:val="125"/>
                <w:sz w:val="10"/>
              </w:rPr>
              <w:t>6 patients excluded due to mortality (whether there was</w:t>
            </w:r>
          </w:p>
        </w:tc>
      </w:tr>
      <w:tr w:rsidR="004E7E23">
        <w:trPr>
          <w:trHeight w:val="147"/>
        </w:trPr>
        <w:tc>
          <w:tcPr>
            <w:tcW w:w="1592" w:type="dxa"/>
            <w:gridSpan w:val="2"/>
            <w:tcBorders>
              <w:top w:val="nil"/>
              <w:bottom w:val="nil"/>
            </w:tcBorders>
            <w:shd w:val="clear" w:color="auto" w:fill="F2F2F2"/>
          </w:tcPr>
          <w:p w:rsidR="004E7E23" w:rsidRDefault="005B5353">
            <w:pPr>
              <w:pStyle w:val="TableParagraph"/>
              <w:tabs>
                <w:tab w:val="left" w:pos="1084"/>
              </w:tabs>
              <w:spacing w:before="10" w:line="117" w:lineRule="exact"/>
              <w:ind w:left="23"/>
              <w:rPr>
                <w:sz w:val="10"/>
              </w:rPr>
            </w:pPr>
            <w:r>
              <w:rPr>
                <w:spacing w:val="3"/>
                <w:w w:val="125"/>
                <w:position w:val="-1"/>
                <w:sz w:val="10"/>
              </w:rPr>
              <w:t>2019</w:t>
            </w:r>
            <w:r>
              <w:rPr>
                <w:spacing w:val="9"/>
                <w:w w:val="125"/>
                <w:position w:val="-1"/>
                <w:sz w:val="10"/>
              </w:rPr>
              <w:t xml:space="preserve"> </w:t>
            </w:r>
            <w:r>
              <w:rPr>
                <w:w w:val="125"/>
                <w:position w:val="3"/>
                <w:sz w:val="7"/>
              </w:rPr>
              <w:t>136</w:t>
            </w:r>
            <w:r>
              <w:rPr>
                <w:w w:val="125"/>
                <w:position w:val="3"/>
                <w:sz w:val="7"/>
              </w:rPr>
              <w:tab/>
            </w:r>
            <w:r>
              <w:rPr>
                <w:w w:val="125"/>
                <w:sz w:val="10"/>
              </w:rPr>
              <w:t>series</w:t>
            </w:r>
          </w:p>
        </w:tc>
        <w:tc>
          <w:tcPr>
            <w:tcW w:w="1186" w:type="dxa"/>
            <w:tcBorders>
              <w:top w:val="nil"/>
              <w:bottom w:val="nil"/>
            </w:tcBorders>
            <w:shd w:val="clear" w:color="auto" w:fill="F2F2F2"/>
          </w:tcPr>
          <w:p w:rsidR="004E7E23" w:rsidRDefault="005B5353">
            <w:pPr>
              <w:pStyle w:val="TableParagraph"/>
              <w:spacing w:before="13"/>
              <w:ind w:left="385" w:right="386"/>
              <w:jc w:val="center"/>
              <w:rPr>
                <w:sz w:val="10"/>
              </w:rPr>
            </w:pPr>
            <w:r>
              <w:rPr>
                <w:w w:val="125"/>
                <w:sz w:val="10"/>
              </w:rPr>
              <w:t>Surgery</w:t>
            </w: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F2F2F2"/>
          </w:tcPr>
          <w:p w:rsidR="004E7E23" w:rsidRDefault="005B5353">
            <w:pPr>
              <w:pStyle w:val="TableParagraph"/>
              <w:spacing w:before="13"/>
              <w:ind w:left="188"/>
              <w:rPr>
                <w:sz w:val="10"/>
              </w:rPr>
            </w:pPr>
            <w:r>
              <w:rPr>
                <w:w w:val="125"/>
                <w:sz w:val="10"/>
              </w:rPr>
              <w:t>(6-11)</w:t>
            </w:r>
          </w:p>
        </w:tc>
        <w:tc>
          <w:tcPr>
            <w:tcW w:w="791" w:type="dxa"/>
            <w:tcBorders>
              <w:top w:val="nil"/>
              <w:bottom w:val="nil"/>
            </w:tcBorders>
            <w:shd w:val="clear" w:color="auto" w:fill="F2F2F2"/>
          </w:tcPr>
          <w:p w:rsidR="004E7E23" w:rsidRDefault="005B5353">
            <w:pPr>
              <w:pStyle w:val="TableParagraph"/>
              <w:spacing w:before="13"/>
              <w:ind w:left="115" w:right="113"/>
              <w:jc w:val="center"/>
              <w:rPr>
                <w:sz w:val="10"/>
              </w:rPr>
            </w:pPr>
            <w:r>
              <w:rPr>
                <w:w w:val="125"/>
                <w:sz w:val="10"/>
              </w:rPr>
              <w:t>kg</w:t>
            </w:r>
          </w:p>
        </w:tc>
        <w:tc>
          <w:tcPr>
            <w:tcW w:w="947" w:type="dxa"/>
            <w:tcBorders>
              <w:top w:val="nil"/>
              <w:bottom w:val="nil"/>
            </w:tcBorders>
            <w:shd w:val="clear" w:color="auto" w:fill="F2F2F2"/>
          </w:tcPr>
          <w:p w:rsidR="004E7E23" w:rsidRDefault="005B5353">
            <w:pPr>
              <w:pStyle w:val="TableParagraph"/>
              <w:spacing w:before="13"/>
              <w:ind w:right="333"/>
              <w:jc w:val="right"/>
              <w:rPr>
                <w:sz w:val="10"/>
              </w:rPr>
            </w:pPr>
            <w:r>
              <w:rPr>
                <w:w w:val="125"/>
                <w:sz w:val="10"/>
              </w:rPr>
              <w:t>(n=8)</w:t>
            </w: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F2F2F2"/>
          </w:tcPr>
          <w:p w:rsidR="004E7E23" w:rsidRDefault="004E7E23">
            <w:pPr>
              <w:pStyle w:val="TableParagraph"/>
              <w:spacing w:before="0"/>
              <w:rPr>
                <w:rFonts w:ascii="Times"/>
                <w:sz w:val="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F2F2F2"/>
          </w:tcPr>
          <w:p w:rsidR="004E7E23" w:rsidRDefault="005B5353">
            <w:pPr>
              <w:pStyle w:val="TableParagraph"/>
              <w:spacing w:before="13"/>
              <w:ind w:right="177"/>
              <w:jc w:val="right"/>
              <w:rPr>
                <w:sz w:val="10"/>
              </w:rPr>
            </w:pPr>
            <w:r>
              <w:rPr>
                <w:w w:val="125"/>
                <w:sz w:val="10"/>
              </w:rPr>
              <w:t>(228-261)</w:t>
            </w:r>
          </w:p>
        </w:tc>
        <w:tc>
          <w:tcPr>
            <w:tcW w:w="2517" w:type="dxa"/>
            <w:tcBorders>
              <w:top w:val="nil"/>
              <w:bottom w:val="nil"/>
            </w:tcBorders>
            <w:shd w:val="clear" w:color="auto" w:fill="F2F2F2"/>
          </w:tcPr>
          <w:p w:rsidR="004E7E23" w:rsidRDefault="005B5353">
            <w:pPr>
              <w:pStyle w:val="TableParagraph"/>
              <w:spacing w:before="13"/>
              <w:ind w:left="20"/>
              <w:rPr>
                <w:sz w:val="10"/>
              </w:rPr>
            </w:pPr>
            <w:r>
              <w:rPr>
                <w:w w:val="125"/>
                <w:sz w:val="10"/>
              </w:rPr>
              <w:t>trends for better preservation of C1-INH and C1q,</w:t>
            </w:r>
          </w:p>
        </w:tc>
        <w:tc>
          <w:tcPr>
            <w:tcW w:w="2725" w:type="dxa"/>
            <w:tcBorders>
              <w:top w:val="nil"/>
              <w:bottom w:val="nil"/>
            </w:tcBorders>
            <w:shd w:val="clear" w:color="auto" w:fill="F2F2F2"/>
          </w:tcPr>
          <w:p w:rsidR="004E7E23" w:rsidRDefault="005B5353">
            <w:pPr>
              <w:pStyle w:val="TableParagraph"/>
              <w:spacing w:before="13"/>
              <w:ind w:left="20"/>
              <w:rPr>
                <w:sz w:val="10"/>
              </w:rPr>
            </w:pPr>
            <w:r>
              <w:rPr>
                <w:w w:val="125"/>
                <w:sz w:val="10"/>
              </w:rPr>
              <w:t>any association with C1-INH treatment was not</w:t>
            </w:r>
          </w:p>
        </w:tc>
      </w:tr>
      <w:tr w:rsidR="004E7E23">
        <w:trPr>
          <w:trHeight w:val="124"/>
        </w:trPr>
        <w:tc>
          <w:tcPr>
            <w:tcW w:w="1592" w:type="dxa"/>
            <w:gridSpan w:val="2"/>
            <w:tcBorders>
              <w:top w:val="nil"/>
              <w:bottom w:val="nil"/>
            </w:tcBorders>
            <w:shd w:val="clear" w:color="auto" w:fill="F2F2F2"/>
          </w:tcPr>
          <w:p w:rsidR="004E7E23" w:rsidRDefault="004E7E23">
            <w:pPr>
              <w:pStyle w:val="TableParagraph"/>
              <w:spacing w:before="0"/>
              <w:rPr>
                <w:rFonts w:ascii="Times"/>
                <w:sz w:val="4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  <w:shd w:val="clear" w:color="auto" w:fill="F2F2F2"/>
          </w:tcPr>
          <w:p w:rsidR="004E7E23" w:rsidRDefault="004E7E23">
            <w:pPr>
              <w:pStyle w:val="TableParagraph"/>
              <w:spacing w:before="0"/>
              <w:rPr>
                <w:rFonts w:ascii="Times"/>
                <w:sz w:val="4"/>
              </w:rPr>
            </w:pP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F2F2F2"/>
          </w:tcPr>
          <w:p w:rsidR="004E7E23" w:rsidRDefault="004E7E23">
            <w:pPr>
              <w:pStyle w:val="TableParagraph"/>
              <w:spacing w:before="0"/>
              <w:rPr>
                <w:rFonts w:ascii="Times"/>
                <w:sz w:val="4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  <w:shd w:val="clear" w:color="auto" w:fill="F2F2F2"/>
          </w:tcPr>
          <w:p w:rsidR="004E7E23" w:rsidRDefault="004E7E23">
            <w:pPr>
              <w:pStyle w:val="TableParagraph"/>
              <w:spacing w:before="0"/>
              <w:rPr>
                <w:rFonts w:ascii="Times"/>
                <w:sz w:val="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  <w:shd w:val="clear" w:color="auto" w:fill="F2F2F2"/>
          </w:tcPr>
          <w:p w:rsidR="004E7E23" w:rsidRDefault="004E7E23">
            <w:pPr>
              <w:pStyle w:val="TableParagraph"/>
              <w:spacing w:before="0"/>
              <w:rPr>
                <w:rFonts w:ascii="Times"/>
                <w:sz w:val="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F2F2F2"/>
          </w:tcPr>
          <w:p w:rsidR="004E7E23" w:rsidRDefault="004E7E23">
            <w:pPr>
              <w:pStyle w:val="TableParagraph"/>
              <w:spacing w:before="0"/>
              <w:rPr>
                <w:rFonts w:ascii="Times"/>
                <w:sz w:val="4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F2F2F2"/>
          </w:tcPr>
          <w:p w:rsidR="004E7E23" w:rsidRDefault="004E7E23">
            <w:pPr>
              <w:pStyle w:val="TableParagraph"/>
              <w:spacing w:before="0"/>
              <w:rPr>
                <w:rFonts w:ascii="Times"/>
                <w:sz w:val="4"/>
              </w:rPr>
            </w:pPr>
          </w:p>
        </w:tc>
        <w:tc>
          <w:tcPr>
            <w:tcW w:w="2517" w:type="dxa"/>
            <w:tcBorders>
              <w:top w:val="nil"/>
              <w:bottom w:val="nil"/>
            </w:tcBorders>
            <w:shd w:val="clear" w:color="auto" w:fill="F2F2F2"/>
          </w:tcPr>
          <w:p w:rsidR="004E7E23" w:rsidRDefault="005B5353">
            <w:pPr>
              <w:pStyle w:val="TableParagraph"/>
              <w:spacing w:before="0" w:line="103" w:lineRule="exact"/>
              <w:ind w:left="20"/>
              <w:rPr>
                <w:sz w:val="10"/>
              </w:rPr>
            </w:pPr>
            <w:r>
              <w:rPr>
                <w:w w:val="125"/>
                <w:sz w:val="10"/>
              </w:rPr>
              <w:t>but no differences in C3, C4, and CH50 after 48h</w:t>
            </w:r>
          </w:p>
        </w:tc>
        <w:tc>
          <w:tcPr>
            <w:tcW w:w="2725" w:type="dxa"/>
            <w:tcBorders>
              <w:top w:val="nil"/>
              <w:bottom w:val="nil"/>
            </w:tcBorders>
            <w:shd w:val="clear" w:color="auto" w:fill="F2F2F2"/>
          </w:tcPr>
          <w:p w:rsidR="004E7E23" w:rsidRDefault="005B5353">
            <w:pPr>
              <w:pStyle w:val="TableParagraph"/>
              <w:spacing w:before="0" w:line="103" w:lineRule="exact"/>
              <w:ind w:left="20"/>
              <w:rPr>
                <w:sz w:val="10"/>
              </w:rPr>
            </w:pPr>
            <w:r>
              <w:rPr>
                <w:w w:val="125"/>
                <w:sz w:val="10"/>
              </w:rPr>
              <w:t>documented)</w:t>
            </w:r>
          </w:p>
        </w:tc>
      </w:tr>
      <w:tr w:rsidR="004E7E23">
        <w:trPr>
          <w:trHeight w:val="128"/>
        </w:trPr>
        <w:tc>
          <w:tcPr>
            <w:tcW w:w="1592" w:type="dxa"/>
            <w:gridSpan w:val="2"/>
            <w:vMerge w:val="restart"/>
            <w:tcBorders>
              <w:top w:val="nil"/>
            </w:tcBorders>
          </w:tcPr>
          <w:p w:rsidR="004E7E23" w:rsidRDefault="004E7E23">
            <w:pPr>
              <w:pStyle w:val="TableParagraph"/>
              <w:spacing w:before="0"/>
              <w:rPr>
                <w:rFonts w:ascii="Times"/>
                <w:sz w:val="10"/>
              </w:rPr>
            </w:pPr>
          </w:p>
        </w:tc>
        <w:tc>
          <w:tcPr>
            <w:tcW w:w="1186" w:type="dxa"/>
            <w:vMerge w:val="restart"/>
            <w:tcBorders>
              <w:top w:val="nil"/>
            </w:tcBorders>
          </w:tcPr>
          <w:p w:rsidR="004E7E23" w:rsidRDefault="004E7E23">
            <w:pPr>
              <w:pStyle w:val="TableParagraph"/>
              <w:spacing w:before="0"/>
              <w:rPr>
                <w:rFonts w:ascii="Times"/>
                <w:sz w:val="10"/>
              </w:rPr>
            </w:pPr>
          </w:p>
        </w:tc>
        <w:tc>
          <w:tcPr>
            <w:tcW w:w="666" w:type="dxa"/>
            <w:tcBorders>
              <w:top w:val="nil"/>
              <w:bottom w:val="nil"/>
            </w:tcBorders>
          </w:tcPr>
          <w:p w:rsidR="004E7E23" w:rsidRDefault="005B5353">
            <w:pPr>
              <w:pStyle w:val="TableParagraph"/>
              <w:spacing w:before="12" w:line="96" w:lineRule="exact"/>
              <w:ind w:left="157"/>
              <w:rPr>
                <w:sz w:val="10"/>
              </w:rPr>
            </w:pPr>
            <w:r>
              <w:rPr>
                <w:w w:val="125"/>
                <w:sz w:val="10"/>
              </w:rPr>
              <w:t xml:space="preserve">4.5 </w:t>
            </w:r>
            <w:proofErr w:type="spellStart"/>
            <w:r>
              <w:rPr>
                <w:w w:val="125"/>
                <w:sz w:val="10"/>
              </w:rPr>
              <w:t>mo</w:t>
            </w:r>
            <w:proofErr w:type="spellEnd"/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4E7E23" w:rsidRDefault="005B5353">
            <w:pPr>
              <w:pStyle w:val="TableParagraph"/>
              <w:spacing w:before="12" w:line="96" w:lineRule="exact"/>
              <w:ind w:right="78"/>
              <w:jc w:val="right"/>
              <w:rPr>
                <w:sz w:val="10"/>
              </w:rPr>
            </w:pPr>
            <w:r>
              <w:rPr>
                <w:w w:val="125"/>
                <w:sz w:val="10"/>
              </w:rPr>
              <w:t>5.0 (3.6-7.3)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 w:rsidR="004E7E23" w:rsidRDefault="005B5353">
            <w:pPr>
              <w:pStyle w:val="TableParagraph"/>
              <w:spacing w:before="12" w:line="96" w:lineRule="exact"/>
              <w:ind w:right="292"/>
              <w:jc w:val="right"/>
              <w:rPr>
                <w:sz w:val="10"/>
              </w:rPr>
            </w:pPr>
            <w:r>
              <w:rPr>
                <w:w w:val="125"/>
                <w:sz w:val="10"/>
              </w:rPr>
              <w:t>Control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4E7E23" w:rsidRDefault="005B5353">
            <w:pPr>
              <w:pStyle w:val="TableParagraph"/>
              <w:spacing w:before="12" w:line="96" w:lineRule="exact"/>
              <w:ind w:left="69" w:right="36"/>
              <w:jc w:val="center"/>
              <w:rPr>
                <w:sz w:val="10"/>
              </w:rPr>
            </w:pPr>
            <w:r>
              <w:rPr>
                <w:w w:val="125"/>
                <w:sz w:val="10"/>
              </w:rPr>
              <w:t>N.A.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4E7E23" w:rsidRDefault="005B5353">
            <w:pPr>
              <w:pStyle w:val="TableParagraph"/>
              <w:spacing w:before="12" w:line="96" w:lineRule="exact"/>
              <w:ind w:left="320" w:right="306"/>
              <w:jc w:val="center"/>
              <w:rPr>
                <w:sz w:val="10"/>
              </w:rPr>
            </w:pPr>
            <w:r>
              <w:rPr>
                <w:w w:val="125"/>
                <w:sz w:val="10"/>
              </w:rPr>
              <w:t>262</w:t>
            </w:r>
          </w:p>
        </w:tc>
        <w:tc>
          <w:tcPr>
            <w:tcW w:w="2517" w:type="dxa"/>
            <w:vMerge w:val="restart"/>
            <w:tcBorders>
              <w:top w:val="nil"/>
            </w:tcBorders>
          </w:tcPr>
          <w:p w:rsidR="004E7E23" w:rsidRDefault="004E7E23">
            <w:pPr>
              <w:pStyle w:val="TableParagraph"/>
              <w:spacing w:before="0"/>
              <w:rPr>
                <w:rFonts w:ascii="Times"/>
                <w:sz w:val="10"/>
              </w:rPr>
            </w:pPr>
          </w:p>
        </w:tc>
        <w:tc>
          <w:tcPr>
            <w:tcW w:w="2725" w:type="dxa"/>
            <w:vMerge w:val="restart"/>
            <w:tcBorders>
              <w:top w:val="nil"/>
            </w:tcBorders>
          </w:tcPr>
          <w:p w:rsidR="004E7E23" w:rsidRDefault="004E7E23">
            <w:pPr>
              <w:pStyle w:val="TableParagraph"/>
              <w:spacing w:before="0"/>
              <w:rPr>
                <w:rFonts w:ascii="Times"/>
                <w:sz w:val="10"/>
              </w:rPr>
            </w:pPr>
          </w:p>
        </w:tc>
      </w:tr>
      <w:tr w:rsidR="004E7E23">
        <w:trPr>
          <w:trHeight w:val="249"/>
        </w:trPr>
        <w:tc>
          <w:tcPr>
            <w:tcW w:w="1592" w:type="dxa"/>
            <w:gridSpan w:val="2"/>
            <w:vMerge/>
            <w:tcBorders>
              <w:top w:val="nil"/>
            </w:tcBorders>
          </w:tcPr>
          <w:p w:rsidR="004E7E23" w:rsidRDefault="004E7E23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4E7E23" w:rsidRDefault="004E7E23">
            <w:pPr>
              <w:rPr>
                <w:sz w:val="2"/>
                <w:szCs w:val="2"/>
              </w:rPr>
            </w:pPr>
          </w:p>
        </w:tc>
        <w:tc>
          <w:tcPr>
            <w:tcW w:w="666" w:type="dxa"/>
            <w:tcBorders>
              <w:top w:val="nil"/>
            </w:tcBorders>
          </w:tcPr>
          <w:p w:rsidR="004E7E23" w:rsidRDefault="005B5353">
            <w:pPr>
              <w:pStyle w:val="TableParagraph"/>
              <w:spacing w:before="4"/>
              <w:ind w:left="168"/>
              <w:rPr>
                <w:sz w:val="10"/>
              </w:rPr>
            </w:pPr>
            <w:r>
              <w:rPr>
                <w:w w:val="125"/>
                <w:sz w:val="10"/>
              </w:rPr>
              <w:t>(3-8.8)</w:t>
            </w:r>
          </w:p>
        </w:tc>
        <w:tc>
          <w:tcPr>
            <w:tcW w:w="791" w:type="dxa"/>
            <w:tcBorders>
              <w:top w:val="nil"/>
            </w:tcBorders>
          </w:tcPr>
          <w:p w:rsidR="004E7E23" w:rsidRDefault="005B5353">
            <w:pPr>
              <w:pStyle w:val="TableParagraph"/>
              <w:spacing w:before="4"/>
              <w:ind w:left="115" w:right="113"/>
              <w:jc w:val="center"/>
              <w:rPr>
                <w:sz w:val="10"/>
              </w:rPr>
            </w:pPr>
            <w:r>
              <w:rPr>
                <w:w w:val="125"/>
                <w:sz w:val="10"/>
              </w:rPr>
              <w:t>kg</w:t>
            </w:r>
          </w:p>
        </w:tc>
        <w:tc>
          <w:tcPr>
            <w:tcW w:w="947" w:type="dxa"/>
            <w:tcBorders>
              <w:top w:val="nil"/>
            </w:tcBorders>
          </w:tcPr>
          <w:p w:rsidR="004E7E23" w:rsidRDefault="005B5353">
            <w:pPr>
              <w:pStyle w:val="TableParagraph"/>
              <w:spacing w:before="4"/>
              <w:ind w:right="301"/>
              <w:jc w:val="right"/>
              <w:rPr>
                <w:sz w:val="10"/>
              </w:rPr>
            </w:pPr>
            <w:r>
              <w:rPr>
                <w:w w:val="125"/>
                <w:sz w:val="10"/>
              </w:rPr>
              <w:t>(n=26)</w:t>
            </w:r>
          </w:p>
        </w:tc>
        <w:tc>
          <w:tcPr>
            <w:tcW w:w="770" w:type="dxa"/>
            <w:tcBorders>
              <w:top w:val="nil"/>
            </w:tcBorders>
          </w:tcPr>
          <w:p w:rsidR="004E7E23" w:rsidRDefault="004E7E23">
            <w:pPr>
              <w:pStyle w:val="TableParagraph"/>
              <w:spacing w:before="0"/>
              <w:rPr>
                <w:rFonts w:ascii="Times"/>
                <w:sz w:val="10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4E7E23" w:rsidRDefault="005B5353">
            <w:pPr>
              <w:pStyle w:val="TableParagraph"/>
              <w:spacing w:before="4"/>
              <w:ind w:right="177"/>
              <w:jc w:val="right"/>
              <w:rPr>
                <w:sz w:val="10"/>
              </w:rPr>
            </w:pPr>
            <w:r>
              <w:rPr>
                <w:w w:val="125"/>
                <w:sz w:val="10"/>
              </w:rPr>
              <w:t>(221-289)</w:t>
            </w:r>
          </w:p>
        </w:tc>
        <w:tc>
          <w:tcPr>
            <w:tcW w:w="2517" w:type="dxa"/>
            <w:vMerge/>
            <w:tcBorders>
              <w:top w:val="nil"/>
            </w:tcBorders>
          </w:tcPr>
          <w:p w:rsidR="004E7E23" w:rsidRDefault="004E7E23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vMerge/>
            <w:tcBorders>
              <w:top w:val="nil"/>
            </w:tcBorders>
          </w:tcPr>
          <w:p w:rsidR="004E7E23" w:rsidRDefault="004E7E23">
            <w:pPr>
              <w:rPr>
                <w:sz w:val="2"/>
                <w:szCs w:val="2"/>
              </w:rPr>
            </w:pPr>
          </w:p>
        </w:tc>
      </w:tr>
    </w:tbl>
    <w:p w:rsidR="004E7E23" w:rsidRDefault="004E7E23">
      <w:pPr>
        <w:pStyle w:val="BodyText"/>
        <w:rPr>
          <w:rFonts w:ascii="Arial Black"/>
          <w:b/>
          <w:sz w:val="16"/>
        </w:rPr>
      </w:pPr>
    </w:p>
    <w:p w:rsidR="004E7E23" w:rsidRDefault="004E7E23">
      <w:pPr>
        <w:pStyle w:val="BodyText"/>
        <w:spacing w:before="8"/>
        <w:rPr>
          <w:rFonts w:ascii="Arial Black"/>
          <w:b/>
          <w:sz w:val="13"/>
        </w:rPr>
      </w:pPr>
    </w:p>
    <w:p w:rsidR="004E7E23" w:rsidRDefault="005B5353">
      <w:pPr>
        <w:pStyle w:val="BodyText"/>
        <w:spacing w:line="285" w:lineRule="auto"/>
        <w:ind w:left="103" w:right="216"/>
      </w:pPr>
      <w:r>
        <w:rPr>
          <w:w w:val="125"/>
        </w:rPr>
        <w:t xml:space="preserve">Data are shown as mean (SD) or median (25-75% quartile). Abbreviations: AE=adverse </w:t>
      </w:r>
      <w:r>
        <w:rPr>
          <w:spacing w:val="2"/>
          <w:w w:val="125"/>
        </w:rPr>
        <w:t xml:space="preserve">event; AKI=acute </w:t>
      </w:r>
      <w:r>
        <w:rPr>
          <w:w w:val="125"/>
        </w:rPr>
        <w:t xml:space="preserve">kidney insufficiency; C1-INH=C1-esterase inhibitor; C3=complement 3  level;  C4=complement  4  level;  CABG=coronary artery </w:t>
      </w:r>
      <w:r>
        <w:rPr>
          <w:spacing w:val="2"/>
          <w:w w:val="125"/>
        </w:rPr>
        <w:t xml:space="preserve">bypass </w:t>
      </w:r>
      <w:r>
        <w:rPr>
          <w:w w:val="125"/>
        </w:rPr>
        <w:t>grafting; CH50=50% hemoly</w:t>
      </w:r>
      <w:r>
        <w:rPr>
          <w:w w:val="125"/>
        </w:rPr>
        <w:t xml:space="preserve">tic complement activity test (to test classical complement </w:t>
      </w:r>
      <w:proofErr w:type="spellStart"/>
      <w:r>
        <w:rPr>
          <w:w w:val="125"/>
        </w:rPr>
        <w:t>comsumption</w:t>
      </w:r>
      <w:proofErr w:type="spellEnd"/>
      <w:r>
        <w:rPr>
          <w:w w:val="125"/>
        </w:rPr>
        <w:t>); CPB=</w:t>
      </w:r>
      <w:proofErr w:type="spellStart"/>
      <w:r>
        <w:rPr>
          <w:w w:val="125"/>
        </w:rPr>
        <w:t>cardiopulmoary</w:t>
      </w:r>
      <w:proofErr w:type="spellEnd"/>
      <w:r>
        <w:rPr>
          <w:w w:val="125"/>
        </w:rPr>
        <w:t xml:space="preserve"> bypass; h=hour(s); EACA=epsilon-aminocaproic acid; h=hour; IU=</w:t>
      </w:r>
      <w:proofErr w:type="spellStart"/>
      <w:r>
        <w:rPr>
          <w:w w:val="125"/>
        </w:rPr>
        <w:t>internatinal</w:t>
      </w:r>
      <w:proofErr w:type="spellEnd"/>
      <w:r>
        <w:rPr>
          <w:w w:val="125"/>
        </w:rPr>
        <w:t xml:space="preserve"> unit; min=minute; N.A.=not  </w:t>
      </w:r>
      <w:proofErr w:type="spellStart"/>
      <w:r>
        <w:rPr>
          <w:w w:val="125"/>
        </w:rPr>
        <w:t>applicalbe</w:t>
      </w:r>
      <w:proofErr w:type="spellEnd"/>
      <w:r>
        <w:rPr>
          <w:w w:val="125"/>
        </w:rPr>
        <w:t xml:space="preserve">;  N.S.=statistically </w:t>
      </w:r>
      <w:r>
        <w:rPr>
          <w:spacing w:val="2"/>
          <w:w w:val="125"/>
        </w:rPr>
        <w:t xml:space="preserve">not </w:t>
      </w:r>
      <w:r>
        <w:rPr>
          <w:w w:val="125"/>
        </w:rPr>
        <w:t>significant;</w:t>
      </w:r>
      <w:r>
        <w:rPr>
          <w:spacing w:val="13"/>
          <w:w w:val="125"/>
        </w:rPr>
        <w:t xml:space="preserve"> </w:t>
      </w:r>
      <w:r>
        <w:rPr>
          <w:w w:val="125"/>
        </w:rPr>
        <w:t>pd=plasma-de</w:t>
      </w:r>
      <w:r>
        <w:rPr>
          <w:w w:val="125"/>
        </w:rPr>
        <w:t>rived;</w:t>
      </w:r>
      <w:r>
        <w:rPr>
          <w:spacing w:val="14"/>
          <w:w w:val="125"/>
        </w:rPr>
        <w:t xml:space="preserve"> </w:t>
      </w:r>
      <w:r>
        <w:rPr>
          <w:w w:val="125"/>
        </w:rPr>
        <w:t>preop=preoperative,</w:t>
      </w:r>
      <w:r>
        <w:rPr>
          <w:spacing w:val="14"/>
          <w:w w:val="125"/>
        </w:rPr>
        <w:t xml:space="preserve"> </w:t>
      </w:r>
      <w:r>
        <w:rPr>
          <w:spacing w:val="2"/>
          <w:w w:val="125"/>
        </w:rPr>
        <w:t>postop=postoperative;</w:t>
      </w:r>
      <w:r>
        <w:rPr>
          <w:spacing w:val="14"/>
          <w:w w:val="125"/>
        </w:rPr>
        <w:t xml:space="preserve"> </w:t>
      </w:r>
      <w:r>
        <w:rPr>
          <w:w w:val="125"/>
        </w:rPr>
        <w:t>POD=postoperative</w:t>
      </w:r>
      <w:r>
        <w:rPr>
          <w:spacing w:val="18"/>
          <w:w w:val="125"/>
        </w:rPr>
        <w:t xml:space="preserve"> </w:t>
      </w:r>
      <w:r>
        <w:rPr>
          <w:w w:val="125"/>
        </w:rPr>
        <w:t>day;</w:t>
      </w:r>
      <w:r>
        <w:rPr>
          <w:spacing w:val="14"/>
          <w:w w:val="125"/>
        </w:rPr>
        <w:t xml:space="preserve"> </w:t>
      </w:r>
      <w:proofErr w:type="spellStart"/>
      <w:r>
        <w:rPr>
          <w:w w:val="125"/>
        </w:rPr>
        <w:t>qd</w:t>
      </w:r>
      <w:proofErr w:type="spellEnd"/>
      <w:r>
        <w:rPr>
          <w:w w:val="125"/>
        </w:rPr>
        <w:t>=every</w:t>
      </w:r>
      <w:r>
        <w:rPr>
          <w:spacing w:val="11"/>
          <w:w w:val="125"/>
        </w:rPr>
        <w:t xml:space="preserve"> </w:t>
      </w:r>
      <w:r>
        <w:rPr>
          <w:w w:val="125"/>
        </w:rPr>
        <w:t>day;</w:t>
      </w:r>
      <w:r>
        <w:rPr>
          <w:spacing w:val="14"/>
          <w:w w:val="125"/>
        </w:rPr>
        <w:t xml:space="preserve"> </w:t>
      </w:r>
      <w:r>
        <w:rPr>
          <w:w w:val="125"/>
        </w:rPr>
        <w:t>bid=twice</w:t>
      </w:r>
      <w:r>
        <w:rPr>
          <w:spacing w:val="17"/>
          <w:w w:val="125"/>
        </w:rPr>
        <w:t xml:space="preserve"> </w:t>
      </w:r>
      <w:r>
        <w:rPr>
          <w:w w:val="125"/>
        </w:rPr>
        <w:t>a</w:t>
      </w:r>
      <w:r>
        <w:rPr>
          <w:spacing w:val="18"/>
          <w:w w:val="125"/>
        </w:rPr>
        <w:t xml:space="preserve"> </w:t>
      </w:r>
      <w:r>
        <w:rPr>
          <w:w w:val="125"/>
        </w:rPr>
        <w:t>day;</w:t>
      </w:r>
      <w:r>
        <w:rPr>
          <w:spacing w:val="14"/>
          <w:w w:val="125"/>
        </w:rPr>
        <w:t xml:space="preserve"> </w:t>
      </w:r>
      <w:r>
        <w:rPr>
          <w:w w:val="125"/>
        </w:rPr>
        <w:t>rh=recombinant</w:t>
      </w:r>
      <w:r>
        <w:rPr>
          <w:spacing w:val="14"/>
          <w:w w:val="125"/>
        </w:rPr>
        <w:t xml:space="preserve"> </w:t>
      </w:r>
      <w:r>
        <w:rPr>
          <w:spacing w:val="2"/>
          <w:w w:val="125"/>
        </w:rPr>
        <w:t>human;</w:t>
      </w:r>
      <w:r>
        <w:rPr>
          <w:spacing w:val="14"/>
          <w:w w:val="125"/>
        </w:rPr>
        <w:t xml:space="preserve"> </w:t>
      </w:r>
      <w:r>
        <w:rPr>
          <w:w w:val="125"/>
        </w:rPr>
        <w:t>TXA=tranexamic</w:t>
      </w:r>
      <w:r>
        <w:rPr>
          <w:spacing w:val="11"/>
          <w:w w:val="125"/>
        </w:rPr>
        <w:t xml:space="preserve"> </w:t>
      </w:r>
      <w:r>
        <w:rPr>
          <w:w w:val="125"/>
        </w:rPr>
        <w:t>acid;</w:t>
      </w:r>
      <w:r>
        <w:rPr>
          <w:spacing w:val="14"/>
          <w:w w:val="125"/>
        </w:rPr>
        <w:t xml:space="preserve"> </w:t>
      </w:r>
      <w:r>
        <w:rPr>
          <w:w w:val="125"/>
        </w:rPr>
        <w:t>RBC=red</w:t>
      </w:r>
      <w:r>
        <w:rPr>
          <w:spacing w:val="17"/>
          <w:w w:val="125"/>
        </w:rPr>
        <w:t xml:space="preserve"> </w:t>
      </w:r>
      <w:r>
        <w:rPr>
          <w:w w:val="125"/>
        </w:rPr>
        <w:t>blood</w:t>
      </w:r>
      <w:r>
        <w:rPr>
          <w:spacing w:val="18"/>
          <w:w w:val="125"/>
        </w:rPr>
        <w:t xml:space="preserve"> </w:t>
      </w:r>
      <w:r>
        <w:rPr>
          <w:w w:val="125"/>
        </w:rPr>
        <w:t>cells;</w:t>
      </w:r>
      <w:r>
        <w:rPr>
          <w:spacing w:val="14"/>
          <w:w w:val="125"/>
        </w:rPr>
        <w:t xml:space="preserve"> </w:t>
      </w:r>
      <w:r>
        <w:rPr>
          <w:w w:val="125"/>
        </w:rPr>
        <w:t>RCT=randomized</w:t>
      </w:r>
      <w:r>
        <w:rPr>
          <w:spacing w:val="17"/>
          <w:w w:val="125"/>
        </w:rPr>
        <w:t xml:space="preserve"> </w:t>
      </w:r>
      <w:r>
        <w:rPr>
          <w:w w:val="125"/>
        </w:rPr>
        <w:t>controlled</w:t>
      </w:r>
      <w:r>
        <w:rPr>
          <w:spacing w:val="18"/>
          <w:w w:val="125"/>
        </w:rPr>
        <w:t xml:space="preserve"> </w:t>
      </w:r>
      <w:r>
        <w:rPr>
          <w:w w:val="125"/>
        </w:rPr>
        <w:t>trial;</w:t>
      </w:r>
      <w:r>
        <w:rPr>
          <w:spacing w:val="14"/>
          <w:w w:val="125"/>
        </w:rPr>
        <w:t xml:space="preserve"> </w:t>
      </w:r>
      <w:proofErr w:type="spellStart"/>
      <w:r>
        <w:rPr>
          <w:w w:val="125"/>
        </w:rPr>
        <w:t>yr</w:t>
      </w:r>
      <w:proofErr w:type="spellEnd"/>
      <w:r>
        <w:rPr>
          <w:w w:val="125"/>
        </w:rPr>
        <w:t>=year-</w:t>
      </w:r>
    </w:p>
    <w:p w:rsidR="004E7E23" w:rsidRDefault="005B5353">
      <w:pPr>
        <w:pStyle w:val="BodyText"/>
        <w:spacing w:before="2"/>
        <w:ind w:left="103"/>
      </w:pPr>
      <w:r>
        <w:rPr>
          <w:w w:val="125"/>
        </w:rPr>
        <w:t>old</w:t>
      </w:r>
    </w:p>
    <w:sectPr w:rsidR="004E7E23">
      <w:type w:val="continuous"/>
      <w:pgSz w:w="12390" w:h="5330" w:orient="landscape"/>
      <w:pgMar w:top="0" w:right="14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7E23"/>
    <w:rsid w:val="004E7E23"/>
    <w:rsid w:val="005B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6163F6"/>
  <w15:docId w15:val="{7F20D74D-9484-824E-97B2-DB9039269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0"/>
      <w:szCs w:val="1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535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353"/>
    <w:rPr>
      <w:rFonts w:ascii="Times New Roman" w:eastAsia="Arial Narrow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453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Tanaka, Kenichi</cp:lastModifiedBy>
  <cp:revision>2</cp:revision>
  <dcterms:created xsi:type="dcterms:W3CDTF">2019-09-28T17:28:00Z</dcterms:created>
  <dcterms:modified xsi:type="dcterms:W3CDTF">2019-11-23T20:05:00Z</dcterms:modified>
</cp:coreProperties>
</file>