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625D" w14:textId="77777777" w:rsidR="00384D0F" w:rsidRPr="00F14CA0" w:rsidRDefault="00384D0F" w:rsidP="00F14CA0">
      <w:pPr>
        <w:spacing w:line="480" w:lineRule="auto"/>
        <w:jc w:val="left"/>
        <w:rPr>
          <w:rFonts w:ascii="Times New Roman" w:eastAsia="宋体" w:hAnsi="Times New Roman"/>
          <w:b/>
          <w:sz w:val="24"/>
          <w:szCs w:val="28"/>
        </w:rPr>
      </w:pPr>
      <w:r w:rsidRPr="00F14CA0">
        <w:rPr>
          <w:rFonts w:ascii="Times New Roman" w:eastAsia="宋体" w:hAnsi="Times New Roman"/>
          <w:b/>
          <w:sz w:val="24"/>
          <w:szCs w:val="28"/>
        </w:rPr>
        <w:t>Supplementary Methods</w:t>
      </w:r>
    </w:p>
    <w:p w14:paraId="65C677EE" w14:textId="77777777" w:rsidR="00384D0F" w:rsidRPr="00F14CA0" w:rsidRDefault="00384D0F" w:rsidP="00F14CA0">
      <w:pPr>
        <w:spacing w:line="480" w:lineRule="auto"/>
        <w:jc w:val="left"/>
        <w:rPr>
          <w:rFonts w:ascii="Times New Roman" w:eastAsia="宋体" w:hAnsi="Times New Roman"/>
          <w:sz w:val="24"/>
          <w:szCs w:val="24"/>
        </w:rPr>
      </w:pPr>
      <w:r w:rsidRPr="00F14CA0">
        <w:rPr>
          <w:rFonts w:ascii="Times New Roman" w:eastAsia="宋体" w:hAnsi="Times New Roman"/>
          <w:b/>
          <w:bCs/>
          <w:sz w:val="24"/>
          <w:szCs w:val="24"/>
        </w:rPr>
        <w:t xml:space="preserve">Standard </w:t>
      </w:r>
      <w:bookmarkStart w:id="0" w:name="_Hlk30178679"/>
      <w:r w:rsidRPr="00F14CA0">
        <w:rPr>
          <w:rFonts w:ascii="Times New Roman" w:eastAsia="宋体" w:hAnsi="Times New Roman"/>
          <w:b/>
          <w:bCs/>
          <w:sz w:val="24"/>
          <w:szCs w:val="24"/>
        </w:rPr>
        <w:t>Anesthesia Procedures</w:t>
      </w:r>
      <w:bookmarkEnd w:id="0"/>
    </w:p>
    <w:p w14:paraId="09F3BFE7" w14:textId="77777777" w:rsidR="00384D0F" w:rsidRDefault="00384D0F" w:rsidP="00F14CA0">
      <w:pPr>
        <w:spacing w:line="48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F14CA0">
        <w:rPr>
          <w:rFonts w:ascii="Times New Roman" w:eastAsia="宋体" w:hAnsi="Times New Roman"/>
          <w:sz w:val="24"/>
          <w:szCs w:val="24"/>
        </w:rPr>
        <w:t xml:space="preserve">Patients were routinely monitored </w:t>
      </w:r>
      <w:r>
        <w:rPr>
          <w:rFonts w:ascii="Times New Roman" w:eastAsia="宋体" w:hAnsi="Times New Roman"/>
          <w:sz w:val="24"/>
          <w:szCs w:val="24"/>
        </w:rPr>
        <w:t>with</w:t>
      </w:r>
      <w:r w:rsidRPr="00F14CA0">
        <w:rPr>
          <w:rFonts w:ascii="Times New Roman" w:eastAsia="宋体" w:hAnsi="Times New Roman"/>
          <w:sz w:val="24"/>
          <w:szCs w:val="24"/>
        </w:rPr>
        <w:t xml:space="preserve"> electrocardiogram, pulse oximetry, electrical impedance tomography, response entropy, and train-of-four stimulation. An arterial line (radial) and a central line were established under local anesthesia, </w:t>
      </w:r>
      <w:r>
        <w:rPr>
          <w:rFonts w:ascii="Times New Roman" w:eastAsia="宋体" w:hAnsi="Times New Roman"/>
          <w:sz w:val="24"/>
          <w:szCs w:val="24"/>
        </w:rPr>
        <w:t>allowing</w:t>
      </w:r>
      <w:r w:rsidRPr="00F14CA0">
        <w:rPr>
          <w:rFonts w:ascii="Times New Roman" w:eastAsia="宋体" w:hAnsi="Times New Roman"/>
          <w:sz w:val="24"/>
          <w:szCs w:val="24"/>
        </w:rPr>
        <w:t xml:space="preserve"> </w:t>
      </w:r>
      <w:r w:rsidRPr="00267076">
        <w:rPr>
          <w:rFonts w:ascii="Times New Roman" w:eastAsia="宋体" w:hAnsi="Times New Roman"/>
          <w:sz w:val="24"/>
          <w:szCs w:val="24"/>
        </w:rPr>
        <w:t>intermittent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F14CA0">
        <w:rPr>
          <w:rFonts w:ascii="Times New Roman" w:eastAsia="宋体" w:hAnsi="Times New Roman"/>
          <w:sz w:val="24"/>
          <w:szCs w:val="24"/>
        </w:rPr>
        <w:t>blood gas analyses</w:t>
      </w:r>
      <w:r>
        <w:rPr>
          <w:rFonts w:ascii="Times New Roman" w:eastAsia="宋体" w:hAnsi="Times New Roman"/>
          <w:sz w:val="24"/>
          <w:szCs w:val="24"/>
        </w:rPr>
        <w:t xml:space="preserve"> and</w:t>
      </w:r>
      <w:r w:rsidRPr="00F14CA0">
        <w:rPr>
          <w:rFonts w:ascii="Times New Roman" w:eastAsia="宋体" w:hAnsi="Times New Roman"/>
          <w:sz w:val="24"/>
          <w:szCs w:val="24"/>
        </w:rPr>
        <w:t xml:space="preserve"> continuously monitor</w:t>
      </w:r>
      <w:r>
        <w:rPr>
          <w:rFonts w:ascii="Times New Roman" w:eastAsia="宋体" w:hAnsi="Times New Roman"/>
          <w:sz w:val="24"/>
          <w:szCs w:val="24"/>
        </w:rPr>
        <w:t>ing of</w:t>
      </w:r>
      <w:r w:rsidRPr="00F14CA0">
        <w:rPr>
          <w:rFonts w:ascii="Times New Roman" w:eastAsia="宋体" w:hAnsi="Times New Roman"/>
          <w:sz w:val="24"/>
          <w:szCs w:val="24"/>
        </w:rPr>
        <w:t xml:space="preserve"> cardiac index (by </w:t>
      </w:r>
      <w:proofErr w:type="spellStart"/>
      <w:r w:rsidRPr="00F14CA0">
        <w:rPr>
          <w:rFonts w:ascii="Times New Roman" w:eastAsia="宋体" w:hAnsi="Times New Roman"/>
          <w:sz w:val="24"/>
          <w:szCs w:val="24"/>
        </w:rPr>
        <w:t>FloTrac</w:t>
      </w:r>
      <w:proofErr w:type="spellEnd"/>
      <w:r w:rsidRPr="00F14CA0">
        <w:rPr>
          <w:rFonts w:ascii="Times New Roman" w:eastAsia="宋体" w:hAnsi="Times New Roman"/>
          <w:sz w:val="24"/>
          <w:szCs w:val="24"/>
        </w:rPr>
        <w:t>/</w:t>
      </w:r>
      <w:proofErr w:type="spellStart"/>
      <w:r w:rsidRPr="00F14CA0">
        <w:rPr>
          <w:rFonts w:ascii="Times New Roman" w:eastAsia="宋体" w:hAnsi="Times New Roman"/>
          <w:sz w:val="24"/>
          <w:szCs w:val="24"/>
        </w:rPr>
        <w:t>Vigileo</w:t>
      </w:r>
      <w:proofErr w:type="spellEnd"/>
      <w:r w:rsidRPr="00F14CA0">
        <w:rPr>
          <w:rFonts w:ascii="Times New Roman" w:eastAsia="宋体" w:hAnsi="Times New Roman"/>
          <w:sz w:val="24"/>
          <w:szCs w:val="24"/>
        </w:rPr>
        <w:t>).</w:t>
      </w:r>
    </w:p>
    <w:p w14:paraId="6715BD9C" w14:textId="77777777" w:rsidR="00384D0F" w:rsidRDefault="00384D0F" w:rsidP="00F14CA0">
      <w:pPr>
        <w:spacing w:line="48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F14CA0">
        <w:rPr>
          <w:rFonts w:ascii="Times New Roman" w:eastAsia="宋体" w:hAnsi="Times New Roman"/>
          <w:sz w:val="24"/>
          <w:szCs w:val="24"/>
        </w:rPr>
        <w:t xml:space="preserve">Patients were preoxygenated </w:t>
      </w:r>
      <w:r>
        <w:rPr>
          <w:rFonts w:ascii="Times New Roman" w:eastAsia="宋体" w:hAnsi="Times New Roman"/>
          <w:sz w:val="24"/>
          <w:szCs w:val="24"/>
        </w:rPr>
        <w:t>(</w:t>
      </w:r>
      <w:r w:rsidRPr="00F14CA0">
        <w:rPr>
          <w:rFonts w:ascii="Times New Roman" w:eastAsia="宋体" w:hAnsi="Times New Roman"/>
          <w:sz w:val="24"/>
          <w:szCs w:val="24"/>
        </w:rPr>
        <w:t xml:space="preserve">inspired oxygen fraction </w:t>
      </w:r>
      <w:r>
        <w:rPr>
          <w:rFonts w:ascii="Times New Roman" w:eastAsia="宋体" w:hAnsi="Times New Roman"/>
          <w:sz w:val="24"/>
          <w:szCs w:val="24"/>
        </w:rPr>
        <w:t>[</w:t>
      </w:r>
      <w:r w:rsidRPr="00F14CA0">
        <w:rPr>
          <w:rFonts w:ascii="Times New Roman" w:eastAsia="宋体" w:hAnsi="Times New Roman"/>
          <w:sz w:val="24"/>
          <w:szCs w:val="24"/>
        </w:rPr>
        <w:t>FiO</w:t>
      </w:r>
      <w:r w:rsidRPr="00865CE8">
        <w:rPr>
          <w:rFonts w:ascii="Times New Roman" w:eastAsia="宋体" w:hAnsi="Times New Roman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sz w:val="24"/>
          <w:szCs w:val="24"/>
        </w:rPr>
        <w:t>]</w:t>
      </w:r>
      <w:r w:rsidRPr="00F14CA0">
        <w:rPr>
          <w:rFonts w:ascii="Times New Roman" w:eastAsia="宋体" w:hAnsi="Times New Roman"/>
          <w:sz w:val="24"/>
          <w:szCs w:val="24"/>
        </w:rPr>
        <w:t xml:space="preserve"> of 0.8</w:t>
      </w:r>
      <w:r>
        <w:rPr>
          <w:rFonts w:ascii="Times New Roman" w:eastAsia="宋体" w:hAnsi="Times New Roman"/>
          <w:sz w:val="24"/>
          <w:szCs w:val="24"/>
        </w:rPr>
        <w:t>)</w:t>
      </w:r>
      <w:r w:rsidRPr="00F14CA0">
        <w:rPr>
          <w:rFonts w:ascii="Times New Roman" w:eastAsia="宋体" w:hAnsi="Times New Roman"/>
          <w:sz w:val="24"/>
          <w:szCs w:val="24"/>
        </w:rPr>
        <w:t xml:space="preserve"> for three minutes before tracheal intubation. FiO</w:t>
      </w:r>
      <w:r w:rsidRPr="00614B44">
        <w:rPr>
          <w:rFonts w:ascii="Times New Roman" w:eastAsia="宋体" w:hAnsi="Times New Roman"/>
          <w:sz w:val="24"/>
          <w:szCs w:val="24"/>
          <w:vertAlign w:val="subscript"/>
        </w:rPr>
        <w:t>2</w:t>
      </w:r>
      <w:r w:rsidRPr="00F14CA0">
        <w:rPr>
          <w:rFonts w:ascii="Times New Roman" w:eastAsia="宋体" w:hAnsi="Times New Roman"/>
          <w:sz w:val="24"/>
          <w:szCs w:val="24"/>
        </w:rPr>
        <w:t xml:space="preserve"> was maintained at 0.3 during anesthesia. All patients received intravenous midazolam (0.05 mg/kg), propofol (1-2 mg/kg), cis-atracurium (0.2 mg/kg), and fentanyl (2 </w:t>
      </w:r>
      <w:proofErr w:type="spellStart"/>
      <w:r w:rsidRPr="00F14CA0">
        <w:rPr>
          <w:rFonts w:ascii="Times New Roman" w:eastAsia="宋体" w:hAnsi="Times New Roman"/>
          <w:sz w:val="24"/>
          <w:szCs w:val="24"/>
        </w:rPr>
        <w:t>μg</w:t>
      </w:r>
      <w:proofErr w:type="spellEnd"/>
      <w:r w:rsidRPr="00F14CA0">
        <w:rPr>
          <w:rFonts w:ascii="Times New Roman" w:eastAsia="宋体" w:hAnsi="Times New Roman"/>
          <w:sz w:val="24"/>
          <w:szCs w:val="24"/>
        </w:rPr>
        <w:t xml:space="preserve">/kg) </w:t>
      </w:r>
      <w:r>
        <w:rPr>
          <w:rFonts w:ascii="Times New Roman" w:eastAsia="宋体" w:hAnsi="Times New Roman"/>
          <w:sz w:val="24"/>
          <w:szCs w:val="24"/>
        </w:rPr>
        <w:t>for</w:t>
      </w:r>
      <w:r w:rsidRPr="00F14CA0">
        <w:rPr>
          <w:rFonts w:ascii="Times New Roman" w:eastAsia="宋体" w:hAnsi="Times New Roman"/>
          <w:sz w:val="24"/>
          <w:szCs w:val="24"/>
        </w:rPr>
        <w:t xml:space="preserve"> induction. </w:t>
      </w:r>
      <w:r>
        <w:rPr>
          <w:rFonts w:ascii="Times New Roman" w:eastAsia="宋体" w:hAnsi="Times New Roman"/>
          <w:sz w:val="24"/>
          <w:szCs w:val="24"/>
        </w:rPr>
        <w:t>T</w:t>
      </w:r>
      <w:r w:rsidRPr="00F14CA0">
        <w:rPr>
          <w:rFonts w:ascii="Times New Roman" w:eastAsia="宋体" w:hAnsi="Times New Roman"/>
          <w:sz w:val="24"/>
          <w:szCs w:val="24"/>
        </w:rPr>
        <w:t xml:space="preserve">racheal intubation was accomplished 2-3 min after </w:t>
      </w:r>
      <w:bookmarkStart w:id="1" w:name="OLE_LINK10"/>
      <w:r w:rsidRPr="00F14CA0">
        <w:rPr>
          <w:rFonts w:ascii="Times New Roman" w:eastAsia="宋体" w:hAnsi="Times New Roman"/>
          <w:sz w:val="24"/>
          <w:szCs w:val="24"/>
        </w:rPr>
        <w:t>anesthetic induction</w:t>
      </w:r>
      <w:bookmarkEnd w:id="1"/>
      <w:r w:rsidRPr="00F14CA0">
        <w:rPr>
          <w:rFonts w:ascii="Times New Roman" w:eastAsia="宋体" w:hAnsi="Times New Roman"/>
          <w:sz w:val="24"/>
          <w:szCs w:val="24"/>
        </w:rPr>
        <w:t>. Bilateral subcostal and lateral transversus abdominis plane blocks were applied for intraoperative and postoperative analgesia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 w:rsidRPr="00F14CA0">
        <w:rPr>
          <w:rFonts w:ascii="Times New Roman" w:eastAsia="宋体" w:hAnsi="Times New Roman"/>
          <w:sz w:val="24"/>
          <w:szCs w:val="24"/>
        </w:rPr>
        <w:t xml:space="preserve">(two separate injections on each side, 60 ml of 0.25% ropivacaine and 4 mg dexamethasone in total). Propofol and remifentanil (0.1-0.25 </w:t>
      </w:r>
      <w:proofErr w:type="spellStart"/>
      <w:r w:rsidRPr="00F14CA0">
        <w:rPr>
          <w:rFonts w:ascii="Times New Roman" w:eastAsia="宋体" w:hAnsi="Times New Roman"/>
          <w:sz w:val="24"/>
          <w:szCs w:val="24"/>
        </w:rPr>
        <w:t>μg</w:t>
      </w:r>
      <w:proofErr w:type="spellEnd"/>
      <w:r w:rsidRPr="00F14CA0">
        <w:rPr>
          <w:rFonts w:ascii="Times New Roman" w:eastAsia="宋体" w:hAnsi="Times New Roman"/>
          <w:sz w:val="24"/>
          <w:szCs w:val="24"/>
        </w:rPr>
        <w:t xml:space="preserve">/kg/min) were administered to </w:t>
      </w:r>
      <w:r>
        <w:rPr>
          <w:rFonts w:ascii="Times New Roman" w:eastAsia="宋体" w:hAnsi="Times New Roman"/>
          <w:sz w:val="24"/>
          <w:szCs w:val="24"/>
        </w:rPr>
        <w:t>achieve</w:t>
      </w:r>
      <w:r w:rsidRPr="00F14CA0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a </w:t>
      </w:r>
      <w:r w:rsidRPr="00F14CA0">
        <w:rPr>
          <w:rFonts w:ascii="Times New Roman" w:eastAsia="宋体" w:hAnsi="Times New Roman"/>
          <w:sz w:val="24"/>
          <w:szCs w:val="24"/>
        </w:rPr>
        <w:t xml:space="preserve">response entropy </w:t>
      </w:r>
      <w:r>
        <w:rPr>
          <w:rFonts w:ascii="Times New Roman" w:eastAsia="宋体" w:hAnsi="Times New Roman"/>
          <w:sz w:val="24"/>
          <w:szCs w:val="24"/>
        </w:rPr>
        <w:t>of</w:t>
      </w:r>
      <w:r w:rsidRPr="00F14CA0">
        <w:rPr>
          <w:rFonts w:ascii="Times New Roman" w:eastAsia="宋体" w:hAnsi="Times New Roman"/>
          <w:sz w:val="24"/>
          <w:szCs w:val="24"/>
        </w:rPr>
        <w:t xml:space="preserve"> 40</w:t>
      </w:r>
      <w:r>
        <w:rPr>
          <w:rFonts w:ascii="Times New Roman" w:eastAsia="宋体" w:hAnsi="Times New Roman"/>
          <w:sz w:val="24"/>
          <w:szCs w:val="24"/>
        </w:rPr>
        <w:t>-</w:t>
      </w:r>
      <w:r w:rsidRPr="00F14CA0">
        <w:rPr>
          <w:rFonts w:ascii="Times New Roman" w:eastAsia="宋体" w:hAnsi="Times New Roman"/>
          <w:sz w:val="24"/>
          <w:szCs w:val="24"/>
        </w:rPr>
        <w:t xml:space="preserve">60. Cis-atracurium was used to provide sufficient muscle relaxation (train-of-four stimulation &lt; 25%). Heart rate and blood pressure were </w:t>
      </w:r>
      <w:r>
        <w:rPr>
          <w:rFonts w:ascii="Times New Roman" w:eastAsia="宋体" w:hAnsi="Times New Roman"/>
          <w:sz w:val="24"/>
          <w:szCs w:val="24"/>
        </w:rPr>
        <w:t>maintained</w:t>
      </w:r>
      <w:r w:rsidRPr="00F14CA0">
        <w:rPr>
          <w:rFonts w:ascii="Times New Roman" w:eastAsia="宋体" w:hAnsi="Times New Roman"/>
          <w:sz w:val="24"/>
          <w:szCs w:val="24"/>
        </w:rPr>
        <w:t xml:space="preserve"> within +/- 25% </w:t>
      </w:r>
      <w:r>
        <w:rPr>
          <w:rFonts w:ascii="Times New Roman" w:eastAsia="宋体" w:hAnsi="Times New Roman"/>
          <w:sz w:val="24"/>
          <w:szCs w:val="24"/>
        </w:rPr>
        <w:t xml:space="preserve">range </w:t>
      </w:r>
      <w:r w:rsidRPr="00F14CA0">
        <w:rPr>
          <w:rFonts w:ascii="Times New Roman" w:eastAsia="宋体" w:hAnsi="Times New Roman"/>
          <w:sz w:val="24"/>
          <w:szCs w:val="24"/>
        </w:rPr>
        <w:t xml:space="preserve">of the baseline value during the surgery. </w:t>
      </w:r>
      <w:bookmarkStart w:id="2" w:name="_Hlk32517314"/>
      <w:r w:rsidRPr="00F14CA0">
        <w:rPr>
          <w:rFonts w:ascii="Times New Roman" w:eastAsia="宋体" w:hAnsi="Times New Roman"/>
          <w:sz w:val="24"/>
          <w:szCs w:val="24"/>
        </w:rPr>
        <w:t xml:space="preserve">Neostigmine (0.03 mg/kg) and atropine (0.015 mg/kg) were used to reverse the neuromuscular block at the end of surgery. </w:t>
      </w:r>
      <w:bookmarkEnd w:id="2"/>
      <w:r>
        <w:rPr>
          <w:rFonts w:ascii="Times New Roman" w:eastAsia="宋体" w:hAnsi="Times New Roman"/>
          <w:sz w:val="24"/>
          <w:szCs w:val="24"/>
        </w:rPr>
        <w:t xml:space="preserve">Patients in </w:t>
      </w:r>
      <w:r w:rsidRPr="00336F78">
        <w:rPr>
          <w:rFonts w:ascii="Times New Roman" w:eastAsia="宋体" w:hAnsi="Times New Roman"/>
          <w:sz w:val="24"/>
          <w:szCs w:val="24"/>
        </w:rPr>
        <w:t>both groups under</w:t>
      </w:r>
      <w:r>
        <w:rPr>
          <w:rFonts w:ascii="Times New Roman" w:eastAsia="宋体" w:hAnsi="Times New Roman"/>
          <w:sz w:val="24"/>
          <w:szCs w:val="24"/>
        </w:rPr>
        <w:t>went</w:t>
      </w:r>
      <w:r w:rsidRPr="00336F78">
        <w:rPr>
          <w:rFonts w:ascii="Times New Roman" w:eastAsia="宋体" w:hAnsi="Times New Roman"/>
          <w:sz w:val="24"/>
          <w:szCs w:val="24"/>
        </w:rPr>
        <w:t xml:space="preserve"> similar emergence and extubati</w:t>
      </w:r>
      <w:r>
        <w:rPr>
          <w:rFonts w:ascii="Times New Roman" w:eastAsia="宋体" w:hAnsi="Times New Roman"/>
          <w:sz w:val="24"/>
          <w:szCs w:val="24"/>
        </w:rPr>
        <w:t>ng</w:t>
      </w:r>
      <w:r w:rsidRPr="00336F78">
        <w:rPr>
          <w:rFonts w:ascii="Times New Roman" w:eastAsia="宋体" w:hAnsi="Times New Roman"/>
          <w:sz w:val="24"/>
          <w:szCs w:val="24"/>
        </w:rPr>
        <w:t xml:space="preserve"> procedures</w:t>
      </w:r>
      <w:r>
        <w:rPr>
          <w:rFonts w:ascii="Times New Roman" w:eastAsia="宋体" w:hAnsi="Times New Roman"/>
          <w:sz w:val="24"/>
          <w:szCs w:val="24"/>
        </w:rPr>
        <w:t xml:space="preserve"> in the operating room, then</w:t>
      </w:r>
      <w:r w:rsidRPr="00F14CA0">
        <w:rPr>
          <w:rFonts w:ascii="Times New Roman" w:eastAsia="宋体" w:hAnsi="Times New Roman"/>
          <w:sz w:val="24"/>
          <w:szCs w:val="24"/>
        </w:rPr>
        <w:t xml:space="preserve"> sent to PACU </w:t>
      </w:r>
      <w:r>
        <w:rPr>
          <w:rFonts w:ascii="Times New Roman" w:eastAsia="宋体" w:hAnsi="Times New Roman"/>
          <w:sz w:val="24"/>
          <w:szCs w:val="24"/>
        </w:rPr>
        <w:t>until fully awake and satisfactory with pain control.</w:t>
      </w:r>
    </w:p>
    <w:p w14:paraId="4817E875" w14:textId="77777777" w:rsidR="00384D0F" w:rsidRDefault="00384D0F" w:rsidP="00F14CA0">
      <w:pPr>
        <w:spacing w:line="48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F14CA0">
        <w:rPr>
          <w:rFonts w:ascii="Times New Roman" w:eastAsia="宋体" w:hAnsi="Times New Roman"/>
          <w:sz w:val="24"/>
          <w:szCs w:val="24"/>
        </w:rPr>
        <w:t xml:space="preserve">A stroke volume variation (SVV)-based goal-directed therapy protocol was adopted. In brief, boluses of 250 mL colloid were administered over 15-20 min if SVV was </w:t>
      </w:r>
      <w:r w:rsidRPr="00F14CA0">
        <w:rPr>
          <w:rFonts w:ascii="Times New Roman" w:eastAsia="宋体" w:hAnsi="Times New Roman" w:hint="eastAsia"/>
          <w:sz w:val="24"/>
          <w:szCs w:val="24"/>
        </w:rPr>
        <w:t>≥</w:t>
      </w:r>
      <w:r w:rsidRPr="00F14CA0">
        <w:rPr>
          <w:rFonts w:ascii="Times New Roman" w:eastAsia="宋体" w:hAnsi="Times New Roman"/>
          <w:sz w:val="24"/>
          <w:szCs w:val="24"/>
        </w:rPr>
        <w:t xml:space="preserve"> 13%. An additional bolus </w:t>
      </w:r>
      <w:r>
        <w:rPr>
          <w:rFonts w:ascii="Times New Roman" w:eastAsia="宋体" w:hAnsi="Times New Roman"/>
          <w:sz w:val="24"/>
          <w:szCs w:val="24"/>
        </w:rPr>
        <w:t>would be</w:t>
      </w:r>
      <w:r w:rsidRPr="00F14CA0">
        <w:rPr>
          <w:rFonts w:ascii="Times New Roman" w:eastAsia="宋体" w:hAnsi="Times New Roman"/>
          <w:sz w:val="24"/>
          <w:szCs w:val="24"/>
        </w:rPr>
        <w:t xml:space="preserve"> given if the stroke volume increased by more than 10%. Small doses of </w:t>
      </w:r>
      <w:r w:rsidRPr="00F14CA0">
        <w:rPr>
          <w:rFonts w:ascii="Times New Roman" w:eastAsia="宋体" w:hAnsi="Times New Roman"/>
          <w:sz w:val="24"/>
          <w:szCs w:val="24"/>
        </w:rPr>
        <w:lastRenderedPageBreak/>
        <w:t>phenylephrine, norepinephrine, or ephedrine were administered as required to maintain the mean arterial pressure above 60 mmHg.</w:t>
      </w:r>
      <w:bookmarkStart w:id="3" w:name="_Hlk30319558"/>
    </w:p>
    <w:p w14:paraId="583DA1BA" w14:textId="77777777" w:rsidR="00384D0F" w:rsidRDefault="00384D0F" w:rsidP="00F14CA0">
      <w:pPr>
        <w:spacing w:line="480" w:lineRule="auto"/>
        <w:ind w:firstLineChars="200" w:firstLine="480"/>
        <w:jc w:val="left"/>
        <w:rPr>
          <w:rFonts w:ascii="Times New Roman" w:eastAsia="宋体" w:hAnsi="Times New Roman"/>
          <w:color w:val="000000"/>
          <w:sz w:val="24"/>
          <w:szCs w:val="24"/>
        </w:rPr>
      </w:pPr>
      <w:r w:rsidRPr="00F14CA0">
        <w:rPr>
          <w:rFonts w:ascii="Times New Roman" w:eastAsia="宋体" w:hAnsi="Times New Roman"/>
          <w:color w:val="000000"/>
          <w:sz w:val="24"/>
          <w:szCs w:val="24"/>
        </w:rPr>
        <w:t xml:space="preserve">A multimodal approach was employed to achieve adequate postoperative analgesia (visual analogue scale [VAS] below 3). This included </w:t>
      </w:r>
      <w:bookmarkStart w:id="4" w:name="_Hlk31097304"/>
      <w:r w:rsidRPr="00F14CA0">
        <w:rPr>
          <w:rFonts w:ascii="Times New Roman" w:eastAsia="宋体" w:hAnsi="Times New Roman"/>
          <w:color w:val="000000"/>
          <w:sz w:val="24"/>
          <w:szCs w:val="24"/>
        </w:rPr>
        <w:t xml:space="preserve">bilateral subcostal and </w:t>
      </w:r>
      <w:bookmarkStart w:id="5" w:name="OLE_LINK26"/>
      <w:r w:rsidRPr="00F14CA0">
        <w:rPr>
          <w:rFonts w:ascii="Times New Roman" w:eastAsia="宋体" w:hAnsi="Times New Roman"/>
          <w:color w:val="000000"/>
          <w:sz w:val="24"/>
          <w:szCs w:val="24"/>
        </w:rPr>
        <w:t>lateral</w:t>
      </w:r>
      <w:bookmarkEnd w:id="5"/>
      <w:r w:rsidRPr="00F14CA0">
        <w:rPr>
          <w:rFonts w:ascii="Times New Roman" w:eastAsia="宋体" w:hAnsi="Times New Roman"/>
          <w:color w:val="000000"/>
          <w:sz w:val="24"/>
          <w:szCs w:val="24"/>
        </w:rPr>
        <w:t xml:space="preserve"> transversus abdominis plane block</w:t>
      </w:r>
      <w:bookmarkEnd w:id="4"/>
      <w:r w:rsidRPr="00F14CA0">
        <w:rPr>
          <w:rFonts w:ascii="Times New Roman" w:eastAsia="宋体" w:hAnsi="Times New Roman"/>
          <w:color w:val="000000"/>
          <w:sz w:val="24"/>
          <w:szCs w:val="24"/>
        </w:rPr>
        <w:t>, acetaminophen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g"/>
        </w:smartTagPr>
        <w:r w:rsidRPr="00F14CA0">
          <w:rPr>
            <w:rFonts w:ascii="Times New Roman" w:eastAsia="宋体" w:hAnsi="Times New Roman"/>
            <w:color w:val="000000"/>
            <w:sz w:val="24"/>
            <w:szCs w:val="24"/>
          </w:rPr>
          <w:t>1 g</w:t>
        </w:r>
      </w:smartTag>
      <w:r w:rsidRPr="00F14CA0">
        <w:rPr>
          <w:rFonts w:ascii="Times New Roman" w:eastAsia="宋体" w:hAnsi="Times New Roman"/>
          <w:color w:val="000000"/>
          <w:sz w:val="24"/>
          <w:szCs w:val="24"/>
        </w:rPr>
        <w:t xml:space="preserve"> PO q8hr), parecoxib (40 mg IV q12hr), tramadol (50-100 mg PO as needed), and morphine </w:t>
      </w:r>
      <w:r>
        <w:rPr>
          <w:rFonts w:ascii="Times New Roman" w:eastAsia="宋体" w:hAnsi="Times New Roman"/>
          <w:color w:val="000000"/>
          <w:sz w:val="24"/>
          <w:szCs w:val="24"/>
        </w:rPr>
        <w:t>(</w:t>
      </w:r>
      <w:r w:rsidRPr="00F14CA0">
        <w:rPr>
          <w:rFonts w:ascii="Times New Roman" w:eastAsia="宋体" w:hAnsi="Times New Roman"/>
          <w:color w:val="000000"/>
          <w:sz w:val="24"/>
          <w:szCs w:val="24"/>
        </w:rPr>
        <w:t>IV only for breakthrough pain or for patients who were unable to tolerate PO</w:t>
      </w:r>
      <w:r>
        <w:rPr>
          <w:rFonts w:ascii="Times New Roman" w:eastAsia="宋体" w:hAnsi="Times New Roman"/>
          <w:color w:val="000000"/>
          <w:sz w:val="24"/>
          <w:szCs w:val="24"/>
        </w:rPr>
        <w:t>)</w:t>
      </w:r>
      <w:r w:rsidRPr="00F14CA0">
        <w:rPr>
          <w:rFonts w:ascii="Times New Roman" w:eastAsia="宋体" w:hAnsi="Times New Roman"/>
          <w:color w:val="000000"/>
          <w:sz w:val="24"/>
          <w:szCs w:val="24"/>
        </w:rPr>
        <w:t>. Respiratory physiotherap</w:t>
      </w:r>
      <w:r>
        <w:rPr>
          <w:rFonts w:ascii="Times New Roman" w:eastAsia="宋体" w:hAnsi="Times New Roman"/>
          <w:color w:val="000000"/>
          <w:sz w:val="24"/>
          <w:szCs w:val="24"/>
        </w:rPr>
        <w:t>ies</w:t>
      </w:r>
      <w:r w:rsidRPr="00F14CA0">
        <w:rPr>
          <w:rFonts w:ascii="Times New Roman" w:eastAsia="宋体" w:hAnsi="Times New Roman"/>
          <w:color w:val="000000"/>
          <w:sz w:val="24"/>
          <w:szCs w:val="24"/>
        </w:rPr>
        <w:t xml:space="preserve"> on a daily basis including early ambulation, two sets of ten deep breaths followed by three effective coughs, and incentive spirometry </w:t>
      </w:r>
      <w:r>
        <w:rPr>
          <w:rFonts w:ascii="Times New Roman" w:eastAsia="宋体" w:hAnsi="Times New Roman"/>
          <w:color w:val="000000"/>
          <w:sz w:val="24"/>
          <w:szCs w:val="24"/>
        </w:rPr>
        <w:t>were</w:t>
      </w:r>
      <w:r w:rsidRPr="00F14CA0">
        <w:rPr>
          <w:rFonts w:ascii="Times New Roman" w:eastAsia="宋体" w:hAnsi="Times New Roman"/>
          <w:color w:val="000000"/>
          <w:sz w:val="24"/>
          <w:szCs w:val="24"/>
        </w:rPr>
        <w:t xml:space="preserve"> started immediately after surgery by physiotherapists or attending nurses. </w:t>
      </w:r>
      <w:bookmarkEnd w:id="3"/>
      <w:r w:rsidRPr="00F14CA0">
        <w:rPr>
          <w:rFonts w:ascii="Times New Roman" w:eastAsia="宋体" w:hAnsi="Times New Roman"/>
          <w:color w:val="000000"/>
          <w:sz w:val="24"/>
          <w:szCs w:val="24"/>
        </w:rPr>
        <w:t>Other elements of ERAS, such as prevention of nausea and vomiting, no nasogastric tubes, and early oral nutrition, were all applied in the perioperative period.</w:t>
      </w:r>
    </w:p>
    <w:p w14:paraId="4F723283" w14:textId="77777777" w:rsidR="00384D0F" w:rsidRPr="00F14CA0" w:rsidRDefault="00384D0F" w:rsidP="00F14CA0">
      <w:pPr>
        <w:spacing w:line="480" w:lineRule="auto"/>
        <w:jc w:val="left"/>
        <w:rPr>
          <w:rFonts w:ascii="Times New Roman" w:eastAsia="宋体" w:hAnsi="Times New Roman"/>
          <w:b/>
          <w:color w:val="000000"/>
          <w:sz w:val="24"/>
          <w:szCs w:val="24"/>
        </w:rPr>
      </w:pPr>
      <w:bookmarkStart w:id="6" w:name="_Hlk31114735"/>
      <w:r w:rsidRPr="00F14CA0">
        <w:rPr>
          <w:rFonts w:ascii="Times New Roman" w:hAnsi="Times New Roman"/>
          <w:b/>
          <w:sz w:val="24"/>
          <w:szCs w:val="24"/>
        </w:rPr>
        <w:t>Electrical impedance tomography</w:t>
      </w:r>
      <w:bookmarkEnd w:id="6"/>
      <w:r w:rsidRPr="00F14CA0">
        <w:rPr>
          <w:rFonts w:ascii="Times New Roman" w:hAnsi="Times New Roman"/>
          <w:b/>
          <w:sz w:val="24"/>
          <w:szCs w:val="24"/>
        </w:rPr>
        <w:t xml:space="preserve"> (EIT) and computed tomography (CT) scanning</w:t>
      </w:r>
    </w:p>
    <w:p w14:paraId="6B08B28A" w14:textId="77777777" w:rsidR="00384D0F" w:rsidRDefault="00384D0F" w:rsidP="00F14CA0">
      <w:pPr>
        <w:spacing w:line="48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F14CA0">
        <w:rPr>
          <w:rFonts w:ascii="Times New Roman" w:hAnsi="Times New Roman"/>
          <w:color w:val="000000"/>
          <w:sz w:val="24"/>
          <w:szCs w:val="24"/>
        </w:rPr>
        <w:t>EIT images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14D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CA0">
        <w:rPr>
          <w:rFonts w:ascii="Times New Roman" w:hAnsi="Times New Roman"/>
          <w:color w:val="000000"/>
          <w:sz w:val="24"/>
          <w:szCs w:val="24"/>
        </w:rPr>
        <w:t>in a color-coding scheme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14CA0">
        <w:rPr>
          <w:rFonts w:ascii="Times New Roman" w:hAnsi="Times New Roman"/>
          <w:color w:val="000000"/>
          <w:sz w:val="24"/>
          <w:szCs w:val="24"/>
        </w:rPr>
        <w:t xml:space="preserve"> representing ventilation distribution were generated by tidal impedance changes, </w:t>
      </w:r>
      <w:r w:rsidRPr="00F14CA0">
        <w:rPr>
          <w:rFonts w:ascii="Times New Roman" w:hAnsi="Times New Roman"/>
          <w:sz w:val="24"/>
          <w:szCs w:val="24"/>
        </w:rPr>
        <w:t>correlating well with variations of gas volume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CA0">
        <w:rPr>
          <w:rFonts w:ascii="Times New Roman" w:hAnsi="Times New Roman"/>
          <w:color w:val="000000"/>
          <w:sz w:val="24"/>
          <w:szCs w:val="24"/>
        </w:rPr>
        <w:t>(blue for an intermediate change, white for a strongest change,</w:t>
      </w:r>
      <w:r w:rsidRPr="00F14CA0">
        <w:rPr>
          <w:rFonts w:ascii="Times New Roman" w:hAnsi="Times New Roman"/>
          <w:sz w:val="24"/>
          <w:szCs w:val="24"/>
        </w:rPr>
        <w:t xml:space="preserve"> and black for no change)</w:t>
      </w:r>
      <w:r>
        <w:rPr>
          <w:rFonts w:ascii="Times New Roman" w:hAnsi="Times New Roman"/>
          <w:sz w:val="24"/>
          <w:szCs w:val="24"/>
        </w:rPr>
        <w:t>.</w:t>
      </w:r>
      <w:r w:rsidRPr="00F16C6B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bookmarkStart w:id="7" w:name="_Hlk31911995"/>
      <w:r>
        <w:rPr>
          <w:rFonts w:ascii="Times New Roman" w:hAnsi="Times New Roman"/>
          <w:sz w:val="24"/>
          <w:szCs w:val="24"/>
        </w:rPr>
        <w:t xml:space="preserve"> </w:t>
      </w:r>
      <w:r w:rsidRPr="00F14CA0">
        <w:rPr>
          <w:rFonts w:ascii="Times New Roman" w:hAnsi="Times New Roman"/>
          <w:sz w:val="24"/>
          <w:szCs w:val="24"/>
        </w:rPr>
        <w:t xml:space="preserve">The EIT image could be divided into four regions of interest from </w:t>
      </w:r>
      <w:bookmarkStart w:id="8" w:name="_Hlk31830417"/>
      <w:r w:rsidRPr="00F14CA0">
        <w:rPr>
          <w:rFonts w:ascii="Times New Roman" w:hAnsi="Times New Roman"/>
          <w:sz w:val="24"/>
          <w:szCs w:val="24"/>
        </w:rPr>
        <w:t>ventral</w:t>
      </w:r>
      <w:bookmarkEnd w:id="8"/>
      <w:r w:rsidRPr="00F14CA0">
        <w:rPr>
          <w:rFonts w:ascii="Times New Roman" w:hAnsi="Times New Roman"/>
          <w:sz w:val="24"/>
          <w:szCs w:val="24"/>
        </w:rPr>
        <w:t xml:space="preserve"> to </w:t>
      </w:r>
      <w:bookmarkStart w:id="9" w:name="_Hlk31830471"/>
      <w:bookmarkStart w:id="10" w:name="OLE_LINK66"/>
      <w:r w:rsidRPr="00F14CA0">
        <w:rPr>
          <w:rFonts w:ascii="Times New Roman" w:hAnsi="Times New Roman"/>
          <w:sz w:val="24"/>
          <w:szCs w:val="24"/>
        </w:rPr>
        <w:t>dorsal</w:t>
      </w:r>
      <w:bookmarkEnd w:id="9"/>
      <w:bookmarkEnd w:id="10"/>
      <w:r w:rsidRPr="00F14CA0">
        <w:rPr>
          <w:rFonts w:ascii="Times New Roman" w:hAnsi="Times New Roman"/>
          <w:sz w:val="24"/>
          <w:szCs w:val="24"/>
        </w:rPr>
        <w:t xml:space="preserve"> with equal height. </w:t>
      </w:r>
      <w:bookmarkStart w:id="11" w:name="_Hlk30924226"/>
      <w:r w:rsidRPr="00F14CA0">
        <w:rPr>
          <w:rFonts w:ascii="Times New Roman" w:hAnsi="Times New Roman"/>
          <w:sz w:val="24"/>
          <w:szCs w:val="24"/>
        </w:rPr>
        <w:t xml:space="preserve">The combination of two ventral regions was considered as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F14CA0">
        <w:rPr>
          <w:rFonts w:ascii="Times New Roman" w:hAnsi="Times New Roman"/>
          <w:sz w:val="24"/>
          <w:szCs w:val="24"/>
        </w:rPr>
        <w:t xml:space="preserve">non-dependent lung </w:t>
      </w:r>
      <w:bookmarkEnd w:id="11"/>
      <w:r w:rsidRPr="00F14CA0">
        <w:rPr>
          <w:rFonts w:ascii="Times New Roman" w:hAnsi="Times New Roman"/>
          <w:sz w:val="24"/>
          <w:szCs w:val="24"/>
        </w:rPr>
        <w:t>area, while the combination of two dorsal regions was deemed as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F14CA0">
        <w:rPr>
          <w:rFonts w:ascii="Times New Roman" w:hAnsi="Times New Roman"/>
          <w:sz w:val="24"/>
          <w:szCs w:val="24"/>
        </w:rPr>
        <w:t xml:space="preserve"> dependent part. </w:t>
      </w:r>
      <w:bookmarkEnd w:id="7"/>
      <w:r w:rsidRPr="00F14CA0">
        <w:rPr>
          <w:rFonts w:ascii="Times New Roman" w:hAnsi="Times New Roman"/>
          <w:sz w:val="24"/>
          <w:szCs w:val="24"/>
        </w:rPr>
        <w:t xml:space="preserve">The change of ventilation distribution in the four regions of interest, </w:t>
      </w:r>
      <w:r>
        <w:rPr>
          <w:rFonts w:ascii="Times New Roman" w:hAnsi="Times New Roman"/>
          <w:sz w:val="24"/>
          <w:szCs w:val="24"/>
        </w:rPr>
        <w:t>in</w:t>
      </w:r>
      <w:r w:rsidRPr="00F14CA0">
        <w:rPr>
          <w:rFonts w:ascii="Times New Roman" w:hAnsi="Times New Roman"/>
          <w:sz w:val="24"/>
          <w:szCs w:val="24"/>
        </w:rPr>
        <w:t xml:space="preserve"> the non-dependent or dependent area could be calculated respectively.</w:t>
      </w:r>
    </w:p>
    <w:p w14:paraId="47B64800" w14:textId="77777777" w:rsidR="00384D0F" w:rsidRDefault="00384D0F" w:rsidP="00F14CA0">
      <w:pPr>
        <w:spacing w:line="480" w:lineRule="auto"/>
        <w:ind w:firstLineChars="200" w:firstLine="480"/>
        <w:jc w:val="left"/>
        <w:rPr>
          <w:rFonts w:ascii="Times New Roman" w:hAnsi="Times New Roman"/>
          <w:color w:val="000000"/>
          <w:sz w:val="24"/>
          <w:szCs w:val="24"/>
        </w:rPr>
      </w:pPr>
      <w:r w:rsidRPr="00F14CA0">
        <w:rPr>
          <w:rFonts w:ascii="Times New Roman" w:hAnsi="Times New Roman"/>
          <w:sz w:val="24"/>
          <w:szCs w:val="24"/>
        </w:rPr>
        <w:t>The total lung area and the area of atelectasis or pleural effusion in CT scan were measured by accurately delineating the contours of both lungs</w:t>
      </w:r>
      <w:r w:rsidRPr="00F14CA0">
        <w:rPr>
          <w:sz w:val="24"/>
        </w:rPr>
        <w:t xml:space="preserve"> </w:t>
      </w:r>
      <w:r w:rsidRPr="00F14CA0">
        <w:rPr>
          <w:rFonts w:ascii="Times New Roman" w:hAnsi="Times New Roman"/>
          <w:sz w:val="24"/>
          <w:szCs w:val="24"/>
        </w:rPr>
        <w:t>at 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0"/>
          <w:attr w:name="UnitName" w:val="mm"/>
        </w:smartTagPr>
        <w:r w:rsidRPr="00F14CA0">
          <w:rPr>
            <w:rFonts w:ascii="Times New Roman" w:hAnsi="Times New Roman"/>
            <w:sz w:val="24"/>
            <w:szCs w:val="24"/>
          </w:rPr>
          <w:t>-10 mm</w:t>
        </w:r>
      </w:smartTag>
      <w:r w:rsidRPr="00F14CA0">
        <w:rPr>
          <w:rFonts w:ascii="Times New Roman" w:hAnsi="Times New Roman"/>
          <w:sz w:val="24"/>
          <w:szCs w:val="24"/>
        </w:rPr>
        <w:t xml:space="preserve"> above the dome of the right hemidiaphragm at end-expiration. </w:t>
      </w:r>
      <w:r>
        <w:rPr>
          <w:rFonts w:ascii="Times New Roman" w:hAnsi="Times New Roman"/>
          <w:sz w:val="24"/>
          <w:szCs w:val="24"/>
        </w:rPr>
        <w:t>T</w:t>
      </w:r>
      <w:r w:rsidRPr="00F14CA0">
        <w:rPr>
          <w:rFonts w:ascii="Times New Roman" w:hAnsi="Times New Roman"/>
          <w:sz w:val="24"/>
          <w:szCs w:val="24"/>
        </w:rPr>
        <w:t xml:space="preserve">he percent of </w:t>
      </w:r>
      <w:bookmarkStart w:id="12" w:name="_Hlk17970381"/>
      <w:r w:rsidRPr="00F14CA0">
        <w:rPr>
          <w:rFonts w:ascii="Times New Roman" w:hAnsi="Times New Roman"/>
          <w:sz w:val="24"/>
          <w:szCs w:val="24"/>
        </w:rPr>
        <w:t xml:space="preserve">atelectasis or pleural effusion </w:t>
      </w:r>
      <w:bookmarkEnd w:id="12"/>
      <w:r w:rsidRPr="00F14CA0">
        <w:rPr>
          <w:rFonts w:ascii="Times New Roman" w:hAnsi="Times New Roman"/>
          <w:sz w:val="24"/>
          <w:szCs w:val="24"/>
        </w:rPr>
        <w:t xml:space="preserve">(area of atelectasis or </w:t>
      </w:r>
      <w:r w:rsidRPr="00F14CA0">
        <w:rPr>
          <w:rFonts w:ascii="Times New Roman" w:hAnsi="Times New Roman"/>
          <w:sz w:val="24"/>
          <w:szCs w:val="24"/>
        </w:rPr>
        <w:lastRenderedPageBreak/>
        <w:t xml:space="preserve">pleural effusion / total lung area) was </w:t>
      </w:r>
      <w:bookmarkStart w:id="13" w:name="_Hlk17970354"/>
      <w:r w:rsidRPr="00F14CA0">
        <w:rPr>
          <w:rFonts w:ascii="Times New Roman" w:hAnsi="Times New Roman"/>
          <w:sz w:val="24"/>
          <w:szCs w:val="24"/>
        </w:rPr>
        <w:t>calculat</w:t>
      </w:r>
      <w:bookmarkEnd w:id="13"/>
      <w:r w:rsidRPr="00F14CA0">
        <w:rPr>
          <w:rFonts w:ascii="Times New Roman" w:hAnsi="Times New Roman"/>
          <w:sz w:val="24"/>
          <w:szCs w:val="24"/>
        </w:rPr>
        <w:t xml:space="preserve">ed using EBM PACS Server (version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1"/>
          <w:attr w:name="UnitName" w:val="C"/>
        </w:smartTagPr>
        <w:r w:rsidRPr="00F14CA0">
          <w:rPr>
            <w:rFonts w:ascii="Times New Roman" w:hAnsi="Times New Roman"/>
            <w:sz w:val="24"/>
            <w:szCs w:val="24"/>
          </w:rPr>
          <w:t>6.1c</w:t>
        </w:r>
      </w:smartTag>
      <w:r w:rsidRPr="00F14CA0">
        <w:rPr>
          <w:rFonts w:ascii="Times New Roman" w:hAnsi="Times New Roman"/>
          <w:sz w:val="24"/>
          <w:szCs w:val="24"/>
        </w:rPr>
        <w:t>, EBM technologies, China). The detailed method was in accordance with previous studies</w:t>
      </w:r>
      <w:r>
        <w:rPr>
          <w:rFonts w:ascii="Times New Roman" w:hAnsi="Times New Roman"/>
          <w:sz w:val="24"/>
          <w:szCs w:val="24"/>
        </w:rPr>
        <w:t>.</w:t>
      </w:r>
      <w:r w:rsidRPr="00F16C6B">
        <w:rPr>
          <w:rFonts w:ascii="Times New Roman" w:hAnsi="Times New Roman"/>
          <w:noProof/>
          <w:sz w:val="24"/>
          <w:szCs w:val="24"/>
          <w:vertAlign w:val="superscript"/>
        </w:rPr>
        <w:t>2,3</w:t>
      </w:r>
      <w:r w:rsidRPr="00F14CA0">
        <w:rPr>
          <w:rFonts w:ascii="Times New Roman" w:hAnsi="Times New Roman"/>
          <w:color w:val="000000"/>
          <w:sz w:val="24"/>
          <w:szCs w:val="24"/>
        </w:rPr>
        <w:t xml:space="preserve"> All CT scans were assessed by two </w:t>
      </w:r>
      <w:bookmarkStart w:id="14" w:name="_Hlk31270460"/>
      <w:bookmarkStart w:id="15" w:name="OLE_LINK19"/>
      <w:r w:rsidRPr="00F14CA0">
        <w:rPr>
          <w:rFonts w:ascii="Times New Roman" w:hAnsi="Times New Roman"/>
          <w:color w:val="000000"/>
          <w:sz w:val="24"/>
          <w:szCs w:val="24"/>
        </w:rPr>
        <w:t>radiologist</w:t>
      </w:r>
      <w:bookmarkEnd w:id="14"/>
      <w:bookmarkEnd w:id="15"/>
      <w:r w:rsidRPr="00F14CA0">
        <w:rPr>
          <w:rFonts w:ascii="Times New Roman" w:hAnsi="Times New Roman"/>
          <w:color w:val="000000"/>
          <w:sz w:val="24"/>
          <w:szCs w:val="24"/>
        </w:rPr>
        <w:t>s both blinded to group assignment and patient outcomes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95A">
        <w:rPr>
          <w:rFonts w:ascii="Times New Roman" w:hAnsi="Times New Roman"/>
          <w:color w:val="000000"/>
          <w:sz w:val="24"/>
          <w:szCs w:val="24"/>
        </w:rPr>
        <w:t>with disagreements settled by a third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95A">
        <w:rPr>
          <w:rFonts w:ascii="Times New Roman" w:hAnsi="Times New Roman"/>
          <w:color w:val="000000"/>
          <w:sz w:val="24"/>
          <w:szCs w:val="24"/>
        </w:rPr>
        <w:t>consultant</w:t>
      </w:r>
      <w:r w:rsidRPr="00F14CA0">
        <w:rPr>
          <w:rFonts w:ascii="Times New Roman" w:hAnsi="Times New Roman"/>
          <w:color w:val="000000"/>
          <w:sz w:val="24"/>
          <w:szCs w:val="24"/>
        </w:rPr>
        <w:t>.</w:t>
      </w:r>
    </w:p>
    <w:p w14:paraId="36F5092F" w14:textId="77777777" w:rsidR="00384D0F" w:rsidRPr="00F14CA0" w:rsidRDefault="00384D0F" w:rsidP="00D34101">
      <w:pPr>
        <w:spacing w:line="480" w:lineRule="auto"/>
        <w:jc w:val="left"/>
        <w:rPr>
          <w:rFonts w:ascii="Times New Roman" w:eastAsia="宋体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Derivative measurements</w:t>
      </w:r>
    </w:p>
    <w:p w14:paraId="716E1A1A" w14:textId="77777777" w:rsidR="00384D0F" w:rsidRDefault="00384D0F" w:rsidP="00D34101">
      <w:pPr>
        <w:spacing w:line="480" w:lineRule="auto"/>
        <w:ind w:firstLineChars="200" w:firstLine="480"/>
        <w:jc w:val="left"/>
        <w:rPr>
          <w:rFonts w:ascii="Times New Roman" w:hAnsi="Times New Roman"/>
          <w:color w:val="000000"/>
          <w:sz w:val="24"/>
          <w:szCs w:val="24"/>
        </w:rPr>
      </w:pPr>
      <w:r w:rsidRPr="00B353F6">
        <w:rPr>
          <w:rFonts w:ascii="Times New Roman" w:hAnsi="Times New Roman"/>
          <w:color w:val="000000"/>
          <w:sz w:val="24"/>
          <w:szCs w:val="24"/>
        </w:rPr>
        <w:t>Oxygenation index, driving pressure, alveolar-arterial oxygen tension difference, intrapulmonary shunt (QS/QT), respiratory index, ratio of dead space to tidal volume (V</w:t>
      </w:r>
      <w:r w:rsidRPr="00A6356F">
        <w:rPr>
          <w:rFonts w:ascii="Times New Roman" w:hAnsi="Times New Roman"/>
          <w:color w:val="000000"/>
          <w:sz w:val="24"/>
          <w:szCs w:val="24"/>
          <w:vertAlign w:val="subscript"/>
        </w:rPr>
        <w:t>D</w:t>
      </w:r>
      <w:r w:rsidRPr="00B353F6">
        <w:rPr>
          <w:rFonts w:ascii="Times New Roman" w:hAnsi="Times New Roman"/>
          <w:color w:val="000000"/>
          <w:sz w:val="24"/>
          <w:szCs w:val="24"/>
        </w:rPr>
        <w:t>/V</w:t>
      </w:r>
      <w:r w:rsidRPr="00A6356F">
        <w:rPr>
          <w:rFonts w:ascii="Times New Roman" w:hAnsi="Times New Roman"/>
          <w:color w:val="000000"/>
          <w:sz w:val="24"/>
          <w:szCs w:val="24"/>
          <w:vertAlign w:val="subscript"/>
        </w:rPr>
        <w:t>T</w:t>
      </w:r>
      <w:r w:rsidRPr="00B353F6">
        <w:rPr>
          <w:rFonts w:ascii="Times New Roman" w:hAnsi="Times New Roman"/>
          <w:color w:val="000000"/>
          <w:sz w:val="24"/>
          <w:szCs w:val="24"/>
        </w:rPr>
        <w:t>), and respiratory power (collectively called derivative measurements) were calculated as previously reported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E2B26"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t>4-7</w:t>
      </w:r>
      <w:r>
        <w:rPr>
          <w:rFonts w:ascii="Times New Roman" w:hAnsi="Times New Roman"/>
          <w:color w:val="000000"/>
          <w:sz w:val="24"/>
          <w:szCs w:val="24"/>
        </w:rPr>
        <w:t xml:space="preserve"> The calculations are listed as following:</w:t>
      </w:r>
    </w:p>
    <w:p w14:paraId="27EC42F8" w14:textId="77777777" w:rsidR="00384D0F" w:rsidRDefault="00384D0F" w:rsidP="00D55BEA">
      <w:pPr>
        <w:spacing w:line="48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9E2B2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) O</w:t>
      </w:r>
      <w:r w:rsidRPr="00A6356F">
        <w:rPr>
          <w:rFonts w:ascii="Times New Roman" w:hAnsi="Times New Roman"/>
          <w:sz w:val="24"/>
          <w:szCs w:val="24"/>
        </w:rPr>
        <w:t>xygenation index = PaO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A6356F">
        <w:rPr>
          <w:rFonts w:ascii="Times New Roman" w:hAnsi="Times New Roman"/>
          <w:sz w:val="24"/>
          <w:szCs w:val="24"/>
        </w:rPr>
        <w:t>/FiO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6356F">
        <w:rPr>
          <w:rFonts w:ascii="Times New Roman" w:hAnsi="Times New Roman"/>
          <w:sz w:val="24"/>
          <w:szCs w:val="24"/>
        </w:rPr>
        <w:t xml:space="preserve"> PaO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A6356F">
        <w:rPr>
          <w:rFonts w:ascii="Times New Roman" w:hAnsi="Times New Roman"/>
          <w:sz w:val="24"/>
          <w:szCs w:val="24"/>
        </w:rPr>
        <w:t>: arterial partial pressure of oxygen; FiO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A6356F">
        <w:rPr>
          <w:rFonts w:ascii="Times New Roman" w:hAnsi="Times New Roman"/>
          <w:sz w:val="24"/>
          <w:szCs w:val="24"/>
        </w:rPr>
        <w:t>: fractional concentration of inspired oxygen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6356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</w:p>
    <w:p w14:paraId="2DD1F0BF" w14:textId="77777777" w:rsidR="00384D0F" w:rsidRDefault="00384D0F" w:rsidP="00D55BEA">
      <w:pPr>
        <w:spacing w:line="480" w:lineRule="auto"/>
        <w:ind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</w:t>
      </w:r>
      <w:r w:rsidRPr="00703A23">
        <w:rPr>
          <w:rFonts w:ascii="Times New Roman" w:hAnsi="Times New Roman"/>
          <w:sz w:val="24"/>
          <w:szCs w:val="24"/>
        </w:rPr>
        <w:t>Qs/Qt = (P</w:t>
      </w:r>
      <w:r w:rsidRPr="00567FEC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A-a</w:t>
      </w:r>
      <w:r w:rsidRPr="00703A23">
        <w:rPr>
          <w:rFonts w:ascii="Times New Roman" w:hAnsi="Times New Roman"/>
          <w:sz w:val="24"/>
          <w:szCs w:val="24"/>
        </w:rPr>
        <w:t>DO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703A23">
        <w:rPr>
          <w:rFonts w:ascii="Times New Roman" w:hAnsi="Times New Roman"/>
          <w:sz w:val="24"/>
          <w:szCs w:val="24"/>
        </w:rPr>
        <w:t>*0.0331)/[P</w:t>
      </w:r>
      <w:r w:rsidRPr="00567FEC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A-a</w:t>
      </w:r>
      <w:r w:rsidRPr="00703A23">
        <w:rPr>
          <w:rFonts w:ascii="Times New Roman" w:hAnsi="Times New Roman"/>
          <w:sz w:val="24"/>
          <w:szCs w:val="24"/>
        </w:rPr>
        <w:t>DO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703A23">
        <w:rPr>
          <w:rFonts w:ascii="Times New Roman" w:hAnsi="Times New Roman"/>
          <w:sz w:val="24"/>
          <w:szCs w:val="24"/>
        </w:rPr>
        <w:t>*0.0331+(CaO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703A23">
        <w:rPr>
          <w:rFonts w:ascii="Times New Roman" w:hAnsi="Times New Roman"/>
          <w:sz w:val="24"/>
          <w:szCs w:val="24"/>
        </w:rPr>
        <w:t>-CvO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703A23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4506">
        <w:rPr>
          <w:rFonts w:ascii="Times New Roman" w:hAnsi="Times New Roman"/>
          <w:sz w:val="24"/>
          <w:szCs w:val="24"/>
        </w:rPr>
        <w:t>P</w:t>
      </w:r>
      <w:r w:rsidRPr="00567FEC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A-a</w:t>
      </w:r>
      <w:r w:rsidRPr="00334506">
        <w:rPr>
          <w:rFonts w:ascii="Times New Roman" w:hAnsi="Times New Roman"/>
          <w:sz w:val="24"/>
          <w:szCs w:val="24"/>
        </w:rPr>
        <w:t>DO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4506">
        <w:rPr>
          <w:rFonts w:ascii="Times New Roman" w:hAnsi="Times New Roman"/>
          <w:sz w:val="24"/>
          <w:szCs w:val="24"/>
        </w:rPr>
        <w:t>alveolar-arterial 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334506">
        <w:rPr>
          <w:rFonts w:ascii="Times New Roman" w:hAnsi="Times New Roman"/>
          <w:sz w:val="24"/>
          <w:szCs w:val="24"/>
        </w:rPr>
        <w:t xml:space="preserve"> tension difference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4506">
        <w:rPr>
          <w:rFonts w:ascii="Times New Roman" w:hAnsi="Times New Roman"/>
          <w:sz w:val="24"/>
          <w:szCs w:val="24"/>
        </w:rPr>
        <w:t>CaO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4506">
        <w:rPr>
          <w:rFonts w:ascii="Times New Roman" w:hAnsi="Times New Roman"/>
          <w:sz w:val="24"/>
          <w:szCs w:val="24"/>
        </w:rPr>
        <w:t>arterial oxygen content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4506">
        <w:rPr>
          <w:rFonts w:ascii="Times New Roman" w:hAnsi="Times New Roman"/>
          <w:sz w:val="24"/>
          <w:szCs w:val="24"/>
        </w:rPr>
        <w:t>CvO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4506">
        <w:rPr>
          <w:rFonts w:ascii="Times New Roman" w:hAnsi="Times New Roman"/>
          <w:sz w:val="24"/>
          <w:szCs w:val="24"/>
        </w:rPr>
        <w:t>mixed venous oxygen content</w:t>
      </w:r>
      <w:r>
        <w:rPr>
          <w:rFonts w:ascii="Times New Roman" w:hAnsi="Times New Roman"/>
          <w:sz w:val="24"/>
          <w:szCs w:val="24"/>
        </w:rPr>
        <w:t>.</w:t>
      </w:r>
    </w:p>
    <w:p w14:paraId="6A0DA241" w14:textId="77777777" w:rsidR="00384D0F" w:rsidRDefault="00384D0F" w:rsidP="00D55BEA">
      <w:pPr>
        <w:spacing w:line="480" w:lineRule="auto"/>
        <w:ind w:firstLine="480"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R</w:t>
      </w:r>
      <w:r w:rsidRPr="00567FEC">
        <w:rPr>
          <w:rFonts w:ascii="Times New Roman" w:hAnsi="Times New Roman"/>
          <w:sz w:val="24"/>
          <w:szCs w:val="24"/>
        </w:rPr>
        <w:t>espiratory index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567FEC">
        <w:rPr>
          <w:rFonts w:ascii="Times New Roman" w:hAnsi="Times New Roman"/>
          <w:sz w:val="24"/>
          <w:szCs w:val="24"/>
        </w:rPr>
        <w:t>P</w:t>
      </w:r>
      <w:r w:rsidRPr="00567FEC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A-a</w:t>
      </w:r>
      <w:r w:rsidRPr="00567FEC">
        <w:rPr>
          <w:rFonts w:ascii="Times New Roman" w:eastAsia="宋体" w:hAnsi="Times New Roman"/>
          <w:color w:val="000000" w:themeColor="text1"/>
          <w:sz w:val="24"/>
          <w:szCs w:val="24"/>
        </w:rPr>
        <w:t>DO</w:t>
      </w:r>
      <w:r w:rsidRPr="00A6356F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2</w:t>
      </w:r>
      <w:r w:rsidRPr="00567FEC"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/ PaO</w:t>
      </w:r>
      <w:r w:rsidRPr="00A6356F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. </w:t>
      </w:r>
    </w:p>
    <w:p w14:paraId="281693C5" w14:textId="77777777" w:rsidR="00384D0F" w:rsidRDefault="00384D0F" w:rsidP="00D55BEA">
      <w:pPr>
        <w:spacing w:line="480" w:lineRule="auto"/>
        <w:ind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4) </w:t>
      </w:r>
      <w:r w:rsidRPr="00867DD2">
        <w:rPr>
          <w:rFonts w:ascii="Times New Roman" w:hAnsi="Times New Roman"/>
          <w:sz w:val="24"/>
          <w:szCs w:val="24"/>
        </w:rPr>
        <w:t>V</w:t>
      </w:r>
      <w:r w:rsidRPr="00A6356F">
        <w:rPr>
          <w:rFonts w:ascii="Times New Roman" w:hAnsi="Times New Roman"/>
          <w:sz w:val="24"/>
          <w:szCs w:val="24"/>
          <w:vertAlign w:val="subscript"/>
        </w:rPr>
        <w:t>D</w:t>
      </w:r>
      <w:r w:rsidRPr="00867DD2">
        <w:rPr>
          <w:rFonts w:ascii="Times New Roman" w:hAnsi="Times New Roman"/>
          <w:sz w:val="24"/>
          <w:szCs w:val="24"/>
        </w:rPr>
        <w:t>/V</w:t>
      </w:r>
      <w:r w:rsidRPr="00A6356F">
        <w:rPr>
          <w:rFonts w:ascii="Times New Roman" w:hAnsi="Times New Roman"/>
          <w:sz w:val="24"/>
          <w:szCs w:val="24"/>
          <w:vertAlign w:val="subscript"/>
        </w:rPr>
        <w:t>T</w:t>
      </w:r>
      <w:r w:rsidRPr="00867DD2">
        <w:rPr>
          <w:rFonts w:ascii="Times New Roman" w:hAnsi="Times New Roman"/>
          <w:sz w:val="24"/>
          <w:szCs w:val="24"/>
        </w:rPr>
        <w:t xml:space="preserve"> = 0.32 + 0.0106 (PaCO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867DD2">
        <w:rPr>
          <w:rFonts w:ascii="Times New Roman" w:hAnsi="Times New Roman"/>
          <w:sz w:val="24"/>
          <w:szCs w:val="24"/>
        </w:rPr>
        <w:t xml:space="preserve"> - ETCO</w:t>
      </w:r>
      <w:r w:rsidRPr="00A6356F">
        <w:rPr>
          <w:rFonts w:ascii="Times New Roman" w:hAnsi="Times New Roman"/>
          <w:sz w:val="24"/>
          <w:szCs w:val="24"/>
          <w:vertAlign w:val="subscript"/>
        </w:rPr>
        <w:t>2</w:t>
      </w:r>
      <w:r w:rsidRPr="00867DD2">
        <w:rPr>
          <w:rFonts w:ascii="Times New Roman" w:hAnsi="Times New Roman"/>
          <w:sz w:val="24"/>
          <w:szCs w:val="24"/>
        </w:rPr>
        <w:t>) + 0.003 (RR) + 0.0015 (age)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7DD2">
        <w:rPr>
          <w:rFonts w:ascii="Times New Roman" w:hAnsi="Times New Roman"/>
          <w:sz w:val="24"/>
          <w:szCs w:val="24"/>
        </w:rPr>
        <w:t>PaCO</w:t>
      </w:r>
      <w:r w:rsidRPr="007A06AC">
        <w:rPr>
          <w:rFonts w:ascii="Times New Roman" w:hAnsi="Times New Roman"/>
          <w:sz w:val="24"/>
          <w:szCs w:val="24"/>
          <w:vertAlign w:val="subscript"/>
        </w:rPr>
        <w:t>2</w:t>
      </w:r>
      <w:r w:rsidRPr="00A635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6AC">
        <w:rPr>
          <w:rFonts w:ascii="Times New Roman" w:hAnsi="Times New Roman"/>
          <w:sz w:val="24"/>
          <w:szCs w:val="24"/>
        </w:rPr>
        <w:t>arterial partial pressure of</w:t>
      </w:r>
      <w:r>
        <w:rPr>
          <w:rFonts w:ascii="Times New Roman" w:hAnsi="Times New Roman"/>
          <w:sz w:val="24"/>
          <w:szCs w:val="24"/>
        </w:rPr>
        <w:t xml:space="preserve"> carbon dioxide; </w:t>
      </w:r>
      <w:r w:rsidRPr="00867DD2">
        <w:rPr>
          <w:rFonts w:ascii="Times New Roman" w:hAnsi="Times New Roman"/>
          <w:sz w:val="24"/>
          <w:szCs w:val="24"/>
        </w:rPr>
        <w:t>ETCO</w:t>
      </w:r>
      <w:r w:rsidRPr="007A06AC">
        <w:rPr>
          <w:rFonts w:ascii="Times New Roman" w:hAnsi="Times New Roman"/>
          <w:sz w:val="24"/>
          <w:szCs w:val="24"/>
          <w:vertAlign w:val="subscript"/>
        </w:rPr>
        <w:t>2</w:t>
      </w:r>
      <w:r w:rsidRPr="00A635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D02">
        <w:rPr>
          <w:rFonts w:ascii="Times New Roman" w:hAnsi="Times New Roman"/>
          <w:sz w:val="24"/>
          <w:szCs w:val="24"/>
        </w:rPr>
        <w:t>end-tidal carbon dioxide</w:t>
      </w:r>
      <w:r>
        <w:rPr>
          <w:rFonts w:ascii="Times New Roman" w:hAnsi="Times New Roman"/>
          <w:sz w:val="24"/>
          <w:szCs w:val="24"/>
        </w:rPr>
        <w:t>; RR: respiratory rate, bpm.</w:t>
      </w:r>
    </w:p>
    <w:p w14:paraId="052FC596" w14:textId="77777777" w:rsidR="00384D0F" w:rsidRPr="00A6356F" w:rsidRDefault="00384D0F" w:rsidP="00A6356F">
      <w:pPr>
        <w:spacing w:line="480" w:lineRule="auto"/>
        <w:ind w:firstLine="48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867DD2">
        <w:rPr>
          <w:rFonts w:ascii="Times New Roman" w:hAnsi="Times New Roman"/>
          <w:sz w:val="24"/>
          <w:szCs w:val="24"/>
        </w:rPr>
        <w:t>respiratory power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RR</w:t>
      </w:r>
      <w:r w:rsidRPr="004F3BFC">
        <w:rPr>
          <w:rFonts w:ascii="Times New Roman" w:eastAsia="宋体" w:hAnsi="Times New Roman" w:hint="eastAsia"/>
          <w:color w:val="000000" w:themeColor="text1"/>
          <w:sz w:val="24"/>
          <w:szCs w:val="24"/>
        </w:rPr>
        <w:t>*{</w:t>
      </w:r>
      <w:r w:rsidRPr="004F3BFC">
        <w:rPr>
          <w:rFonts w:ascii="Cambria Math" w:eastAsia="宋体" w:hAnsi="Cambria Math" w:cs="Cambria Math"/>
          <w:color w:val="000000" w:themeColor="text1"/>
          <w:sz w:val="24"/>
          <w:szCs w:val="24"/>
        </w:rPr>
        <w:t>△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V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4F3BFC">
        <w:rPr>
          <w:rFonts w:ascii="Times New Roman" w:eastAsia="宋体" w:hAnsi="Times New Roman" w:hint="eastAsia"/>
          <w:color w:val="000000" w:themeColor="text1"/>
          <w:sz w:val="24"/>
          <w:szCs w:val="24"/>
        </w:rPr>
        <w:t>*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[1/2 * </w:t>
      </w:r>
      <w:proofErr w:type="spellStart"/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EL</w:t>
      </w:r>
      <w:r w:rsidRPr="004F3BFC">
        <w:rPr>
          <w:rFonts w:ascii="Times New Roman" w:eastAsia="宋体" w:hAnsi="Times New Roman" w:hint="eastAsia"/>
          <w:color w:val="000000" w:themeColor="text1"/>
          <w:sz w:val="24"/>
          <w:szCs w:val="24"/>
          <w:vertAlign w:val="subscript"/>
        </w:rPr>
        <w:t>rs</w:t>
      </w:r>
      <w:proofErr w:type="spellEnd"/>
      <w:r w:rsidRPr="004F3BFC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+ RR</w:t>
      </w:r>
      <w:r w:rsidRPr="004F3BFC">
        <w:rPr>
          <w:rFonts w:ascii="Times New Roman" w:eastAsia="宋体" w:hAnsi="Times New Roman" w:hint="eastAsia"/>
          <w:color w:val="000000" w:themeColor="text1"/>
          <w:sz w:val="24"/>
          <w:szCs w:val="24"/>
        </w:rPr>
        <w:t>*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(1 + </w:t>
      </w:r>
      <w:proofErr w:type="gramStart"/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1:E</w:t>
      </w:r>
      <w:proofErr w:type="gramEnd"/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(60 * 1:E) *R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aw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]</w:t>
      </w:r>
      <w:r w:rsidRPr="004F3BFC">
        <w:rPr>
          <w:noProof/>
          <w:sz w:val="24"/>
          <w:szCs w:val="24"/>
        </w:rPr>
        <w:t xml:space="preserve"> + </w:t>
      </w:r>
      <w:r w:rsidRPr="004F3BFC">
        <w:rPr>
          <w:rFonts w:ascii="Cambria Math" w:eastAsia="宋体" w:hAnsi="Cambria Math" w:cs="Cambria Math"/>
          <w:color w:val="000000" w:themeColor="text1"/>
          <w:sz w:val="24"/>
          <w:szCs w:val="24"/>
        </w:rPr>
        <w:t>△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V*PEEP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. </w:t>
      </w:r>
      <w:r w:rsidRPr="004F3BFC">
        <w:rPr>
          <w:rFonts w:ascii="Cambria Math" w:eastAsia="宋体" w:hAnsi="Cambria Math" w:cs="Cambria Math"/>
          <w:color w:val="000000" w:themeColor="text1"/>
          <w:sz w:val="24"/>
          <w:szCs w:val="24"/>
        </w:rPr>
        <w:t>△</w:t>
      </w:r>
      <w:r w:rsidRPr="004F3BFC">
        <w:rPr>
          <w:rFonts w:ascii="Times New Roman" w:eastAsia="宋体" w:hAnsi="Times New Roman"/>
          <w:color w:val="000000" w:themeColor="text1"/>
          <w:sz w:val="24"/>
          <w:szCs w:val="24"/>
        </w:rPr>
        <w:t>V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: </w:t>
      </w:r>
      <w:r w:rsidRPr="00D64ADD">
        <w:rPr>
          <w:rFonts w:ascii="Times New Roman" w:eastAsia="宋体" w:hAnsi="Times New Roman"/>
          <w:color w:val="000000" w:themeColor="text1"/>
          <w:sz w:val="24"/>
          <w:szCs w:val="24"/>
        </w:rPr>
        <w:t>tidal volume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; </w:t>
      </w:r>
      <w:proofErr w:type="spellStart"/>
      <w:r w:rsidRPr="00D64ADD">
        <w:rPr>
          <w:rFonts w:ascii="Times New Roman" w:eastAsia="宋体" w:hAnsi="Times New Roman"/>
          <w:color w:val="000000" w:themeColor="text1"/>
          <w:sz w:val="24"/>
          <w:szCs w:val="24"/>
        </w:rPr>
        <w:t>E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L</w:t>
      </w:r>
      <w:r w:rsidRPr="00A6356F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rs</w:t>
      </w:r>
      <w:proofErr w:type="spellEnd"/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: </w:t>
      </w:r>
      <w:r w:rsidRPr="000E65A3">
        <w:rPr>
          <w:rFonts w:ascii="Times New Roman" w:eastAsia="宋体" w:hAnsi="Times New Roman"/>
          <w:color w:val="000000" w:themeColor="text1"/>
          <w:sz w:val="24"/>
          <w:szCs w:val="24"/>
        </w:rPr>
        <w:t>elastance of the respiratory system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; </w:t>
      </w:r>
      <w:proofErr w:type="gramStart"/>
      <w:r w:rsidRPr="000E65A3">
        <w:rPr>
          <w:rFonts w:ascii="Times New Roman" w:eastAsia="宋体" w:hAnsi="Times New Roman"/>
          <w:color w:val="000000" w:themeColor="text1"/>
          <w:sz w:val="24"/>
          <w:szCs w:val="24"/>
        </w:rPr>
        <w:t>I:E</w:t>
      </w:r>
      <w:proofErr w:type="gramEnd"/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: </w:t>
      </w:r>
      <w:r w:rsidRPr="009C0C9C">
        <w:rPr>
          <w:rFonts w:ascii="Times New Roman" w:eastAsia="宋体" w:hAnsi="Times New Roman"/>
          <w:color w:val="000000" w:themeColor="text1"/>
          <w:sz w:val="24"/>
          <w:szCs w:val="24"/>
        </w:rPr>
        <w:t>inspiratory-to-expiratory time ratio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; </w:t>
      </w:r>
      <w:r w:rsidRPr="000E65A3">
        <w:rPr>
          <w:rFonts w:ascii="Times New Roman" w:eastAsia="宋体" w:hAnsi="Times New Roman"/>
          <w:color w:val="000000" w:themeColor="text1"/>
          <w:sz w:val="24"/>
          <w:szCs w:val="24"/>
        </w:rPr>
        <w:t>R</w:t>
      </w:r>
      <w:r w:rsidRPr="00A6356F">
        <w:rPr>
          <w:rFonts w:ascii="Times New Roman" w:eastAsia="宋体" w:hAnsi="Times New Roman"/>
          <w:color w:val="000000" w:themeColor="text1"/>
          <w:sz w:val="24"/>
          <w:szCs w:val="24"/>
          <w:vertAlign w:val="subscript"/>
        </w:rPr>
        <w:t>aw</w:t>
      </w:r>
      <w:r w:rsidRPr="00A6356F">
        <w:rPr>
          <w:rFonts w:ascii="Times New Roman" w:eastAsia="宋体" w:hAnsi="Times New Roman"/>
          <w:color w:val="000000" w:themeColor="text1"/>
          <w:sz w:val="24"/>
          <w:szCs w:val="24"/>
        </w:rPr>
        <w:t>: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 xml:space="preserve"> </w:t>
      </w:r>
      <w:r w:rsidRPr="000E65A3">
        <w:rPr>
          <w:rFonts w:ascii="Times New Roman" w:eastAsia="宋体" w:hAnsi="Times New Roman"/>
          <w:color w:val="000000" w:themeColor="text1"/>
          <w:sz w:val="24"/>
          <w:szCs w:val="24"/>
        </w:rPr>
        <w:t>airway resistance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.</w:t>
      </w:r>
    </w:p>
    <w:p w14:paraId="14BBB6E1" w14:textId="77777777" w:rsidR="00384D0F" w:rsidRDefault="00384D0F" w:rsidP="001945C5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0638FBD" w14:textId="77777777" w:rsidR="00384D0F" w:rsidRPr="00B679FF" w:rsidRDefault="00384D0F" w:rsidP="001945C5">
      <w:pPr>
        <w:spacing w:line="480" w:lineRule="auto"/>
        <w:jc w:val="left"/>
        <w:rPr>
          <w:rFonts w:ascii="Times New Roman" w:eastAsia="宋体" w:hAnsi="Times New Roman"/>
          <w:b/>
          <w:bCs/>
          <w:sz w:val="24"/>
          <w:szCs w:val="24"/>
        </w:rPr>
      </w:pPr>
      <w:r w:rsidRPr="00B679FF">
        <w:rPr>
          <w:rFonts w:ascii="Times New Roman" w:eastAsia="宋体" w:hAnsi="Times New Roman"/>
          <w:b/>
          <w:bCs/>
          <w:sz w:val="24"/>
          <w:szCs w:val="24"/>
        </w:rPr>
        <w:t>References:</w:t>
      </w:r>
    </w:p>
    <w:p w14:paraId="068DE968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9E2B26">
        <w:t>1.</w:t>
      </w:r>
      <w:r w:rsidRPr="009E2B26">
        <w:tab/>
      </w:r>
      <w:r w:rsidRPr="00384D0F">
        <w:rPr>
          <w:rFonts w:ascii="Times New Roman" w:hAnsi="Times New Roman"/>
          <w:sz w:val="24"/>
          <w:szCs w:val="24"/>
        </w:rPr>
        <w:t xml:space="preserve">Blankman P, Shono A, Hermans BJ, Wesselius T, Hasan D, Gommers D. Detection of optimal </w:t>
      </w:r>
      <w:r w:rsidRPr="00384D0F">
        <w:rPr>
          <w:rFonts w:ascii="Times New Roman" w:hAnsi="Times New Roman"/>
          <w:sz w:val="24"/>
          <w:szCs w:val="24"/>
        </w:rPr>
        <w:lastRenderedPageBreak/>
        <w:t>PEEP for equal distribution of tidal volume by volumetric capnography and electrical impedance tomography during decreasing levels of PEEP in post cardiac-surgery patients. British journal of anaesthesia 2016;116:862-9.</w:t>
      </w:r>
    </w:p>
    <w:p w14:paraId="0D3FE08D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4D0F">
        <w:rPr>
          <w:rFonts w:ascii="Times New Roman" w:hAnsi="Times New Roman"/>
          <w:sz w:val="24"/>
          <w:szCs w:val="24"/>
        </w:rPr>
        <w:t>2.</w:t>
      </w:r>
      <w:r w:rsidRPr="00384D0F">
        <w:rPr>
          <w:rFonts w:ascii="Times New Roman" w:hAnsi="Times New Roman"/>
          <w:sz w:val="24"/>
          <w:szCs w:val="24"/>
        </w:rPr>
        <w:tab/>
        <w:t>Lundquist H, Hedenstierna G, Strandberg A, Tokics L, Brismar B. CT-assessment of dependent lung densities in man during general anaesthesia. Acta radiologica (Stockholm, Sweden : 1987) 1995;36:626-32.</w:t>
      </w:r>
    </w:p>
    <w:p w14:paraId="669631AF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4D0F">
        <w:rPr>
          <w:rFonts w:ascii="Times New Roman" w:hAnsi="Times New Roman"/>
          <w:sz w:val="24"/>
          <w:szCs w:val="24"/>
        </w:rPr>
        <w:t>3.</w:t>
      </w:r>
      <w:r w:rsidRPr="00384D0F">
        <w:rPr>
          <w:rFonts w:ascii="Times New Roman" w:hAnsi="Times New Roman"/>
          <w:sz w:val="24"/>
          <w:szCs w:val="24"/>
        </w:rPr>
        <w:tab/>
        <w:t>Östberg E, Thorisson A, Enlund M, Zetterström H, Hedenstierna G, Edmark L. Positive End-expiratory Pressure Alone Minimizes Atelectasis Formation in Nonabdominal Surgery: A Randomized Controlled Trial. Anesthesiology 2018;128:1117-24.</w:t>
      </w:r>
    </w:p>
    <w:p w14:paraId="2AFD03E5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4D0F">
        <w:rPr>
          <w:rFonts w:ascii="Times New Roman" w:hAnsi="Times New Roman"/>
          <w:sz w:val="24"/>
          <w:szCs w:val="24"/>
        </w:rPr>
        <w:t>4.</w:t>
      </w:r>
      <w:r w:rsidRPr="00384D0F">
        <w:rPr>
          <w:rFonts w:ascii="Times New Roman" w:hAnsi="Times New Roman"/>
          <w:sz w:val="24"/>
          <w:szCs w:val="24"/>
        </w:rPr>
        <w:tab/>
        <w:t>Schmidt MFS, Amaral A, Fan E, Rubenfeld GD. Driving Pressure and Hospital Mortality in Patients Without ARDS: A Cohort Study. Chest 2018;153:46-54.</w:t>
      </w:r>
    </w:p>
    <w:p w14:paraId="478B26FB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4D0F">
        <w:rPr>
          <w:rFonts w:ascii="Times New Roman" w:hAnsi="Times New Roman"/>
          <w:sz w:val="24"/>
          <w:szCs w:val="24"/>
        </w:rPr>
        <w:t>5.</w:t>
      </w:r>
      <w:r w:rsidRPr="00384D0F">
        <w:rPr>
          <w:rFonts w:ascii="Times New Roman" w:hAnsi="Times New Roman"/>
          <w:sz w:val="24"/>
          <w:szCs w:val="24"/>
        </w:rPr>
        <w:tab/>
        <w:t>Frankenfield DC, Alam S, Bekteshi E, Vender RL. Predicting dead space ventilation in critically ill patients using clinically available data. Critical care medicine 2010;38:288-91.</w:t>
      </w:r>
    </w:p>
    <w:p w14:paraId="40634D44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4D0F">
        <w:rPr>
          <w:rFonts w:ascii="Times New Roman" w:hAnsi="Times New Roman"/>
          <w:sz w:val="24"/>
          <w:szCs w:val="24"/>
        </w:rPr>
        <w:t>6.</w:t>
      </w:r>
      <w:r w:rsidRPr="00384D0F">
        <w:rPr>
          <w:rFonts w:ascii="Times New Roman" w:hAnsi="Times New Roman"/>
          <w:sz w:val="24"/>
          <w:szCs w:val="24"/>
        </w:rPr>
        <w:tab/>
        <w:t>Gattinoni L, Tonetti T, Cressoni M et al. Ventilator-related causes of lung injury: the mechanical power. Intensive care medicine 2016;42:1567-75.</w:t>
      </w:r>
    </w:p>
    <w:p w14:paraId="3C97FAA0" w14:textId="77777777" w:rsidR="00384D0F" w:rsidRPr="00384D0F" w:rsidRDefault="00384D0F" w:rsidP="00384D0F">
      <w:pPr>
        <w:pStyle w:val="EndNoteBibliography"/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384D0F">
        <w:rPr>
          <w:rFonts w:ascii="Times New Roman" w:hAnsi="Times New Roman"/>
          <w:sz w:val="24"/>
          <w:szCs w:val="24"/>
        </w:rPr>
        <w:t>7.</w:t>
      </w:r>
      <w:r w:rsidRPr="00384D0F">
        <w:rPr>
          <w:rFonts w:ascii="Times New Roman" w:hAnsi="Times New Roman"/>
          <w:sz w:val="24"/>
          <w:szCs w:val="24"/>
        </w:rPr>
        <w:tab/>
        <w:t>Laghi F, Siegel JH, Rivkind AI et al. Respiratory index/pulmonary shunt relationship: quantification of severity and prognosis in the post-traumatic adult respiratory distress syndrome. Critical care medicine 1989;17:1121-8.</w:t>
      </w:r>
    </w:p>
    <w:p w14:paraId="2D76AC8F" w14:textId="77777777" w:rsidR="00384D0F" w:rsidRDefault="00384D0F" w:rsidP="001945C5">
      <w:pPr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3CC6BB06" w14:textId="77777777" w:rsidR="001B7914" w:rsidRDefault="001B7914"/>
    <w:sectPr w:rsidR="001B7914" w:rsidSect="00384D0F">
      <w:headerReference w:type="default" r:id="rId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2760088"/>
      <w:docPartObj>
        <w:docPartGallery w:val="Page Numbers (Top of Page)"/>
        <w:docPartUnique/>
      </w:docPartObj>
    </w:sdtPr>
    <w:sdtEndPr/>
    <w:sdtContent>
      <w:p w14:paraId="34180BD2" w14:textId="77777777" w:rsidR="00B70EDD" w:rsidRDefault="00384D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8A4CDC" w14:textId="77777777" w:rsidR="00B70EDD" w:rsidRDefault="00384D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97A50"/>
    <w:multiLevelType w:val="hybridMultilevel"/>
    <w:tmpl w:val="C8B8F072"/>
    <w:lvl w:ilvl="0" w:tplc="A5982E76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EBC4D87"/>
    <w:multiLevelType w:val="hybridMultilevel"/>
    <w:tmpl w:val="A03C9F58"/>
    <w:lvl w:ilvl="0" w:tplc="7BD05A96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84D0F"/>
    <w:rsid w:val="001B7914"/>
    <w:rsid w:val="003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3B4DD9B"/>
  <w15:chartTrackingRefBased/>
  <w15:docId w15:val="{49E0A0D6-2BBF-4F06-AC74-885606E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0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  <w:rsid w:val="00384D0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84D0F"/>
  </w:style>
  <w:style w:type="paragraph" w:styleId="a3">
    <w:name w:val="header"/>
    <w:basedOn w:val="a"/>
    <w:link w:val="a4"/>
    <w:uiPriority w:val="99"/>
    <w:unhideWhenUsed/>
    <w:rsid w:val="0038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D0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D0F"/>
    <w:rPr>
      <w:rFonts w:ascii="等线" w:eastAsia="等线" w:hAnsi="等线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4D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4D0F"/>
    <w:rPr>
      <w:rFonts w:ascii="等线" w:eastAsia="等线" w:hAnsi="等线" w:cs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384D0F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84D0F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84D0F"/>
    <w:pPr>
      <w:jc w:val="left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84D0F"/>
    <w:rPr>
      <w:rFonts w:ascii="等线" w:eastAsia="等线" w:hAnsi="等线" w:cs="Times New Roman"/>
      <w:noProof/>
      <w:sz w:val="20"/>
    </w:rPr>
  </w:style>
  <w:style w:type="paragraph" w:styleId="a9">
    <w:name w:val="List Paragraph"/>
    <w:basedOn w:val="a"/>
    <w:uiPriority w:val="34"/>
    <w:qFormat/>
    <w:rsid w:val="00384D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丰瀛</dc:creator>
  <cp:keywords/>
  <dc:description/>
  <cp:lastModifiedBy>徐 丰瀛</cp:lastModifiedBy>
  <cp:revision>1</cp:revision>
  <dcterms:created xsi:type="dcterms:W3CDTF">2020-10-25T16:09:00Z</dcterms:created>
  <dcterms:modified xsi:type="dcterms:W3CDTF">2020-10-25T16:10:00Z</dcterms:modified>
</cp:coreProperties>
</file>