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E0797" w14:textId="77777777" w:rsidR="00843062" w:rsidRDefault="00843062" w:rsidP="00843062"/>
    <w:tbl>
      <w:tblPr>
        <w:tblStyle w:val="ListTable2-Accent3"/>
        <w:tblW w:w="10260" w:type="dxa"/>
        <w:tblInd w:w="-450" w:type="dxa"/>
        <w:tblLook w:val="04A0" w:firstRow="1" w:lastRow="0" w:firstColumn="1" w:lastColumn="0" w:noHBand="0" w:noVBand="1"/>
      </w:tblPr>
      <w:tblGrid>
        <w:gridCol w:w="10260"/>
      </w:tblGrid>
      <w:tr w:rsidR="00843062" w14:paraId="233477B0" w14:textId="77777777" w:rsidTr="00F0673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260" w:type="dxa"/>
          </w:tcPr>
          <w:p w14:paraId="2D25EE51" w14:textId="77777777" w:rsidR="00843062" w:rsidRDefault="00843062" w:rsidP="00F06739">
            <w:pPr>
              <w:jc w:val="center"/>
            </w:pPr>
            <w:r>
              <w:t>Supplemental Table 1: Study Procedure Types, Frequency, and Cardiac Risk Level</w:t>
            </w:r>
          </w:p>
        </w:tc>
      </w:tr>
    </w:tbl>
    <w:p w14:paraId="2EE061BF" w14:textId="77777777" w:rsidR="00843062" w:rsidRDefault="00843062" w:rsidP="00843062"/>
    <w:tbl>
      <w:tblPr>
        <w:tblStyle w:val="ListTable2-Accent3"/>
        <w:tblW w:w="10260" w:type="dxa"/>
        <w:tblInd w:w="-450" w:type="dxa"/>
        <w:tblLook w:val="04A0" w:firstRow="1" w:lastRow="0" w:firstColumn="1" w:lastColumn="0" w:noHBand="0" w:noVBand="1"/>
      </w:tblPr>
      <w:tblGrid>
        <w:gridCol w:w="1511"/>
        <w:gridCol w:w="5253"/>
        <w:gridCol w:w="1757"/>
        <w:gridCol w:w="1739"/>
      </w:tblGrid>
      <w:tr w:rsidR="00843062" w14:paraId="17FF1CC3" w14:textId="77777777" w:rsidTr="00F06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7112A8D0" w14:textId="77777777" w:rsidR="00843062" w:rsidRDefault="00843062" w:rsidP="00F06739">
            <w:bookmarkStart w:id="0" w:name="_Hlk61093944"/>
            <w:r>
              <w:t>Study</w:t>
            </w:r>
          </w:p>
        </w:tc>
        <w:tc>
          <w:tcPr>
            <w:tcW w:w="5253" w:type="dxa"/>
          </w:tcPr>
          <w:p w14:paraId="73E317E3" w14:textId="77777777" w:rsidR="00843062" w:rsidRDefault="00843062" w:rsidP="00F06739">
            <w:pPr>
              <w:cnfStyle w:val="100000000000" w:firstRow="1" w:lastRow="0" w:firstColumn="0" w:lastColumn="0" w:oddVBand="0" w:evenVBand="0" w:oddHBand="0" w:evenHBand="0" w:firstRowFirstColumn="0" w:firstRowLastColumn="0" w:lastRowFirstColumn="0" w:lastRowLastColumn="0"/>
            </w:pPr>
            <w:r>
              <w:t>Procedures Included</w:t>
            </w:r>
          </w:p>
        </w:tc>
        <w:tc>
          <w:tcPr>
            <w:tcW w:w="1757" w:type="dxa"/>
          </w:tcPr>
          <w:p w14:paraId="6A18680F" w14:textId="77777777" w:rsidR="00843062" w:rsidRDefault="00843062" w:rsidP="00F06739">
            <w:pPr>
              <w:cnfStyle w:val="100000000000" w:firstRow="1" w:lastRow="0" w:firstColumn="0" w:lastColumn="0" w:oddVBand="0" w:evenVBand="0" w:oddHBand="0" w:evenHBand="0" w:firstRowFirstColumn="0" w:firstRowLastColumn="0" w:lastRowFirstColumn="0" w:lastRowLastColumn="0"/>
            </w:pPr>
            <w:r>
              <w:t>Procedure Frequency</w:t>
            </w:r>
          </w:p>
        </w:tc>
        <w:tc>
          <w:tcPr>
            <w:tcW w:w="1739" w:type="dxa"/>
          </w:tcPr>
          <w:p w14:paraId="455CE662" w14:textId="77777777" w:rsidR="00843062" w:rsidRDefault="00843062" w:rsidP="00F06739">
            <w:pPr>
              <w:cnfStyle w:val="100000000000" w:firstRow="1" w:lastRow="0" w:firstColumn="0" w:lastColumn="0" w:oddVBand="0" w:evenVBand="0" w:oddHBand="0" w:evenHBand="0" w:firstRowFirstColumn="0" w:firstRowLastColumn="0" w:lastRowFirstColumn="0" w:lastRowLastColumn="0"/>
            </w:pPr>
            <w:r>
              <w:t>AHA Cardiac Risk Level of Procedure</w:t>
            </w:r>
          </w:p>
        </w:tc>
      </w:tr>
      <w:bookmarkEnd w:id="0"/>
      <w:tr w:rsidR="00843062" w14:paraId="1DE632FA"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shd w:val="clear" w:color="auto" w:fill="auto"/>
          </w:tcPr>
          <w:p w14:paraId="30FF328B" w14:textId="2E6F2E6C" w:rsidR="00843062" w:rsidRPr="00660E9D" w:rsidRDefault="00843062" w:rsidP="00F06739">
            <w:pPr>
              <w:rPr>
                <w:vertAlign w:val="superscript"/>
              </w:rPr>
            </w:pPr>
            <w:r>
              <w:t>Eide 2015</w:t>
            </w:r>
            <w:r w:rsidRPr="66EF1A9E">
              <w:rPr>
                <w:vertAlign w:val="superscript"/>
              </w:rPr>
              <w:t>*</w:t>
            </w:r>
          </w:p>
        </w:tc>
        <w:tc>
          <w:tcPr>
            <w:tcW w:w="5253" w:type="dxa"/>
          </w:tcPr>
          <w:p w14:paraId="4942BFD5"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SAVR</w:t>
            </w:r>
          </w:p>
        </w:tc>
        <w:tc>
          <w:tcPr>
            <w:tcW w:w="1757" w:type="dxa"/>
          </w:tcPr>
          <w:p w14:paraId="20C63735"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78/143 patients</w:t>
            </w:r>
          </w:p>
        </w:tc>
        <w:tc>
          <w:tcPr>
            <w:tcW w:w="1739" w:type="dxa"/>
          </w:tcPr>
          <w:p w14:paraId="6F40A426"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6F7AB1FD"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233E6D53" w14:textId="77777777" w:rsidR="00843062" w:rsidRDefault="00843062" w:rsidP="00F06739"/>
        </w:tc>
        <w:tc>
          <w:tcPr>
            <w:tcW w:w="5253" w:type="dxa"/>
          </w:tcPr>
          <w:p w14:paraId="2CF4CE16"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TAVI</w:t>
            </w:r>
          </w:p>
        </w:tc>
        <w:tc>
          <w:tcPr>
            <w:tcW w:w="1757" w:type="dxa"/>
          </w:tcPr>
          <w:p w14:paraId="46930007"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65/143 patients</w:t>
            </w:r>
          </w:p>
        </w:tc>
        <w:tc>
          <w:tcPr>
            <w:tcW w:w="1739" w:type="dxa"/>
          </w:tcPr>
          <w:p w14:paraId="1074E4D0"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72A36492"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tcPr>
          <w:p w14:paraId="510B1A1D" w14:textId="1CF17315" w:rsidR="00843062" w:rsidRPr="00892C28" w:rsidRDefault="00843062" w:rsidP="00F06739">
            <w:pPr>
              <w:rPr>
                <w:vertAlign w:val="superscript"/>
              </w:rPr>
            </w:pPr>
            <w:proofErr w:type="spellStart"/>
            <w:r>
              <w:t>Itagaki</w:t>
            </w:r>
            <w:proofErr w:type="spellEnd"/>
            <w:r>
              <w:t xml:space="preserve"> 2020</w:t>
            </w:r>
          </w:p>
        </w:tc>
        <w:tc>
          <w:tcPr>
            <w:tcW w:w="5253" w:type="dxa"/>
          </w:tcPr>
          <w:p w14:paraId="31F5B74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Isolated off-pump CABG</w:t>
            </w:r>
          </w:p>
        </w:tc>
        <w:tc>
          <w:tcPr>
            <w:tcW w:w="1757" w:type="dxa"/>
          </w:tcPr>
          <w:p w14:paraId="3A8427F5"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6/89 patients</w:t>
            </w:r>
          </w:p>
        </w:tc>
        <w:tc>
          <w:tcPr>
            <w:tcW w:w="1739" w:type="dxa"/>
          </w:tcPr>
          <w:p w14:paraId="7AFDB8B1"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620E7644"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01562210" w14:textId="77777777" w:rsidR="00843062" w:rsidRDefault="00843062" w:rsidP="00F06739"/>
        </w:tc>
        <w:tc>
          <w:tcPr>
            <w:tcW w:w="5253" w:type="dxa"/>
          </w:tcPr>
          <w:p w14:paraId="60657E60"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Isolated on-pump CABG</w:t>
            </w:r>
          </w:p>
        </w:tc>
        <w:tc>
          <w:tcPr>
            <w:tcW w:w="1757" w:type="dxa"/>
          </w:tcPr>
          <w:p w14:paraId="30AE1C6B"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14/89 patients</w:t>
            </w:r>
          </w:p>
        </w:tc>
        <w:tc>
          <w:tcPr>
            <w:tcW w:w="1739" w:type="dxa"/>
          </w:tcPr>
          <w:p w14:paraId="2284F742"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56F467BF"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5FDBFFFE" w14:textId="77777777" w:rsidR="00843062" w:rsidRDefault="00843062" w:rsidP="00F06739"/>
        </w:tc>
        <w:tc>
          <w:tcPr>
            <w:tcW w:w="5253" w:type="dxa"/>
          </w:tcPr>
          <w:p w14:paraId="15F8A5B1"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Aortic Valvuloplasty</w:t>
            </w:r>
          </w:p>
        </w:tc>
        <w:tc>
          <w:tcPr>
            <w:tcW w:w="1757" w:type="dxa"/>
          </w:tcPr>
          <w:p w14:paraId="7EF938C9"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6/89 patients</w:t>
            </w:r>
          </w:p>
        </w:tc>
        <w:tc>
          <w:tcPr>
            <w:tcW w:w="1739" w:type="dxa"/>
          </w:tcPr>
          <w:p w14:paraId="3A046DC8"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76341625"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793CFF46" w14:textId="77777777" w:rsidR="00843062" w:rsidRDefault="00843062" w:rsidP="00F06739"/>
        </w:tc>
        <w:tc>
          <w:tcPr>
            <w:tcW w:w="5253" w:type="dxa"/>
          </w:tcPr>
          <w:p w14:paraId="341A080E"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Mitral Valvuloplasty</w:t>
            </w:r>
          </w:p>
        </w:tc>
        <w:tc>
          <w:tcPr>
            <w:tcW w:w="1757" w:type="dxa"/>
          </w:tcPr>
          <w:p w14:paraId="65B3E304"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9/89 patients</w:t>
            </w:r>
          </w:p>
        </w:tc>
        <w:tc>
          <w:tcPr>
            <w:tcW w:w="1739" w:type="dxa"/>
          </w:tcPr>
          <w:p w14:paraId="4118F9CD"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485D398B"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47428021" w14:textId="77777777" w:rsidR="00843062" w:rsidRDefault="00843062" w:rsidP="00F06739"/>
        </w:tc>
        <w:tc>
          <w:tcPr>
            <w:tcW w:w="5253" w:type="dxa"/>
          </w:tcPr>
          <w:p w14:paraId="5D3A4109"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Aortic Valve Replacement</w:t>
            </w:r>
          </w:p>
        </w:tc>
        <w:tc>
          <w:tcPr>
            <w:tcW w:w="1757" w:type="dxa"/>
          </w:tcPr>
          <w:p w14:paraId="1EDDE850"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25/89 patients</w:t>
            </w:r>
          </w:p>
        </w:tc>
        <w:tc>
          <w:tcPr>
            <w:tcW w:w="1739" w:type="dxa"/>
          </w:tcPr>
          <w:p w14:paraId="42260A1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142211DE"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3B755DA4" w14:textId="77777777" w:rsidR="00843062" w:rsidRDefault="00843062" w:rsidP="00F06739"/>
        </w:tc>
        <w:tc>
          <w:tcPr>
            <w:tcW w:w="5253" w:type="dxa"/>
          </w:tcPr>
          <w:p w14:paraId="209635BF"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Mitral Valve Replacement</w:t>
            </w:r>
          </w:p>
        </w:tc>
        <w:tc>
          <w:tcPr>
            <w:tcW w:w="1757" w:type="dxa"/>
          </w:tcPr>
          <w:p w14:paraId="3D9899B5"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7/89 patients</w:t>
            </w:r>
          </w:p>
        </w:tc>
        <w:tc>
          <w:tcPr>
            <w:tcW w:w="1739" w:type="dxa"/>
          </w:tcPr>
          <w:p w14:paraId="224D8CDF"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1DA57B4D"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7A1436BB" w14:textId="77777777" w:rsidR="00843062" w:rsidRDefault="00843062" w:rsidP="00F06739"/>
        </w:tc>
        <w:tc>
          <w:tcPr>
            <w:tcW w:w="5253" w:type="dxa"/>
          </w:tcPr>
          <w:p w14:paraId="74848FE7"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CABG plus Valve Replacement</w:t>
            </w:r>
          </w:p>
        </w:tc>
        <w:tc>
          <w:tcPr>
            <w:tcW w:w="1757" w:type="dxa"/>
          </w:tcPr>
          <w:p w14:paraId="1C91876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22/83 patients</w:t>
            </w:r>
          </w:p>
        </w:tc>
        <w:tc>
          <w:tcPr>
            <w:tcW w:w="1739" w:type="dxa"/>
          </w:tcPr>
          <w:p w14:paraId="160374D3"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5DD56A08"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val="restart"/>
          </w:tcPr>
          <w:p w14:paraId="7077F8BC" w14:textId="1351F42C" w:rsidR="00843062" w:rsidRPr="0072441B" w:rsidRDefault="00843062" w:rsidP="00F06739">
            <w:pPr>
              <w:rPr>
                <w:vertAlign w:val="superscript"/>
              </w:rPr>
            </w:pPr>
            <w:r>
              <w:t>Jung 2015</w:t>
            </w:r>
          </w:p>
        </w:tc>
        <w:tc>
          <w:tcPr>
            <w:tcW w:w="5253" w:type="dxa"/>
          </w:tcPr>
          <w:p w14:paraId="458E343D"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Isolated CABG</w:t>
            </w:r>
          </w:p>
        </w:tc>
        <w:tc>
          <w:tcPr>
            <w:tcW w:w="1757" w:type="dxa"/>
          </w:tcPr>
          <w:p w14:paraId="7B76F062"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65/133 patients</w:t>
            </w:r>
          </w:p>
        </w:tc>
        <w:tc>
          <w:tcPr>
            <w:tcW w:w="1739" w:type="dxa"/>
          </w:tcPr>
          <w:p w14:paraId="1CF0D2D8"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06FCEE75"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5F518C45" w14:textId="77777777" w:rsidR="00843062" w:rsidRDefault="00843062" w:rsidP="00F06739"/>
        </w:tc>
        <w:tc>
          <w:tcPr>
            <w:tcW w:w="5253" w:type="dxa"/>
          </w:tcPr>
          <w:p w14:paraId="567F2B53"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Isolated Valvuloplasty</w:t>
            </w:r>
          </w:p>
        </w:tc>
        <w:tc>
          <w:tcPr>
            <w:tcW w:w="1757" w:type="dxa"/>
          </w:tcPr>
          <w:p w14:paraId="67ADFD7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36/133 patients</w:t>
            </w:r>
          </w:p>
        </w:tc>
        <w:tc>
          <w:tcPr>
            <w:tcW w:w="1739" w:type="dxa"/>
          </w:tcPr>
          <w:p w14:paraId="18E0E6A4"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3ED21440"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3054BFEB" w14:textId="77777777" w:rsidR="00843062" w:rsidRDefault="00843062" w:rsidP="00F06739"/>
        </w:tc>
        <w:tc>
          <w:tcPr>
            <w:tcW w:w="5253" w:type="dxa"/>
          </w:tcPr>
          <w:p w14:paraId="3E5363CD"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CABG plus Valvuloplasty</w:t>
            </w:r>
          </w:p>
        </w:tc>
        <w:tc>
          <w:tcPr>
            <w:tcW w:w="1757" w:type="dxa"/>
          </w:tcPr>
          <w:p w14:paraId="2028899D"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25/133</w:t>
            </w:r>
          </w:p>
        </w:tc>
        <w:tc>
          <w:tcPr>
            <w:tcW w:w="1739" w:type="dxa"/>
          </w:tcPr>
          <w:p w14:paraId="4E341337"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23E1D4AA"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1C5FAAFA" w14:textId="77777777" w:rsidR="00843062" w:rsidRDefault="00843062" w:rsidP="00F06739"/>
        </w:tc>
        <w:tc>
          <w:tcPr>
            <w:tcW w:w="5253" w:type="dxa"/>
          </w:tcPr>
          <w:p w14:paraId="1D2EF67D"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Other Cardiac Procedure (not specified)</w:t>
            </w:r>
          </w:p>
        </w:tc>
        <w:tc>
          <w:tcPr>
            <w:tcW w:w="1757" w:type="dxa"/>
          </w:tcPr>
          <w:p w14:paraId="2DB2DFB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7/133</w:t>
            </w:r>
          </w:p>
        </w:tc>
        <w:tc>
          <w:tcPr>
            <w:tcW w:w="1739" w:type="dxa"/>
          </w:tcPr>
          <w:p w14:paraId="423C71AD"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2BB394BA"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val="restart"/>
            <w:shd w:val="clear" w:color="auto" w:fill="F2F2F2" w:themeFill="background1" w:themeFillShade="F2"/>
          </w:tcPr>
          <w:p w14:paraId="29A836EE" w14:textId="083AC279" w:rsidR="00843062" w:rsidRPr="000C36BF" w:rsidRDefault="00843062" w:rsidP="00F06739">
            <w:pPr>
              <w:rPr>
                <w:vertAlign w:val="superscript"/>
              </w:rPr>
            </w:pPr>
            <w:r>
              <w:t>Khan 2016</w:t>
            </w:r>
          </w:p>
        </w:tc>
        <w:tc>
          <w:tcPr>
            <w:tcW w:w="5253" w:type="dxa"/>
          </w:tcPr>
          <w:p w14:paraId="355012A4"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Femur Fracture Fixation</w:t>
            </w:r>
          </w:p>
        </w:tc>
        <w:tc>
          <w:tcPr>
            <w:tcW w:w="1757" w:type="dxa"/>
          </w:tcPr>
          <w:p w14:paraId="5BE7F0AC"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10/25</w:t>
            </w:r>
          </w:p>
        </w:tc>
        <w:tc>
          <w:tcPr>
            <w:tcW w:w="1739" w:type="dxa"/>
          </w:tcPr>
          <w:p w14:paraId="6C08E12E"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Intermediate</w:t>
            </w:r>
          </w:p>
        </w:tc>
      </w:tr>
      <w:tr w:rsidR="00843062" w14:paraId="74EF8A78"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235D7685" w14:textId="77777777" w:rsidR="00843062" w:rsidRDefault="00843062" w:rsidP="00F06739"/>
        </w:tc>
        <w:tc>
          <w:tcPr>
            <w:tcW w:w="5253" w:type="dxa"/>
          </w:tcPr>
          <w:p w14:paraId="539882B7"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Abdominal Laparotomy</w:t>
            </w:r>
          </w:p>
        </w:tc>
        <w:tc>
          <w:tcPr>
            <w:tcW w:w="1757" w:type="dxa"/>
          </w:tcPr>
          <w:p w14:paraId="1CDB7B60"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12/25</w:t>
            </w:r>
          </w:p>
        </w:tc>
        <w:tc>
          <w:tcPr>
            <w:tcW w:w="1739" w:type="dxa"/>
          </w:tcPr>
          <w:p w14:paraId="2B18E3FF"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Intermediate</w:t>
            </w:r>
          </w:p>
        </w:tc>
      </w:tr>
      <w:tr w:rsidR="00843062" w14:paraId="6C190D9C"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24A01FD2" w14:textId="77777777" w:rsidR="00843062" w:rsidRDefault="00843062" w:rsidP="00F06739"/>
        </w:tc>
        <w:tc>
          <w:tcPr>
            <w:tcW w:w="5253" w:type="dxa"/>
          </w:tcPr>
          <w:p w14:paraId="2DF18971"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Total Knee Replacement</w:t>
            </w:r>
          </w:p>
        </w:tc>
        <w:tc>
          <w:tcPr>
            <w:tcW w:w="1757" w:type="dxa"/>
          </w:tcPr>
          <w:p w14:paraId="263278D6"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3/25</w:t>
            </w:r>
          </w:p>
        </w:tc>
        <w:tc>
          <w:tcPr>
            <w:tcW w:w="1739" w:type="dxa"/>
          </w:tcPr>
          <w:p w14:paraId="795279D6"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Intermediate</w:t>
            </w:r>
          </w:p>
        </w:tc>
      </w:tr>
      <w:tr w:rsidR="00843062" w14:paraId="2AFC6DAA"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shd w:val="clear" w:color="auto" w:fill="auto"/>
          </w:tcPr>
          <w:p w14:paraId="182C1814" w14:textId="1D3173AC" w:rsidR="00843062" w:rsidRPr="00AF19DA" w:rsidRDefault="00843062" w:rsidP="00F06739">
            <w:pPr>
              <w:rPr>
                <w:vertAlign w:val="superscript"/>
              </w:rPr>
            </w:pPr>
            <w:r>
              <w:t>Leung 2011</w:t>
            </w:r>
          </w:p>
        </w:tc>
        <w:tc>
          <w:tcPr>
            <w:tcW w:w="5253" w:type="dxa"/>
          </w:tcPr>
          <w:p w14:paraId="6EA47B39"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General Surgery (not specified)</w:t>
            </w:r>
          </w:p>
        </w:tc>
        <w:tc>
          <w:tcPr>
            <w:tcW w:w="1757" w:type="dxa"/>
          </w:tcPr>
          <w:p w14:paraId="3718303F"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2/63</w:t>
            </w:r>
          </w:p>
        </w:tc>
        <w:tc>
          <w:tcPr>
            <w:tcW w:w="1739" w:type="dxa"/>
          </w:tcPr>
          <w:p w14:paraId="35FFA226"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Intermediate</w:t>
            </w:r>
          </w:p>
        </w:tc>
      </w:tr>
      <w:tr w:rsidR="00843062" w14:paraId="418F31BF"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3107CEC7" w14:textId="77777777" w:rsidR="00843062" w:rsidRDefault="00843062" w:rsidP="00F06739"/>
        </w:tc>
        <w:tc>
          <w:tcPr>
            <w:tcW w:w="5253" w:type="dxa"/>
          </w:tcPr>
          <w:p w14:paraId="13946EBB"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Arthroplasty</w:t>
            </w:r>
          </w:p>
        </w:tc>
        <w:tc>
          <w:tcPr>
            <w:tcW w:w="1757" w:type="dxa"/>
          </w:tcPr>
          <w:p w14:paraId="4068A585"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27/63</w:t>
            </w:r>
          </w:p>
        </w:tc>
        <w:tc>
          <w:tcPr>
            <w:tcW w:w="1739" w:type="dxa"/>
          </w:tcPr>
          <w:p w14:paraId="09A2B1E4"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Intermediate</w:t>
            </w:r>
          </w:p>
        </w:tc>
      </w:tr>
      <w:tr w:rsidR="00843062" w14:paraId="4212CE3F"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2D7455E3" w14:textId="77777777" w:rsidR="00843062" w:rsidRDefault="00843062" w:rsidP="00F06739"/>
        </w:tc>
        <w:tc>
          <w:tcPr>
            <w:tcW w:w="5253" w:type="dxa"/>
          </w:tcPr>
          <w:p w14:paraId="630FB5B6"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Spine</w:t>
            </w:r>
          </w:p>
        </w:tc>
        <w:tc>
          <w:tcPr>
            <w:tcW w:w="1757" w:type="dxa"/>
          </w:tcPr>
          <w:p w14:paraId="6CBAF58F"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28/63</w:t>
            </w:r>
          </w:p>
        </w:tc>
        <w:tc>
          <w:tcPr>
            <w:tcW w:w="1739" w:type="dxa"/>
          </w:tcPr>
          <w:p w14:paraId="5B6B651C"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Intermediate</w:t>
            </w:r>
          </w:p>
        </w:tc>
      </w:tr>
      <w:tr w:rsidR="00843062" w14:paraId="126D4144"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667F1004" w14:textId="77777777" w:rsidR="00843062" w:rsidRDefault="00843062" w:rsidP="00F06739"/>
        </w:tc>
        <w:tc>
          <w:tcPr>
            <w:tcW w:w="5253" w:type="dxa"/>
          </w:tcPr>
          <w:p w14:paraId="33964E15"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Thoracic</w:t>
            </w:r>
          </w:p>
        </w:tc>
        <w:tc>
          <w:tcPr>
            <w:tcW w:w="1757" w:type="dxa"/>
          </w:tcPr>
          <w:p w14:paraId="283E534C"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6/63</w:t>
            </w:r>
          </w:p>
        </w:tc>
        <w:tc>
          <w:tcPr>
            <w:tcW w:w="1739" w:type="dxa"/>
          </w:tcPr>
          <w:p w14:paraId="7A0E5203"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Intermediate</w:t>
            </w:r>
          </w:p>
        </w:tc>
      </w:tr>
      <w:tr w:rsidR="00843062" w14:paraId="56A98159"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tcPr>
          <w:p w14:paraId="046D9111" w14:textId="6BD2CCE5" w:rsidR="00843062" w:rsidRPr="00680885" w:rsidRDefault="00843062" w:rsidP="00F06739">
            <w:pPr>
              <w:rPr>
                <w:vertAlign w:val="superscript"/>
              </w:rPr>
            </w:pPr>
            <w:proofErr w:type="spellStart"/>
            <w:r>
              <w:t>Mahanna</w:t>
            </w:r>
            <w:proofErr w:type="spellEnd"/>
            <w:r>
              <w:t xml:space="preserve"> 2020</w:t>
            </w:r>
          </w:p>
        </w:tc>
        <w:tc>
          <w:tcPr>
            <w:tcW w:w="5253" w:type="dxa"/>
          </w:tcPr>
          <w:p w14:paraId="7A62F7F6"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Spine</w:t>
            </w:r>
          </w:p>
        </w:tc>
        <w:tc>
          <w:tcPr>
            <w:tcW w:w="1757" w:type="dxa"/>
          </w:tcPr>
          <w:p w14:paraId="41CFA0D0"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71/167</w:t>
            </w:r>
          </w:p>
        </w:tc>
        <w:tc>
          <w:tcPr>
            <w:tcW w:w="1739" w:type="dxa"/>
          </w:tcPr>
          <w:p w14:paraId="55591C8F"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Intermediate</w:t>
            </w:r>
          </w:p>
        </w:tc>
      </w:tr>
      <w:tr w:rsidR="00843062" w14:paraId="36DDCD14"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3FD426A6" w14:textId="77777777" w:rsidR="00843062" w:rsidRDefault="00843062" w:rsidP="00F06739"/>
        </w:tc>
        <w:tc>
          <w:tcPr>
            <w:tcW w:w="5253" w:type="dxa"/>
          </w:tcPr>
          <w:p w14:paraId="48DB76AF"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Thoracic</w:t>
            </w:r>
          </w:p>
        </w:tc>
        <w:tc>
          <w:tcPr>
            <w:tcW w:w="1757" w:type="dxa"/>
          </w:tcPr>
          <w:p w14:paraId="26650340"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19/167</w:t>
            </w:r>
          </w:p>
        </w:tc>
        <w:tc>
          <w:tcPr>
            <w:tcW w:w="1739" w:type="dxa"/>
          </w:tcPr>
          <w:p w14:paraId="0C3A6267"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Intermediate</w:t>
            </w:r>
          </w:p>
        </w:tc>
      </w:tr>
      <w:tr w:rsidR="00843062" w14:paraId="0C90DEB2"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761152ED" w14:textId="77777777" w:rsidR="00843062" w:rsidRDefault="00843062" w:rsidP="00F06739"/>
        </w:tc>
        <w:tc>
          <w:tcPr>
            <w:tcW w:w="5253" w:type="dxa"/>
          </w:tcPr>
          <w:p w14:paraId="11A74610"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Urologic</w:t>
            </w:r>
          </w:p>
        </w:tc>
        <w:tc>
          <w:tcPr>
            <w:tcW w:w="1757" w:type="dxa"/>
          </w:tcPr>
          <w:p w14:paraId="59377FF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28/167</w:t>
            </w:r>
          </w:p>
        </w:tc>
        <w:tc>
          <w:tcPr>
            <w:tcW w:w="1739" w:type="dxa"/>
          </w:tcPr>
          <w:p w14:paraId="4134403B"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Intermediate</w:t>
            </w:r>
          </w:p>
        </w:tc>
      </w:tr>
      <w:tr w:rsidR="00843062" w14:paraId="113DEA04"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2CBBFC2D" w14:textId="77777777" w:rsidR="00843062" w:rsidRDefault="00843062" w:rsidP="00F06739"/>
        </w:tc>
        <w:tc>
          <w:tcPr>
            <w:tcW w:w="5253" w:type="dxa"/>
          </w:tcPr>
          <w:p w14:paraId="42C615F3"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General Surgery (not specified)</w:t>
            </w:r>
          </w:p>
        </w:tc>
        <w:tc>
          <w:tcPr>
            <w:tcW w:w="1757" w:type="dxa"/>
          </w:tcPr>
          <w:p w14:paraId="4444EFAE"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49/167</w:t>
            </w:r>
          </w:p>
        </w:tc>
        <w:tc>
          <w:tcPr>
            <w:tcW w:w="1739" w:type="dxa"/>
          </w:tcPr>
          <w:p w14:paraId="23ABCF56"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Intermediate</w:t>
            </w:r>
          </w:p>
        </w:tc>
      </w:tr>
      <w:tr w:rsidR="00843062" w14:paraId="6AED7906"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shd w:val="clear" w:color="auto" w:fill="FFFFFF" w:themeFill="background1"/>
          </w:tcPr>
          <w:p w14:paraId="0F4751C8" w14:textId="7C4E6602" w:rsidR="00843062" w:rsidRPr="008C770A" w:rsidRDefault="00843062" w:rsidP="00F06739">
            <w:pPr>
              <w:rPr>
                <w:vertAlign w:val="superscript"/>
              </w:rPr>
            </w:pPr>
            <w:r>
              <w:t>Nomura 2019</w:t>
            </w:r>
            <w:r w:rsidRPr="66EF1A9E">
              <w:rPr>
                <w:vertAlign w:val="superscript"/>
              </w:rPr>
              <w:t>**</w:t>
            </w:r>
          </w:p>
        </w:tc>
        <w:tc>
          <w:tcPr>
            <w:tcW w:w="5253" w:type="dxa"/>
          </w:tcPr>
          <w:p w14:paraId="3E190D38"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CABG</w:t>
            </w:r>
          </w:p>
        </w:tc>
        <w:tc>
          <w:tcPr>
            <w:tcW w:w="1757" w:type="dxa"/>
          </w:tcPr>
          <w:p w14:paraId="621CF396"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62/133</w:t>
            </w:r>
          </w:p>
        </w:tc>
        <w:tc>
          <w:tcPr>
            <w:tcW w:w="1739" w:type="dxa"/>
          </w:tcPr>
          <w:p w14:paraId="0BB99DF5"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622788F3"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3348BDC9" w14:textId="77777777" w:rsidR="00843062" w:rsidRDefault="00843062" w:rsidP="00F06739"/>
        </w:tc>
        <w:tc>
          <w:tcPr>
            <w:tcW w:w="5253" w:type="dxa"/>
          </w:tcPr>
          <w:p w14:paraId="08A5A35C"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CABG plus Valve Surgery (not specified)</w:t>
            </w:r>
          </w:p>
        </w:tc>
        <w:tc>
          <w:tcPr>
            <w:tcW w:w="1757" w:type="dxa"/>
          </w:tcPr>
          <w:p w14:paraId="5578C402"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20/133</w:t>
            </w:r>
          </w:p>
        </w:tc>
        <w:tc>
          <w:tcPr>
            <w:tcW w:w="1739" w:type="dxa"/>
          </w:tcPr>
          <w:p w14:paraId="1504546D"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6F8523BD"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21BDCAB0" w14:textId="77777777" w:rsidR="00843062" w:rsidRDefault="00843062" w:rsidP="00F06739"/>
        </w:tc>
        <w:tc>
          <w:tcPr>
            <w:tcW w:w="5253" w:type="dxa"/>
          </w:tcPr>
          <w:p w14:paraId="091597CF"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Valve Surgery (not specified)</w:t>
            </w:r>
          </w:p>
        </w:tc>
        <w:tc>
          <w:tcPr>
            <w:tcW w:w="1757" w:type="dxa"/>
          </w:tcPr>
          <w:p w14:paraId="1C6D99D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46/133</w:t>
            </w:r>
          </w:p>
        </w:tc>
        <w:tc>
          <w:tcPr>
            <w:tcW w:w="1739" w:type="dxa"/>
          </w:tcPr>
          <w:p w14:paraId="33B2DAEA"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1C9DB1B3"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61B8F69B" w14:textId="77777777" w:rsidR="00843062" w:rsidRDefault="00843062" w:rsidP="00F06739"/>
        </w:tc>
        <w:tc>
          <w:tcPr>
            <w:tcW w:w="5253" w:type="dxa"/>
          </w:tcPr>
          <w:p w14:paraId="0FD97659"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Other Cardiac Surgery (not specified)</w:t>
            </w:r>
          </w:p>
        </w:tc>
        <w:tc>
          <w:tcPr>
            <w:tcW w:w="1757" w:type="dxa"/>
          </w:tcPr>
          <w:p w14:paraId="249DE63C"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5/133</w:t>
            </w:r>
          </w:p>
        </w:tc>
        <w:tc>
          <w:tcPr>
            <w:tcW w:w="1739" w:type="dxa"/>
          </w:tcPr>
          <w:p w14:paraId="58966496"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7BA3E2FF"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tcPr>
          <w:p w14:paraId="68B6E662" w14:textId="7ABF29EF" w:rsidR="00843062" w:rsidRPr="00D22AFA" w:rsidRDefault="00843062" w:rsidP="00F06739">
            <w:pPr>
              <w:rPr>
                <w:vertAlign w:val="superscript"/>
              </w:rPr>
            </w:pPr>
            <w:r>
              <w:t>Partridge 2015</w:t>
            </w:r>
          </w:p>
        </w:tc>
        <w:tc>
          <w:tcPr>
            <w:tcW w:w="5253" w:type="dxa"/>
          </w:tcPr>
          <w:p w14:paraId="4BB12CF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Imaging/investigation</w:t>
            </w:r>
          </w:p>
        </w:tc>
        <w:tc>
          <w:tcPr>
            <w:tcW w:w="1757" w:type="dxa"/>
          </w:tcPr>
          <w:p w14:paraId="6716169B"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12/125</w:t>
            </w:r>
          </w:p>
        </w:tc>
        <w:tc>
          <w:tcPr>
            <w:tcW w:w="1739" w:type="dxa"/>
          </w:tcPr>
          <w:p w14:paraId="556E1837"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Low</w:t>
            </w:r>
          </w:p>
        </w:tc>
      </w:tr>
      <w:tr w:rsidR="00843062" w14:paraId="20391AE0"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59485BDA" w14:textId="77777777" w:rsidR="00843062" w:rsidRDefault="00843062" w:rsidP="00F06739"/>
        </w:tc>
        <w:tc>
          <w:tcPr>
            <w:tcW w:w="5253" w:type="dxa"/>
          </w:tcPr>
          <w:p w14:paraId="47F8A6EB"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rsidRPr="00D22AFA">
              <w:t>Angioplasty/thrombolysis/thrombectomy/embolectomy</w:t>
            </w:r>
          </w:p>
        </w:tc>
        <w:tc>
          <w:tcPr>
            <w:tcW w:w="1757" w:type="dxa"/>
          </w:tcPr>
          <w:p w14:paraId="29284E5A"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29/125</w:t>
            </w:r>
          </w:p>
        </w:tc>
        <w:tc>
          <w:tcPr>
            <w:tcW w:w="1739" w:type="dxa"/>
          </w:tcPr>
          <w:p w14:paraId="0A52A964"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77DAAB22"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49C8CA08" w14:textId="77777777" w:rsidR="00843062" w:rsidRDefault="00843062" w:rsidP="00F06739"/>
        </w:tc>
        <w:tc>
          <w:tcPr>
            <w:tcW w:w="5253" w:type="dxa"/>
          </w:tcPr>
          <w:p w14:paraId="36FB79C3"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Lower limb bypass graft</w:t>
            </w:r>
          </w:p>
        </w:tc>
        <w:tc>
          <w:tcPr>
            <w:tcW w:w="1757" w:type="dxa"/>
          </w:tcPr>
          <w:p w14:paraId="687AF40C"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21/125</w:t>
            </w:r>
          </w:p>
        </w:tc>
        <w:tc>
          <w:tcPr>
            <w:tcW w:w="1739" w:type="dxa"/>
          </w:tcPr>
          <w:p w14:paraId="4FF151C4"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4CF4273B"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1AE43CE0" w14:textId="77777777" w:rsidR="00843062" w:rsidRDefault="00843062" w:rsidP="00F06739"/>
        </w:tc>
        <w:tc>
          <w:tcPr>
            <w:tcW w:w="5253" w:type="dxa"/>
          </w:tcPr>
          <w:p w14:paraId="41002B3A"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EVAR</w:t>
            </w:r>
          </w:p>
        </w:tc>
        <w:tc>
          <w:tcPr>
            <w:tcW w:w="1757" w:type="dxa"/>
          </w:tcPr>
          <w:p w14:paraId="3E871F58"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22/125</w:t>
            </w:r>
          </w:p>
        </w:tc>
        <w:tc>
          <w:tcPr>
            <w:tcW w:w="1739" w:type="dxa"/>
          </w:tcPr>
          <w:p w14:paraId="60CA538D"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1ED6263C"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4D91E88F" w14:textId="77777777" w:rsidR="00843062" w:rsidRDefault="00843062" w:rsidP="00F06739"/>
        </w:tc>
        <w:tc>
          <w:tcPr>
            <w:tcW w:w="5253" w:type="dxa"/>
          </w:tcPr>
          <w:p w14:paraId="7193A5E4"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Open AAA Repair</w:t>
            </w:r>
          </w:p>
        </w:tc>
        <w:tc>
          <w:tcPr>
            <w:tcW w:w="1757" w:type="dxa"/>
          </w:tcPr>
          <w:p w14:paraId="485003E7"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5/125</w:t>
            </w:r>
          </w:p>
        </w:tc>
        <w:tc>
          <w:tcPr>
            <w:tcW w:w="1739" w:type="dxa"/>
          </w:tcPr>
          <w:p w14:paraId="40B29A4C"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5E8630FA"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1885905C" w14:textId="77777777" w:rsidR="00843062" w:rsidRDefault="00843062" w:rsidP="00F06739"/>
        </w:tc>
        <w:tc>
          <w:tcPr>
            <w:tcW w:w="5253" w:type="dxa"/>
          </w:tcPr>
          <w:p w14:paraId="56FFD49D"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Toe/Foot Amputation</w:t>
            </w:r>
          </w:p>
        </w:tc>
        <w:tc>
          <w:tcPr>
            <w:tcW w:w="1757" w:type="dxa"/>
          </w:tcPr>
          <w:p w14:paraId="2F8C77E8"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3/125</w:t>
            </w:r>
          </w:p>
        </w:tc>
        <w:tc>
          <w:tcPr>
            <w:tcW w:w="1739" w:type="dxa"/>
          </w:tcPr>
          <w:p w14:paraId="3AE0D633"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5D23263F"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5D11C77A" w14:textId="77777777" w:rsidR="00843062" w:rsidRDefault="00843062" w:rsidP="00F06739"/>
        </w:tc>
        <w:tc>
          <w:tcPr>
            <w:tcW w:w="5253" w:type="dxa"/>
          </w:tcPr>
          <w:p w14:paraId="0E1E794D"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BKA/TKA</w:t>
            </w:r>
          </w:p>
        </w:tc>
        <w:tc>
          <w:tcPr>
            <w:tcW w:w="1757" w:type="dxa"/>
          </w:tcPr>
          <w:p w14:paraId="42203A9E"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2/125</w:t>
            </w:r>
          </w:p>
        </w:tc>
        <w:tc>
          <w:tcPr>
            <w:tcW w:w="1739" w:type="dxa"/>
          </w:tcPr>
          <w:p w14:paraId="6975895A"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50526E75"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287F35F3" w14:textId="77777777" w:rsidR="00843062" w:rsidRDefault="00843062" w:rsidP="00F06739"/>
        </w:tc>
        <w:tc>
          <w:tcPr>
            <w:tcW w:w="5253" w:type="dxa"/>
          </w:tcPr>
          <w:p w14:paraId="334576CE"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AKA</w:t>
            </w:r>
          </w:p>
        </w:tc>
        <w:tc>
          <w:tcPr>
            <w:tcW w:w="1757" w:type="dxa"/>
          </w:tcPr>
          <w:p w14:paraId="0AEB9A46"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1/125</w:t>
            </w:r>
          </w:p>
        </w:tc>
        <w:tc>
          <w:tcPr>
            <w:tcW w:w="1739" w:type="dxa"/>
          </w:tcPr>
          <w:p w14:paraId="0B8A3651"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113918A7"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05645EB7" w14:textId="77777777" w:rsidR="00843062" w:rsidRDefault="00843062" w:rsidP="00F06739"/>
        </w:tc>
        <w:tc>
          <w:tcPr>
            <w:tcW w:w="5253" w:type="dxa"/>
          </w:tcPr>
          <w:p w14:paraId="76924EA5"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 xml:space="preserve">Other Vascular Surgery, such as pseudoaneurysm repair or evacuation of </w:t>
            </w:r>
            <w:proofErr w:type="spellStart"/>
            <w:r>
              <w:t>haematoma</w:t>
            </w:r>
            <w:proofErr w:type="spellEnd"/>
          </w:p>
        </w:tc>
        <w:tc>
          <w:tcPr>
            <w:tcW w:w="1757" w:type="dxa"/>
          </w:tcPr>
          <w:p w14:paraId="65E00AAC"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8/125</w:t>
            </w:r>
          </w:p>
        </w:tc>
        <w:tc>
          <w:tcPr>
            <w:tcW w:w="1739" w:type="dxa"/>
          </w:tcPr>
          <w:p w14:paraId="5F0656B4"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687E1C83"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val="restart"/>
          </w:tcPr>
          <w:p w14:paraId="5673694D" w14:textId="53A796CE" w:rsidR="00843062" w:rsidRPr="009F5E92" w:rsidRDefault="00843062" w:rsidP="00F06739">
            <w:pPr>
              <w:rPr>
                <w:vertAlign w:val="superscript"/>
              </w:rPr>
            </w:pPr>
            <w:r>
              <w:lastRenderedPageBreak/>
              <w:t>Pol 2011</w:t>
            </w:r>
          </w:p>
        </w:tc>
        <w:tc>
          <w:tcPr>
            <w:tcW w:w="5253" w:type="dxa"/>
          </w:tcPr>
          <w:p w14:paraId="249B9660"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Open Aortic Surgery</w:t>
            </w:r>
          </w:p>
        </w:tc>
        <w:tc>
          <w:tcPr>
            <w:tcW w:w="1757" w:type="dxa"/>
          </w:tcPr>
          <w:p w14:paraId="7FE4ADD3"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18/142</w:t>
            </w:r>
          </w:p>
        </w:tc>
        <w:tc>
          <w:tcPr>
            <w:tcW w:w="1739" w:type="dxa"/>
          </w:tcPr>
          <w:p w14:paraId="02ED6667"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2E9A7CB6"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4918B60B" w14:textId="77777777" w:rsidR="00843062" w:rsidRDefault="00843062" w:rsidP="00F06739"/>
        </w:tc>
        <w:tc>
          <w:tcPr>
            <w:tcW w:w="5253" w:type="dxa"/>
          </w:tcPr>
          <w:p w14:paraId="540C966B"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Endovascular Procedures (not specified)</w:t>
            </w:r>
          </w:p>
        </w:tc>
        <w:tc>
          <w:tcPr>
            <w:tcW w:w="1757" w:type="dxa"/>
          </w:tcPr>
          <w:p w14:paraId="01F35939"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30/142</w:t>
            </w:r>
          </w:p>
        </w:tc>
        <w:tc>
          <w:tcPr>
            <w:tcW w:w="1739" w:type="dxa"/>
          </w:tcPr>
          <w:p w14:paraId="6FB284B8"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1C0ED417"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77AF11E1" w14:textId="77777777" w:rsidR="00843062" w:rsidRDefault="00843062" w:rsidP="00F06739"/>
        </w:tc>
        <w:tc>
          <w:tcPr>
            <w:tcW w:w="5253" w:type="dxa"/>
          </w:tcPr>
          <w:p w14:paraId="124DD4AF"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Peripheral Bypass Surgery</w:t>
            </w:r>
          </w:p>
        </w:tc>
        <w:tc>
          <w:tcPr>
            <w:tcW w:w="1757" w:type="dxa"/>
          </w:tcPr>
          <w:p w14:paraId="4EE4FF70"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39/142</w:t>
            </w:r>
          </w:p>
        </w:tc>
        <w:tc>
          <w:tcPr>
            <w:tcW w:w="1739" w:type="dxa"/>
          </w:tcPr>
          <w:p w14:paraId="42283890"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4EA5F18B"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7FEB3FC8" w14:textId="77777777" w:rsidR="00843062" w:rsidRDefault="00843062" w:rsidP="00F06739"/>
        </w:tc>
        <w:tc>
          <w:tcPr>
            <w:tcW w:w="5253" w:type="dxa"/>
          </w:tcPr>
          <w:p w14:paraId="7EFADC28"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Arteriovenous Shunt Surgery</w:t>
            </w:r>
          </w:p>
        </w:tc>
        <w:tc>
          <w:tcPr>
            <w:tcW w:w="1757" w:type="dxa"/>
          </w:tcPr>
          <w:p w14:paraId="78DCD826"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2/142</w:t>
            </w:r>
          </w:p>
        </w:tc>
        <w:tc>
          <w:tcPr>
            <w:tcW w:w="1739" w:type="dxa"/>
          </w:tcPr>
          <w:p w14:paraId="4B5D201E"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76CAF0F5"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4F3048BF" w14:textId="77777777" w:rsidR="00843062" w:rsidRDefault="00843062" w:rsidP="00F06739"/>
        </w:tc>
        <w:tc>
          <w:tcPr>
            <w:tcW w:w="5253" w:type="dxa"/>
          </w:tcPr>
          <w:p w14:paraId="0A63ACC5"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PCI</w:t>
            </w:r>
          </w:p>
        </w:tc>
        <w:tc>
          <w:tcPr>
            <w:tcW w:w="1757" w:type="dxa"/>
          </w:tcPr>
          <w:p w14:paraId="2CE7ABD4"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27/142</w:t>
            </w:r>
          </w:p>
        </w:tc>
        <w:tc>
          <w:tcPr>
            <w:tcW w:w="1739" w:type="dxa"/>
          </w:tcPr>
          <w:p w14:paraId="4EB7A893"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r w:rsidR="00843062" w14:paraId="4514BDF9" w14:textId="77777777" w:rsidTr="00F06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Pr>
          <w:p w14:paraId="628AD3DF" w14:textId="77777777" w:rsidR="00843062" w:rsidRDefault="00843062" w:rsidP="00F06739"/>
        </w:tc>
        <w:tc>
          <w:tcPr>
            <w:tcW w:w="5253" w:type="dxa"/>
          </w:tcPr>
          <w:p w14:paraId="02EF0F5F"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Amputation Surgery</w:t>
            </w:r>
          </w:p>
        </w:tc>
        <w:tc>
          <w:tcPr>
            <w:tcW w:w="1757" w:type="dxa"/>
          </w:tcPr>
          <w:p w14:paraId="282D5E92"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10/142</w:t>
            </w:r>
          </w:p>
        </w:tc>
        <w:tc>
          <w:tcPr>
            <w:tcW w:w="1739" w:type="dxa"/>
          </w:tcPr>
          <w:p w14:paraId="6F91BD36" w14:textId="77777777" w:rsidR="00843062" w:rsidRDefault="00843062" w:rsidP="00F06739">
            <w:pPr>
              <w:cnfStyle w:val="000000100000" w:firstRow="0" w:lastRow="0" w:firstColumn="0" w:lastColumn="0" w:oddVBand="0" w:evenVBand="0" w:oddHBand="1" w:evenHBand="0" w:firstRowFirstColumn="0" w:firstRowLastColumn="0" w:lastRowFirstColumn="0" w:lastRowLastColumn="0"/>
            </w:pPr>
            <w:r>
              <w:t>High</w:t>
            </w:r>
          </w:p>
        </w:tc>
      </w:tr>
      <w:tr w:rsidR="00843062" w14:paraId="375E7837" w14:textId="77777777" w:rsidTr="00F06739">
        <w:tc>
          <w:tcPr>
            <w:cnfStyle w:val="001000000000" w:firstRow="0" w:lastRow="0" w:firstColumn="1" w:lastColumn="0" w:oddVBand="0" w:evenVBand="0" w:oddHBand="0" w:evenHBand="0" w:firstRowFirstColumn="0" w:firstRowLastColumn="0" w:lastRowFirstColumn="0" w:lastRowLastColumn="0"/>
            <w:tcW w:w="1511" w:type="dxa"/>
            <w:vMerge/>
          </w:tcPr>
          <w:p w14:paraId="47C8CEF3" w14:textId="77777777" w:rsidR="00843062" w:rsidRDefault="00843062" w:rsidP="00F06739"/>
        </w:tc>
        <w:tc>
          <w:tcPr>
            <w:tcW w:w="5253" w:type="dxa"/>
          </w:tcPr>
          <w:p w14:paraId="7DB823C7"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Miscellaneous Vascular Surgery (not specified)</w:t>
            </w:r>
          </w:p>
        </w:tc>
        <w:tc>
          <w:tcPr>
            <w:tcW w:w="1757" w:type="dxa"/>
          </w:tcPr>
          <w:p w14:paraId="1C4191E4"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16/142</w:t>
            </w:r>
          </w:p>
        </w:tc>
        <w:tc>
          <w:tcPr>
            <w:tcW w:w="1739" w:type="dxa"/>
          </w:tcPr>
          <w:p w14:paraId="1A869067" w14:textId="77777777" w:rsidR="00843062" w:rsidRDefault="00843062" w:rsidP="00F06739">
            <w:pPr>
              <w:cnfStyle w:val="000000000000" w:firstRow="0" w:lastRow="0" w:firstColumn="0" w:lastColumn="0" w:oddVBand="0" w:evenVBand="0" w:oddHBand="0" w:evenHBand="0" w:firstRowFirstColumn="0" w:firstRowLastColumn="0" w:lastRowFirstColumn="0" w:lastRowLastColumn="0"/>
            </w:pPr>
            <w:r>
              <w:t>High</w:t>
            </w:r>
          </w:p>
        </w:tc>
      </w:tr>
    </w:tbl>
    <w:p w14:paraId="3E36A3AE" w14:textId="77777777" w:rsidR="00843062" w:rsidRDefault="00843062" w:rsidP="00843062">
      <w:r>
        <w:t>AAA, Abdominal Aortic Aneurysm; AKA, Above Knee Amputation; BKA, Below-Knee Amputation, CABG, Coronary Artery Bypass Graft; EVAR, Endovascular Aortic Repair; PCI, Percutaneous Intervention; SAVR, Surgical Aortic Valve Replacement; TAVI, Transcatheter Aortic Valve Implantation; TKA Through-Knee Amputation;</w:t>
      </w:r>
    </w:p>
    <w:p w14:paraId="513231E9" w14:textId="77777777" w:rsidR="00843062" w:rsidRDefault="00843062" w:rsidP="00843062">
      <w:r>
        <w:t>*For the Eide study, seven of the 143 patients who went into surgery did not receive delirium assessments, such that delirium was only measured for an N of 136 patients.</w:t>
      </w:r>
    </w:p>
    <w:p w14:paraId="0DB1A079" w14:textId="77777777" w:rsidR="00843062" w:rsidRDefault="00843062" w:rsidP="00843062">
      <w:r>
        <w:t>**For the Nomura study, five of the 133 patients who went into surgery did not receive delirium assessments, such that delirium was only measured for an N of 128 patients.</w:t>
      </w:r>
    </w:p>
    <w:p w14:paraId="7265F9DA" w14:textId="77777777" w:rsidR="00843062" w:rsidRDefault="00843062" w:rsidP="00843062"/>
    <w:p w14:paraId="4D2F0D5E" w14:textId="77777777" w:rsidR="00843062" w:rsidRDefault="00843062" w:rsidP="00843062"/>
    <w:p w14:paraId="2789A590" w14:textId="77777777" w:rsidR="001375F0" w:rsidRPr="00E5615A" w:rsidRDefault="001375F0" w:rsidP="001375F0">
      <w:pPr>
        <w:spacing w:after="0" w:line="360" w:lineRule="auto"/>
        <w:rPr>
          <w:rFonts w:ascii="Arial" w:hAnsi="Arial" w:cs="Arial"/>
          <w:b/>
          <w:bCs/>
          <w:color w:val="000000" w:themeColor="text1"/>
          <w:sz w:val="24"/>
          <w:szCs w:val="24"/>
        </w:rPr>
      </w:pPr>
    </w:p>
    <w:p w14:paraId="7B001A99" w14:textId="77777777" w:rsidR="00843062" w:rsidRDefault="00843062" w:rsidP="001375F0">
      <w:pPr>
        <w:rPr>
          <w:rFonts w:ascii="Arial" w:hAnsi="Arial" w:cs="Arial"/>
          <w:sz w:val="24"/>
          <w:szCs w:val="24"/>
        </w:rPr>
      </w:pPr>
    </w:p>
    <w:p w14:paraId="594D6C86" w14:textId="77777777" w:rsidR="00843062" w:rsidRDefault="00843062" w:rsidP="001375F0">
      <w:pPr>
        <w:rPr>
          <w:rFonts w:ascii="Arial" w:hAnsi="Arial" w:cs="Arial"/>
          <w:sz w:val="24"/>
          <w:szCs w:val="24"/>
        </w:rPr>
      </w:pPr>
    </w:p>
    <w:p w14:paraId="34D417C6" w14:textId="77777777" w:rsidR="00843062" w:rsidRDefault="00843062" w:rsidP="001375F0">
      <w:pPr>
        <w:rPr>
          <w:rFonts w:ascii="Arial" w:hAnsi="Arial" w:cs="Arial"/>
          <w:sz w:val="24"/>
          <w:szCs w:val="24"/>
        </w:rPr>
      </w:pPr>
    </w:p>
    <w:p w14:paraId="7EFEB836" w14:textId="77777777" w:rsidR="00843062" w:rsidRDefault="00843062" w:rsidP="001375F0">
      <w:pPr>
        <w:rPr>
          <w:rFonts w:ascii="Arial" w:hAnsi="Arial" w:cs="Arial"/>
          <w:sz w:val="24"/>
          <w:szCs w:val="24"/>
        </w:rPr>
      </w:pPr>
    </w:p>
    <w:p w14:paraId="2146A3E5" w14:textId="77777777" w:rsidR="00843062" w:rsidRDefault="00843062" w:rsidP="001375F0">
      <w:pPr>
        <w:rPr>
          <w:rFonts w:ascii="Arial" w:hAnsi="Arial" w:cs="Arial"/>
          <w:sz w:val="24"/>
          <w:szCs w:val="24"/>
        </w:rPr>
      </w:pPr>
    </w:p>
    <w:p w14:paraId="5BF2E605" w14:textId="77777777" w:rsidR="00843062" w:rsidRDefault="00843062" w:rsidP="001375F0">
      <w:pPr>
        <w:rPr>
          <w:rFonts w:ascii="Arial" w:hAnsi="Arial" w:cs="Arial"/>
          <w:sz w:val="24"/>
          <w:szCs w:val="24"/>
        </w:rPr>
      </w:pPr>
    </w:p>
    <w:p w14:paraId="17A3D7EA" w14:textId="77777777" w:rsidR="00843062" w:rsidRDefault="00843062" w:rsidP="001375F0">
      <w:pPr>
        <w:rPr>
          <w:rFonts w:ascii="Arial" w:hAnsi="Arial" w:cs="Arial"/>
          <w:sz w:val="24"/>
          <w:szCs w:val="24"/>
        </w:rPr>
      </w:pPr>
    </w:p>
    <w:p w14:paraId="0490DFF3" w14:textId="77777777" w:rsidR="00843062" w:rsidRDefault="00843062" w:rsidP="001375F0">
      <w:pPr>
        <w:rPr>
          <w:rFonts w:ascii="Arial" w:hAnsi="Arial" w:cs="Arial"/>
          <w:sz w:val="24"/>
          <w:szCs w:val="24"/>
        </w:rPr>
      </w:pPr>
    </w:p>
    <w:p w14:paraId="335DAA84" w14:textId="77777777" w:rsidR="00843062" w:rsidRDefault="00843062" w:rsidP="001375F0">
      <w:pPr>
        <w:rPr>
          <w:rFonts w:ascii="Arial" w:hAnsi="Arial" w:cs="Arial"/>
          <w:sz w:val="24"/>
          <w:szCs w:val="24"/>
        </w:rPr>
      </w:pPr>
    </w:p>
    <w:p w14:paraId="1EDE5596" w14:textId="77777777" w:rsidR="00843062" w:rsidRDefault="00843062" w:rsidP="001375F0">
      <w:pPr>
        <w:rPr>
          <w:rFonts w:ascii="Arial" w:hAnsi="Arial" w:cs="Arial"/>
          <w:sz w:val="24"/>
          <w:szCs w:val="24"/>
        </w:rPr>
      </w:pPr>
    </w:p>
    <w:p w14:paraId="7BB6F4BD" w14:textId="77777777" w:rsidR="00843062" w:rsidRDefault="00843062" w:rsidP="001375F0">
      <w:pPr>
        <w:rPr>
          <w:rFonts w:ascii="Arial" w:hAnsi="Arial" w:cs="Arial"/>
          <w:sz w:val="24"/>
          <w:szCs w:val="24"/>
        </w:rPr>
      </w:pPr>
    </w:p>
    <w:p w14:paraId="590A11EE" w14:textId="77777777" w:rsidR="00843062" w:rsidRDefault="00843062" w:rsidP="001375F0">
      <w:pPr>
        <w:rPr>
          <w:rFonts w:ascii="Arial" w:hAnsi="Arial" w:cs="Arial"/>
          <w:sz w:val="24"/>
          <w:szCs w:val="24"/>
        </w:rPr>
      </w:pPr>
    </w:p>
    <w:p w14:paraId="3662C188" w14:textId="77777777" w:rsidR="00843062" w:rsidRDefault="00843062" w:rsidP="001375F0">
      <w:pPr>
        <w:rPr>
          <w:rFonts w:ascii="Arial" w:hAnsi="Arial" w:cs="Arial"/>
          <w:sz w:val="24"/>
          <w:szCs w:val="24"/>
        </w:rPr>
      </w:pPr>
    </w:p>
    <w:p w14:paraId="0069F522" w14:textId="77777777" w:rsidR="00843062" w:rsidRDefault="00843062" w:rsidP="001375F0">
      <w:pPr>
        <w:rPr>
          <w:rFonts w:ascii="Arial" w:hAnsi="Arial" w:cs="Arial"/>
          <w:sz w:val="24"/>
          <w:szCs w:val="24"/>
        </w:rPr>
      </w:pPr>
    </w:p>
    <w:p w14:paraId="69D55559" w14:textId="77777777" w:rsidR="00843062" w:rsidRDefault="00843062" w:rsidP="001375F0">
      <w:pPr>
        <w:rPr>
          <w:rFonts w:ascii="Arial" w:hAnsi="Arial" w:cs="Arial"/>
          <w:sz w:val="24"/>
          <w:szCs w:val="24"/>
        </w:rPr>
      </w:pPr>
    </w:p>
    <w:p w14:paraId="66A15E2D" w14:textId="7BEDB8BE" w:rsidR="001375F0" w:rsidRPr="00202779" w:rsidRDefault="001375F0" w:rsidP="001375F0">
      <w:pPr>
        <w:rPr>
          <w:rFonts w:ascii="Arial" w:hAnsi="Arial" w:cs="Arial"/>
          <w:sz w:val="24"/>
          <w:szCs w:val="24"/>
        </w:rPr>
      </w:pPr>
      <w:r w:rsidRPr="00202779">
        <w:rPr>
          <w:rFonts w:ascii="Arial" w:hAnsi="Arial" w:cs="Arial"/>
          <w:sz w:val="24"/>
          <w:szCs w:val="24"/>
        </w:rPr>
        <w:lastRenderedPageBreak/>
        <w:t xml:space="preserve">Supplemental Table </w:t>
      </w:r>
      <w:r w:rsidR="6F6E0E41" w:rsidRPr="00202779">
        <w:rPr>
          <w:rFonts w:ascii="Arial" w:hAnsi="Arial" w:cs="Arial"/>
          <w:sz w:val="24"/>
          <w:szCs w:val="24"/>
        </w:rPr>
        <w:t xml:space="preserve">2. </w:t>
      </w:r>
      <w:r w:rsidRPr="00202779">
        <w:rPr>
          <w:rFonts w:ascii="Arial" w:hAnsi="Arial" w:cs="Arial"/>
          <w:sz w:val="24"/>
          <w:szCs w:val="24"/>
        </w:rPr>
        <w:t xml:space="preserve"> ROBIN-I Score Consensus by Domain for Included Studies</w:t>
      </w:r>
    </w:p>
    <w:tbl>
      <w:tblPr>
        <w:tblStyle w:val="TableGrid1"/>
        <w:tblW w:w="9360" w:type="dxa"/>
        <w:tblInd w:w="-5" w:type="dxa"/>
        <w:tblLook w:val="04A0" w:firstRow="1" w:lastRow="0" w:firstColumn="1" w:lastColumn="0" w:noHBand="0" w:noVBand="1"/>
      </w:tblPr>
      <w:tblGrid>
        <w:gridCol w:w="5040"/>
        <w:gridCol w:w="4320"/>
      </w:tblGrid>
      <w:tr w:rsidR="00202779" w:rsidRPr="00202779" w14:paraId="7FEF7CB9" w14:textId="77777777" w:rsidTr="2328B012">
        <w:trPr>
          <w:trHeight w:val="432"/>
        </w:trPr>
        <w:tc>
          <w:tcPr>
            <w:tcW w:w="9360" w:type="dxa"/>
            <w:gridSpan w:val="2"/>
            <w:hideMark/>
          </w:tcPr>
          <w:p w14:paraId="354DACEB" w14:textId="77777777" w:rsidR="008507CC" w:rsidRPr="00202779" w:rsidRDefault="008507CC" w:rsidP="002546C6">
            <w:pPr>
              <w:jc w:val="center"/>
              <w:rPr>
                <w:rFonts w:ascii="Arial" w:eastAsia="Times New Roman" w:hAnsi="Arial" w:cs="Arial"/>
                <w:b/>
                <w:bCs/>
                <w:sz w:val="16"/>
                <w:szCs w:val="16"/>
              </w:rPr>
            </w:pPr>
            <w:r w:rsidRPr="00202779">
              <w:rPr>
                <w:rFonts w:ascii="Arial" w:hAnsi="Arial" w:cs="Arial"/>
                <w:b/>
                <w:bCs/>
                <w:sz w:val="16"/>
                <w:szCs w:val="16"/>
              </w:rPr>
              <w:t>Eide et al., 2015</w:t>
            </w:r>
          </w:p>
        </w:tc>
      </w:tr>
      <w:tr w:rsidR="00202779" w:rsidRPr="00202779" w14:paraId="122000CA" w14:textId="77777777" w:rsidTr="2328B012">
        <w:trPr>
          <w:trHeight w:val="432"/>
        </w:trPr>
        <w:tc>
          <w:tcPr>
            <w:tcW w:w="5040" w:type="dxa"/>
            <w:hideMark/>
          </w:tcPr>
          <w:p w14:paraId="2190BEBE"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20" w:type="dxa"/>
            <w:hideMark/>
          </w:tcPr>
          <w:p w14:paraId="48F24A7A"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157E5792" w14:textId="77777777" w:rsidTr="2328B012">
        <w:trPr>
          <w:trHeight w:val="432"/>
        </w:trPr>
        <w:tc>
          <w:tcPr>
            <w:tcW w:w="5040" w:type="dxa"/>
            <w:hideMark/>
          </w:tcPr>
          <w:p w14:paraId="70CB1062"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394078FC" w14:textId="77777777" w:rsidR="001375F0" w:rsidRPr="00202779" w:rsidRDefault="001375F0" w:rsidP="002546C6">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 received at baseline</w:t>
            </w:r>
            <w:r w:rsidR="008507CC" w:rsidRPr="00202779">
              <w:rPr>
                <w:rFonts w:ascii="Arial" w:eastAsia="Times New Roman" w:hAnsi="Arial" w:cs="Arial"/>
                <w:sz w:val="16"/>
                <w:szCs w:val="16"/>
              </w:rPr>
              <w:t>.</w:t>
            </w:r>
          </w:p>
        </w:tc>
        <w:tc>
          <w:tcPr>
            <w:tcW w:w="4320" w:type="dxa"/>
            <w:hideMark/>
          </w:tcPr>
          <w:p w14:paraId="796E3F46" w14:textId="38381704" w:rsidR="001375F0" w:rsidRPr="00202779" w:rsidRDefault="61157094" w:rsidP="002546C6">
            <w:pPr>
              <w:rPr>
                <w:rFonts w:ascii="Arial" w:hAnsi="Arial" w:cs="Arial"/>
                <w:sz w:val="16"/>
                <w:szCs w:val="16"/>
              </w:rPr>
            </w:pPr>
            <w:r w:rsidRPr="00202779">
              <w:rPr>
                <w:rFonts w:ascii="Arial" w:hAnsi="Arial" w:cs="Arial"/>
                <w:sz w:val="16"/>
                <w:szCs w:val="16"/>
              </w:rPr>
              <w:t xml:space="preserve">Moderate </w:t>
            </w:r>
            <w:r w:rsidR="001375F0" w:rsidRPr="00202779">
              <w:rPr>
                <w:rFonts w:ascii="Arial" w:hAnsi="Arial" w:cs="Arial"/>
                <w:sz w:val="16"/>
                <w:szCs w:val="16"/>
              </w:rPr>
              <w:t xml:space="preserve">Risk. Analysis adjusted for </w:t>
            </w:r>
            <w:proofErr w:type="gramStart"/>
            <w:r w:rsidR="001375F0" w:rsidRPr="00202779">
              <w:rPr>
                <w:rFonts w:ascii="Arial" w:hAnsi="Arial" w:cs="Arial"/>
                <w:sz w:val="16"/>
                <w:szCs w:val="16"/>
              </w:rPr>
              <w:t>confounders</w:t>
            </w:r>
            <w:r w:rsidR="00843062" w:rsidRPr="00202779">
              <w:rPr>
                <w:rFonts w:ascii="Arial" w:hAnsi="Arial" w:cs="Arial"/>
                <w:sz w:val="16"/>
                <w:szCs w:val="16"/>
              </w:rPr>
              <w:t xml:space="preserve"> </w:t>
            </w:r>
            <w:r w:rsidR="757A0355" w:rsidRPr="00202779">
              <w:rPr>
                <w:rFonts w:ascii="Arial" w:hAnsi="Arial" w:cs="Arial"/>
                <w:sz w:val="16"/>
                <w:szCs w:val="16"/>
              </w:rPr>
              <w:t>.However</w:t>
            </w:r>
            <w:proofErr w:type="gramEnd"/>
            <w:r w:rsidR="757A0355" w:rsidRPr="00202779">
              <w:rPr>
                <w:rFonts w:ascii="Arial" w:hAnsi="Arial" w:cs="Arial"/>
                <w:sz w:val="16"/>
                <w:szCs w:val="16"/>
              </w:rPr>
              <w:t>, adjustment includes postoperative opioids and anxiolytics which act as mediators and may lead to overadjus</w:t>
            </w:r>
            <w:r w:rsidR="30F2B9E2" w:rsidRPr="00202779">
              <w:rPr>
                <w:rFonts w:ascii="Arial" w:hAnsi="Arial" w:cs="Arial"/>
                <w:sz w:val="16"/>
                <w:szCs w:val="16"/>
              </w:rPr>
              <w:t>tment.</w:t>
            </w:r>
            <w:r w:rsidR="001375F0" w:rsidRPr="00202779">
              <w:rPr>
                <w:rFonts w:ascii="Arial" w:hAnsi="Arial" w:cs="Arial"/>
                <w:sz w:val="16"/>
                <w:szCs w:val="16"/>
              </w:rPr>
              <w:t>.</w:t>
            </w:r>
          </w:p>
        </w:tc>
      </w:tr>
      <w:tr w:rsidR="00202779" w:rsidRPr="00202779" w14:paraId="7F3535B6" w14:textId="77777777" w:rsidTr="2328B012">
        <w:trPr>
          <w:trHeight w:val="432"/>
        </w:trPr>
        <w:tc>
          <w:tcPr>
            <w:tcW w:w="5040" w:type="dxa"/>
            <w:hideMark/>
          </w:tcPr>
          <w:p w14:paraId="2AF22853" w14:textId="16452F6C" w:rsidR="007E5C89" w:rsidRPr="00202779" w:rsidRDefault="001375F0" w:rsidP="007E5C89">
            <w:pPr>
              <w:rPr>
                <w:rFonts w:ascii="Arial" w:eastAsia="Times New Roman" w:hAnsi="Arial" w:cs="Arial"/>
                <w:sz w:val="16"/>
                <w:szCs w:val="16"/>
              </w:rPr>
            </w:pPr>
            <w:r w:rsidRPr="00202779">
              <w:rPr>
                <w:rFonts w:ascii="Arial" w:eastAsia="Times New Roman" w:hAnsi="Arial" w:cs="Arial"/>
                <w:b/>
                <w:bCs/>
                <w:sz w:val="16"/>
                <w:szCs w:val="16"/>
              </w:rPr>
              <w:t>Bias in selection of participants into the study:</w:t>
            </w:r>
          </w:p>
          <w:p w14:paraId="2701B90B" w14:textId="7739043E" w:rsidR="001375F0" w:rsidRPr="00202779" w:rsidRDefault="001375F0" w:rsidP="007E5C89">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r w:rsidR="008507CC" w:rsidRPr="00202779">
              <w:rPr>
                <w:rFonts w:ascii="Arial" w:eastAsia="Times New Roman" w:hAnsi="Arial" w:cs="Arial"/>
                <w:sz w:val="16"/>
                <w:szCs w:val="16"/>
              </w:rPr>
              <w:t>.</w:t>
            </w:r>
          </w:p>
        </w:tc>
        <w:tc>
          <w:tcPr>
            <w:tcW w:w="4320" w:type="dxa"/>
            <w:hideMark/>
          </w:tcPr>
          <w:p w14:paraId="08249A04" w14:textId="26C18A17" w:rsidR="001375F0" w:rsidRPr="00202779" w:rsidRDefault="001375F0" w:rsidP="00EA01B0">
            <w:pPr>
              <w:rPr>
                <w:rFonts w:ascii="Arial" w:hAnsi="Arial" w:cs="Arial"/>
                <w:sz w:val="16"/>
                <w:szCs w:val="16"/>
              </w:rPr>
            </w:pPr>
            <w:r w:rsidRPr="00202779">
              <w:rPr>
                <w:rFonts w:ascii="Arial" w:hAnsi="Arial" w:cs="Arial"/>
                <w:sz w:val="16"/>
                <w:szCs w:val="16"/>
              </w:rPr>
              <w:t xml:space="preserve">Low Risk. Unclear how many, if any, patients were eliminated during the pre-screening process due to comorbidities. </w:t>
            </w:r>
            <w:r w:rsidR="007E5C89" w:rsidRPr="00202779">
              <w:rPr>
                <w:rFonts w:ascii="Arial" w:hAnsi="Arial" w:cs="Arial"/>
                <w:sz w:val="16"/>
                <w:szCs w:val="16"/>
              </w:rPr>
              <w:t xml:space="preserve">After </w:t>
            </w:r>
            <w:r w:rsidRPr="00202779">
              <w:rPr>
                <w:rFonts w:ascii="Arial" w:hAnsi="Arial" w:cs="Arial"/>
                <w:sz w:val="16"/>
                <w:szCs w:val="16"/>
              </w:rPr>
              <w:t xml:space="preserve">pre-screening, 15 </w:t>
            </w:r>
            <w:r w:rsidR="00EA01B0" w:rsidRPr="00202779">
              <w:rPr>
                <w:rFonts w:ascii="Arial" w:hAnsi="Arial" w:cs="Arial"/>
                <w:sz w:val="16"/>
                <w:szCs w:val="16"/>
              </w:rPr>
              <w:t xml:space="preserve">of 162 </w:t>
            </w:r>
            <w:r w:rsidRPr="00202779">
              <w:rPr>
                <w:rFonts w:ascii="Arial" w:hAnsi="Arial" w:cs="Arial"/>
                <w:sz w:val="16"/>
                <w:szCs w:val="16"/>
              </w:rPr>
              <w:t xml:space="preserve">patients were eliminated, and of the 144 patients </w:t>
            </w:r>
            <w:r w:rsidR="007E5C89" w:rsidRPr="00202779">
              <w:rPr>
                <w:rFonts w:ascii="Arial" w:hAnsi="Arial" w:cs="Arial"/>
                <w:sz w:val="16"/>
                <w:szCs w:val="16"/>
              </w:rPr>
              <w:t xml:space="preserve">that </w:t>
            </w:r>
            <w:r w:rsidRPr="00202779">
              <w:rPr>
                <w:rFonts w:ascii="Arial" w:hAnsi="Arial" w:cs="Arial"/>
                <w:sz w:val="16"/>
                <w:szCs w:val="16"/>
              </w:rPr>
              <w:t>remained, 7 died before postoperative day 5 and one patient withdrew consent, leaving data for 136 patients. The patients who died/withdrew consent were not included in analysis.</w:t>
            </w:r>
          </w:p>
        </w:tc>
      </w:tr>
      <w:tr w:rsidR="00202779" w:rsidRPr="00202779" w14:paraId="4ADD6082" w14:textId="77777777" w:rsidTr="2328B012">
        <w:trPr>
          <w:trHeight w:val="432"/>
        </w:trPr>
        <w:tc>
          <w:tcPr>
            <w:tcW w:w="5040" w:type="dxa"/>
            <w:hideMark/>
          </w:tcPr>
          <w:p w14:paraId="375A720A"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23D5CB44" w14:textId="69DB58C3"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 Non-differential misclassification is unrelated to the outcome and will usually bias the estimated effect of intervention towards the null</w:t>
            </w:r>
            <w:r w:rsidR="00EA01B0" w:rsidRPr="00202779">
              <w:rPr>
                <w:rFonts w:ascii="Arial" w:eastAsia="Times New Roman" w:hAnsi="Arial" w:cs="Arial"/>
                <w:sz w:val="16"/>
                <w:szCs w:val="16"/>
              </w:rPr>
              <w:t>.</w:t>
            </w:r>
            <w:r w:rsidR="00196E3A" w:rsidRPr="00202779">
              <w:rPr>
                <w:rFonts w:ascii="Arial" w:eastAsia="Times New Roman" w:hAnsi="Arial" w:cs="Arial"/>
                <w:sz w:val="16"/>
                <w:szCs w:val="16"/>
              </w:rPr>
              <w:t xml:space="preserve"> </w:t>
            </w:r>
            <w:r w:rsidRPr="00202779">
              <w:rPr>
                <w:rFonts w:ascii="Arial" w:eastAsia="Times New Roman" w:hAnsi="Arial" w:cs="Arial"/>
                <w:sz w:val="16"/>
                <w:szCs w:val="16"/>
              </w:rPr>
              <w:t>Differential misclassification occurs when misclassification of intervention status is related to the outcome or the risk of the outcome, and is likely to lead to bias</w:t>
            </w:r>
            <w:r w:rsidR="008507CC" w:rsidRPr="00202779">
              <w:rPr>
                <w:rFonts w:ascii="Arial" w:eastAsia="Times New Roman" w:hAnsi="Arial" w:cs="Arial"/>
                <w:sz w:val="16"/>
                <w:szCs w:val="16"/>
              </w:rPr>
              <w:t>.</w:t>
            </w:r>
          </w:p>
        </w:tc>
        <w:tc>
          <w:tcPr>
            <w:tcW w:w="4320" w:type="dxa"/>
            <w:hideMark/>
          </w:tcPr>
          <w:p w14:paraId="5BE3BD2D" w14:textId="1EE92AD3" w:rsidR="001375F0" w:rsidRPr="00202779" w:rsidRDefault="001375F0" w:rsidP="002546C6">
            <w:pPr>
              <w:rPr>
                <w:rFonts w:ascii="Arial" w:hAnsi="Arial" w:cs="Arial"/>
                <w:sz w:val="16"/>
                <w:szCs w:val="16"/>
              </w:rPr>
            </w:pPr>
            <w:r w:rsidRPr="00202779">
              <w:rPr>
                <w:rFonts w:ascii="Arial" w:hAnsi="Arial" w:cs="Arial"/>
                <w:sz w:val="16"/>
                <w:szCs w:val="16"/>
              </w:rPr>
              <w:t xml:space="preserve">Low Risk. The SOF is similar to the </w:t>
            </w:r>
            <w:r w:rsidR="00B4166B" w:rsidRPr="00202779">
              <w:rPr>
                <w:rFonts w:ascii="Arial" w:hAnsi="Arial" w:cs="Arial"/>
                <w:sz w:val="16"/>
                <w:szCs w:val="16"/>
              </w:rPr>
              <w:t>F</w:t>
            </w:r>
            <w:r w:rsidRPr="00202779">
              <w:rPr>
                <w:rFonts w:ascii="Arial" w:hAnsi="Arial" w:cs="Arial"/>
                <w:sz w:val="16"/>
                <w:szCs w:val="16"/>
              </w:rPr>
              <w:t>ried model.</w:t>
            </w:r>
          </w:p>
        </w:tc>
      </w:tr>
      <w:tr w:rsidR="00202779" w:rsidRPr="00202779" w14:paraId="54D07F20" w14:textId="77777777" w:rsidTr="2328B012">
        <w:trPr>
          <w:trHeight w:val="432"/>
        </w:trPr>
        <w:tc>
          <w:tcPr>
            <w:tcW w:w="5040" w:type="dxa"/>
            <w:hideMark/>
          </w:tcPr>
          <w:p w14:paraId="29CC2A0E" w14:textId="77777777" w:rsidR="00EA01B0" w:rsidRPr="00202779" w:rsidRDefault="001375F0" w:rsidP="00EA01B0">
            <w:pPr>
              <w:rPr>
                <w:rFonts w:ascii="Arial" w:eastAsia="Times New Roman" w:hAnsi="Arial" w:cs="Arial"/>
                <w:b/>
                <w:bCs/>
                <w:sz w:val="16"/>
                <w:szCs w:val="16"/>
              </w:rPr>
            </w:pPr>
            <w:r w:rsidRPr="00202779">
              <w:rPr>
                <w:rFonts w:ascii="Arial" w:eastAsia="Times New Roman" w:hAnsi="Arial" w:cs="Arial"/>
                <w:b/>
                <w:bCs/>
                <w:sz w:val="16"/>
                <w:szCs w:val="16"/>
              </w:rPr>
              <w:t>Bias due to deviations from intended interventions:</w:t>
            </w:r>
          </w:p>
          <w:p w14:paraId="187611DC" w14:textId="5181D896" w:rsidR="001375F0" w:rsidRPr="00202779" w:rsidRDefault="001375F0" w:rsidP="00EA01B0">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w:t>
            </w:r>
            <w:r w:rsidR="00EA01B0" w:rsidRPr="00202779">
              <w:rPr>
                <w:rFonts w:ascii="Arial" w:eastAsia="Times New Roman" w:hAnsi="Arial" w:cs="Arial"/>
                <w:sz w:val="16"/>
                <w:szCs w:val="16"/>
              </w:rPr>
              <w:t xml:space="preserve"> </w:t>
            </w:r>
            <w:r w:rsidRPr="00202779">
              <w:rPr>
                <w:rFonts w:ascii="Arial" w:eastAsia="Times New Roman" w:hAnsi="Arial" w:cs="Arial"/>
                <w:sz w:val="16"/>
                <w:szCs w:val="16"/>
              </w:rPr>
              <w:t>and adhering to intervention).</w:t>
            </w:r>
          </w:p>
        </w:tc>
        <w:tc>
          <w:tcPr>
            <w:tcW w:w="4320" w:type="dxa"/>
            <w:hideMark/>
          </w:tcPr>
          <w:p w14:paraId="0497F64C"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Low Risk. The SOF was applied properly and with consistency.</w:t>
            </w:r>
          </w:p>
        </w:tc>
      </w:tr>
      <w:tr w:rsidR="00202779" w:rsidRPr="00202779" w14:paraId="73907B1A" w14:textId="77777777" w:rsidTr="2328B012">
        <w:trPr>
          <w:trHeight w:val="432"/>
        </w:trPr>
        <w:tc>
          <w:tcPr>
            <w:tcW w:w="5040" w:type="dxa"/>
            <w:hideMark/>
          </w:tcPr>
          <w:p w14:paraId="5DA9CD55" w14:textId="7D5EC822" w:rsidR="00B4166B" w:rsidRPr="00202779" w:rsidRDefault="001375F0" w:rsidP="00B4166B">
            <w:pPr>
              <w:rPr>
                <w:rFonts w:ascii="Arial" w:eastAsia="Times New Roman" w:hAnsi="Arial" w:cs="Arial"/>
                <w:sz w:val="16"/>
                <w:szCs w:val="16"/>
              </w:rPr>
            </w:pPr>
            <w:r w:rsidRPr="00202779">
              <w:rPr>
                <w:rFonts w:ascii="Arial" w:eastAsia="Times New Roman" w:hAnsi="Arial" w:cs="Arial"/>
                <w:b/>
                <w:bCs/>
                <w:sz w:val="16"/>
                <w:szCs w:val="16"/>
              </w:rPr>
              <w:t>Bias due to missing data:</w:t>
            </w:r>
          </w:p>
          <w:p w14:paraId="5637267F" w14:textId="3830B1CB" w:rsidR="001375F0" w:rsidRPr="00202779" w:rsidRDefault="001375F0" w:rsidP="00B4166B">
            <w:pPr>
              <w:rPr>
                <w:rFonts w:ascii="Arial" w:eastAsia="Times New Roman" w:hAnsi="Arial" w:cs="Arial"/>
                <w:sz w:val="16"/>
                <w:szCs w:val="16"/>
              </w:rPr>
            </w:pPr>
            <w:r w:rsidRPr="00202779">
              <w:rPr>
                <w:rFonts w:ascii="Arial" w:eastAsia="Times New Roman" w:hAnsi="Arial" w:cs="Arial"/>
                <w:sz w:val="16"/>
                <w:szCs w:val="16"/>
              </w:rP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r w:rsidR="00EA01B0" w:rsidRPr="00202779">
              <w:rPr>
                <w:rFonts w:ascii="Arial" w:eastAsia="Times New Roman" w:hAnsi="Arial" w:cs="Arial"/>
                <w:sz w:val="16"/>
                <w:szCs w:val="16"/>
              </w:rPr>
              <w:t>.</w:t>
            </w:r>
          </w:p>
        </w:tc>
        <w:tc>
          <w:tcPr>
            <w:tcW w:w="4320" w:type="dxa"/>
            <w:hideMark/>
          </w:tcPr>
          <w:p w14:paraId="1CCCB034" w14:textId="77777777" w:rsidR="001375F0" w:rsidRPr="00202779" w:rsidRDefault="001375F0" w:rsidP="002546C6">
            <w:pPr>
              <w:rPr>
                <w:rFonts w:ascii="Arial" w:hAnsi="Arial" w:cs="Arial"/>
                <w:sz w:val="16"/>
                <w:szCs w:val="16"/>
              </w:rPr>
            </w:pPr>
            <w:r w:rsidRPr="00202779">
              <w:rPr>
                <w:rFonts w:ascii="Arial" w:hAnsi="Arial" w:cs="Arial"/>
                <w:sz w:val="16"/>
                <w:szCs w:val="16"/>
              </w:rPr>
              <w:t xml:space="preserve">Moderate Risk. Delirium was assessed out to post-op day 5, and assessed daily without gaps. However, patients who died were not factored into the analysis. </w:t>
            </w:r>
          </w:p>
        </w:tc>
      </w:tr>
      <w:tr w:rsidR="00202779" w:rsidRPr="00202779" w14:paraId="4735402B" w14:textId="77777777" w:rsidTr="2328B012">
        <w:trPr>
          <w:trHeight w:val="432"/>
        </w:trPr>
        <w:tc>
          <w:tcPr>
            <w:tcW w:w="5040" w:type="dxa"/>
            <w:hideMark/>
          </w:tcPr>
          <w:p w14:paraId="08CF87D7"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1C9AEC18" w14:textId="77777777" w:rsidR="001375F0" w:rsidRPr="00202779" w:rsidRDefault="001375F0" w:rsidP="002546C6">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r w:rsidR="008507CC" w:rsidRPr="00202779">
              <w:rPr>
                <w:rFonts w:ascii="Arial" w:eastAsia="Times New Roman" w:hAnsi="Arial" w:cs="Arial"/>
                <w:sz w:val="16"/>
                <w:szCs w:val="16"/>
              </w:rPr>
              <w:t>.</w:t>
            </w:r>
          </w:p>
        </w:tc>
        <w:tc>
          <w:tcPr>
            <w:tcW w:w="4320" w:type="dxa"/>
            <w:hideMark/>
          </w:tcPr>
          <w:p w14:paraId="7E6015E7"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Low Risk. </w:t>
            </w:r>
            <w:r w:rsidRPr="00202779">
              <w:rPr>
                <w:rFonts w:ascii="Arial" w:eastAsia="Times New Roman" w:hAnsi="Arial" w:cs="Arial"/>
                <w:sz w:val="16"/>
                <w:szCs w:val="16"/>
              </w:rPr>
              <w:t xml:space="preserve">Delirium was rigorously and regularly assessed by a qualified team. </w:t>
            </w:r>
          </w:p>
        </w:tc>
      </w:tr>
      <w:tr w:rsidR="00202779" w:rsidRPr="00202779" w14:paraId="6AAA675F" w14:textId="77777777" w:rsidTr="2328B012">
        <w:trPr>
          <w:trHeight w:val="432"/>
        </w:trPr>
        <w:tc>
          <w:tcPr>
            <w:tcW w:w="5040" w:type="dxa"/>
            <w:hideMark/>
          </w:tcPr>
          <w:p w14:paraId="60EB9832"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selection of the reported result:</w:t>
            </w:r>
          </w:p>
          <w:p w14:paraId="493AA98E" w14:textId="3F2192E3" w:rsidR="001375F0" w:rsidRPr="00202779" w:rsidRDefault="001375F0" w:rsidP="002546C6">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w:t>
            </w:r>
            <w:r w:rsidR="00EA01B0" w:rsidRPr="00202779">
              <w:rPr>
                <w:rFonts w:ascii="Arial" w:eastAsia="Times New Roman" w:hAnsi="Arial" w:cs="Arial"/>
                <w:sz w:val="16"/>
                <w:szCs w:val="16"/>
              </w:rPr>
              <w:t xml:space="preserve"> </w:t>
            </w:r>
            <w:r w:rsidRPr="00202779">
              <w:rPr>
                <w:rFonts w:ascii="Arial" w:eastAsia="Times New Roman" w:hAnsi="Arial" w:cs="Arial"/>
                <w:sz w:val="16"/>
                <w:szCs w:val="16"/>
              </w:rPr>
              <w:t>synthesis)</w:t>
            </w:r>
            <w:r w:rsidR="00EA01B0" w:rsidRPr="00202779">
              <w:rPr>
                <w:rFonts w:ascii="Arial" w:eastAsia="Times New Roman" w:hAnsi="Arial" w:cs="Arial"/>
                <w:sz w:val="16"/>
                <w:szCs w:val="16"/>
              </w:rPr>
              <w:t>.</w:t>
            </w:r>
          </w:p>
        </w:tc>
        <w:tc>
          <w:tcPr>
            <w:tcW w:w="4320" w:type="dxa"/>
            <w:hideMark/>
          </w:tcPr>
          <w:p w14:paraId="6A877BEF" w14:textId="77777777" w:rsidR="001375F0" w:rsidRPr="00202779" w:rsidRDefault="001375F0" w:rsidP="002546C6">
            <w:pPr>
              <w:rPr>
                <w:rFonts w:ascii="Arial" w:hAnsi="Arial" w:cs="Arial"/>
                <w:sz w:val="16"/>
                <w:szCs w:val="16"/>
              </w:rPr>
            </w:pPr>
            <w:r w:rsidRPr="00202779">
              <w:rPr>
                <w:rFonts w:ascii="Arial" w:hAnsi="Arial" w:cs="Arial"/>
                <w:sz w:val="16"/>
                <w:szCs w:val="16"/>
              </w:rPr>
              <w:t>Moderate Risk</w:t>
            </w:r>
            <w:proofErr w:type="gramStart"/>
            <w:r w:rsidRPr="00202779">
              <w:rPr>
                <w:rFonts w:ascii="Arial" w:hAnsi="Arial" w:cs="Arial"/>
                <w:sz w:val="16"/>
                <w:szCs w:val="16"/>
              </w:rPr>
              <w:t>. .</w:t>
            </w:r>
            <w:proofErr w:type="gramEnd"/>
            <w:r w:rsidRPr="00202779">
              <w:rPr>
                <w:rFonts w:ascii="Arial" w:hAnsi="Arial" w:cs="Arial"/>
                <w:sz w:val="16"/>
                <w:szCs w:val="16"/>
              </w:rPr>
              <w:t xml:space="preserve"> People who died were eliminated from analysis.</w:t>
            </w:r>
          </w:p>
        </w:tc>
      </w:tr>
      <w:tr w:rsidR="00202779" w:rsidRPr="00202779" w14:paraId="3C392107" w14:textId="77777777" w:rsidTr="2328B012">
        <w:trPr>
          <w:trHeight w:val="432"/>
        </w:trPr>
        <w:tc>
          <w:tcPr>
            <w:tcW w:w="5040" w:type="dxa"/>
            <w:hideMark/>
          </w:tcPr>
          <w:p w14:paraId="264CA8C4" w14:textId="332D8958"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 xml:space="preserve">Overall </w:t>
            </w:r>
            <w:r w:rsidR="00EA01B0" w:rsidRPr="00202779">
              <w:rPr>
                <w:rFonts w:ascii="Arial" w:eastAsia="Times New Roman" w:hAnsi="Arial" w:cs="Arial"/>
                <w:b/>
                <w:bCs/>
                <w:sz w:val="16"/>
                <w:szCs w:val="16"/>
              </w:rPr>
              <w:t>r</w:t>
            </w:r>
            <w:r w:rsidRPr="00202779">
              <w:rPr>
                <w:rFonts w:ascii="Arial" w:eastAsia="Times New Roman" w:hAnsi="Arial" w:cs="Arial"/>
                <w:b/>
                <w:bCs/>
                <w:sz w:val="16"/>
                <w:szCs w:val="16"/>
              </w:rPr>
              <w:t xml:space="preserve">isk of </w:t>
            </w:r>
            <w:r w:rsidR="00EA01B0" w:rsidRPr="00202779">
              <w:rPr>
                <w:rFonts w:ascii="Arial" w:eastAsia="Times New Roman" w:hAnsi="Arial" w:cs="Arial"/>
                <w:b/>
                <w:bCs/>
                <w:sz w:val="16"/>
                <w:szCs w:val="16"/>
              </w:rPr>
              <w:t>b</w:t>
            </w:r>
            <w:r w:rsidRPr="00202779">
              <w:rPr>
                <w:rFonts w:ascii="Arial" w:eastAsia="Times New Roman" w:hAnsi="Arial" w:cs="Arial"/>
                <w:b/>
                <w:bCs/>
                <w:sz w:val="16"/>
                <w:szCs w:val="16"/>
              </w:rPr>
              <w:t xml:space="preserve">ias </w:t>
            </w:r>
            <w:r w:rsidR="00EA01B0" w:rsidRPr="00202779">
              <w:rPr>
                <w:rFonts w:ascii="Arial" w:eastAsia="Times New Roman" w:hAnsi="Arial" w:cs="Arial"/>
                <w:b/>
                <w:bCs/>
                <w:sz w:val="16"/>
                <w:szCs w:val="16"/>
              </w:rPr>
              <w:t>j</w:t>
            </w:r>
            <w:r w:rsidRPr="00202779">
              <w:rPr>
                <w:rFonts w:ascii="Arial" w:eastAsia="Times New Roman" w:hAnsi="Arial" w:cs="Arial"/>
                <w:b/>
                <w:bCs/>
                <w:sz w:val="16"/>
                <w:szCs w:val="16"/>
              </w:rPr>
              <w:t>udgement</w:t>
            </w:r>
          </w:p>
        </w:tc>
        <w:tc>
          <w:tcPr>
            <w:tcW w:w="4320" w:type="dxa"/>
            <w:hideMark/>
          </w:tcPr>
          <w:p w14:paraId="65F32757"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Moderate Risk. No single domain was rated as having a risk of bias greater than Moderate.</w:t>
            </w:r>
          </w:p>
        </w:tc>
      </w:tr>
    </w:tbl>
    <w:p w14:paraId="76B4DD03" w14:textId="77777777" w:rsidR="001375F0" w:rsidRPr="00202779" w:rsidRDefault="001375F0" w:rsidP="001375F0"/>
    <w:p w14:paraId="138FA345" w14:textId="77777777" w:rsidR="008507CC" w:rsidRPr="00202779" w:rsidRDefault="008507CC">
      <w:r w:rsidRPr="00202779">
        <w:br w:type="page"/>
      </w:r>
    </w:p>
    <w:p w14:paraId="08774631" w14:textId="77777777" w:rsidR="001375F0" w:rsidRPr="00202779" w:rsidRDefault="001375F0" w:rsidP="001375F0"/>
    <w:tbl>
      <w:tblPr>
        <w:tblStyle w:val="TableGrid1"/>
        <w:tblW w:w="0" w:type="auto"/>
        <w:tblInd w:w="-5" w:type="dxa"/>
        <w:tblLook w:val="04A0" w:firstRow="1" w:lastRow="0" w:firstColumn="1" w:lastColumn="0" w:noHBand="0" w:noVBand="1"/>
      </w:tblPr>
      <w:tblGrid>
        <w:gridCol w:w="5040"/>
        <w:gridCol w:w="4315"/>
      </w:tblGrid>
      <w:tr w:rsidR="00202779" w:rsidRPr="00202779" w14:paraId="01C287E4" w14:textId="77777777" w:rsidTr="4D0247A3">
        <w:trPr>
          <w:trHeight w:val="432"/>
        </w:trPr>
        <w:tc>
          <w:tcPr>
            <w:tcW w:w="9355" w:type="dxa"/>
            <w:gridSpan w:val="2"/>
            <w:hideMark/>
          </w:tcPr>
          <w:p w14:paraId="599D473B" w14:textId="77777777" w:rsidR="008507CC" w:rsidRPr="00202779" w:rsidRDefault="008507CC" w:rsidP="008507CC">
            <w:pPr>
              <w:jc w:val="center"/>
              <w:rPr>
                <w:rFonts w:ascii="Arial" w:eastAsia="Times New Roman" w:hAnsi="Arial" w:cs="Arial"/>
                <w:b/>
                <w:bCs/>
                <w:sz w:val="16"/>
                <w:szCs w:val="16"/>
              </w:rPr>
            </w:pPr>
            <w:proofErr w:type="spellStart"/>
            <w:r w:rsidRPr="00202779">
              <w:rPr>
                <w:rFonts w:ascii="Arial" w:hAnsi="Arial" w:cs="Arial"/>
                <w:b/>
                <w:bCs/>
                <w:sz w:val="16"/>
                <w:szCs w:val="16"/>
              </w:rPr>
              <w:t>Itagaki</w:t>
            </w:r>
            <w:proofErr w:type="spellEnd"/>
            <w:r w:rsidRPr="00202779">
              <w:rPr>
                <w:rFonts w:ascii="Arial" w:hAnsi="Arial" w:cs="Arial"/>
                <w:b/>
                <w:bCs/>
                <w:sz w:val="16"/>
                <w:szCs w:val="16"/>
              </w:rPr>
              <w:t xml:space="preserve"> et al., 2020</w:t>
            </w:r>
          </w:p>
        </w:tc>
      </w:tr>
      <w:tr w:rsidR="00202779" w:rsidRPr="00202779" w14:paraId="04F6FF67" w14:textId="77777777" w:rsidTr="4D0247A3">
        <w:trPr>
          <w:trHeight w:val="432"/>
        </w:trPr>
        <w:tc>
          <w:tcPr>
            <w:tcW w:w="5040" w:type="dxa"/>
            <w:hideMark/>
          </w:tcPr>
          <w:p w14:paraId="1EE3E70F"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15" w:type="dxa"/>
            <w:hideMark/>
          </w:tcPr>
          <w:p w14:paraId="2823EAE4"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419DF283" w14:textId="77777777" w:rsidTr="4D0247A3">
        <w:trPr>
          <w:trHeight w:val="432"/>
        </w:trPr>
        <w:tc>
          <w:tcPr>
            <w:tcW w:w="5040" w:type="dxa"/>
            <w:hideMark/>
          </w:tcPr>
          <w:p w14:paraId="12B0CC57" w14:textId="50A3DD7F" w:rsidR="00B4166B" w:rsidRPr="00202779" w:rsidRDefault="001375F0" w:rsidP="00B4166B">
            <w:pPr>
              <w:rPr>
                <w:rFonts w:ascii="Arial" w:eastAsia="Times New Roman" w:hAnsi="Arial" w:cs="Arial"/>
                <w:b/>
                <w:bCs/>
                <w:sz w:val="16"/>
                <w:szCs w:val="16"/>
              </w:rPr>
            </w:pPr>
            <w:r w:rsidRPr="00202779">
              <w:rPr>
                <w:rFonts w:ascii="Arial" w:eastAsia="Times New Roman" w:hAnsi="Arial" w:cs="Arial"/>
                <w:b/>
                <w:bCs/>
                <w:sz w:val="16"/>
                <w:szCs w:val="16"/>
              </w:rPr>
              <w:t>Bias Due to Confounding</w:t>
            </w:r>
            <w:r w:rsidR="00B4166B" w:rsidRPr="00202779">
              <w:rPr>
                <w:rFonts w:ascii="Arial" w:eastAsia="Times New Roman" w:hAnsi="Arial" w:cs="Arial"/>
                <w:b/>
                <w:bCs/>
                <w:sz w:val="16"/>
                <w:szCs w:val="16"/>
              </w:rPr>
              <w:t>:</w:t>
            </w:r>
          </w:p>
          <w:p w14:paraId="239BE8BE" w14:textId="397539AA" w:rsidR="001375F0" w:rsidRPr="00202779" w:rsidRDefault="001375F0" w:rsidP="00B4166B">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w:t>
            </w:r>
            <w:r w:rsidR="00EA01B0" w:rsidRPr="00202779">
              <w:rPr>
                <w:rFonts w:ascii="Arial" w:eastAsia="Times New Roman" w:hAnsi="Arial" w:cs="Arial"/>
                <w:sz w:val="16"/>
                <w:szCs w:val="16"/>
              </w:rPr>
              <w:t xml:space="preserve"> </w:t>
            </w:r>
            <w:r w:rsidRPr="00202779">
              <w:rPr>
                <w:rFonts w:ascii="Arial" w:eastAsia="Times New Roman" w:hAnsi="Arial" w:cs="Arial"/>
                <w:sz w:val="16"/>
                <w:szCs w:val="16"/>
              </w:rPr>
              <w:t>received at baseline</w:t>
            </w:r>
            <w:r w:rsidR="008507CC" w:rsidRPr="00202779">
              <w:rPr>
                <w:rFonts w:ascii="Arial" w:eastAsia="Times New Roman" w:hAnsi="Arial" w:cs="Arial"/>
                <w:sz w:val="16"/>
                <w:szCs w:val="16"/>
              </w:rPr>
              <w:t>.</w:t>
            </w:r>
          </w:p>
        </w:tc>
        <w:tc>
          <w:tcPr>
            <w:tcW w:w="4315" w:type="dxa"/>
            <w:hideMark/>
          </w:tcPr>
          <w:p w14:paraId="2F3C9146" w14:textId="23ADAF56" w:rsidR="001375F0" w:rsidRPr="00202779" w:rsidRDefault="001375F0" w:rsidP="002546C6">
            <w:pPr>
              <w:rPr>
                <w:rFonts w:ascii="Arial" w:hAnsi="Arial" w:cs="Arial"/>
                <w:sz w:val="16"/>
                <w:szCs w:val="16"/>
              </w:rPr>
            </w:pPr>
            <w:r w:rsidRPr="00202779">
              <w:rPr>
                <w:rFonts w:ascii="Arial" w:hAnsi="Arial" w:cs="Arial"/>
                <w:sz w:val="16"/>
                <w:szCs w:val="16"/>
              </w:rPr>
              <w:t>Low Risk. Analysis adjusted for confounders</w:t>
            </w:r>
            <w:r w:rsidR="1485716A" w:rsidRPr="00202779">
              <w:rPr>
                <w:rFonts w:ascii="Arial" w:hAnsi="Arial" w:cs="Arial"/>
                <w:sz w:val="16"/>
                <w:szCs w:val="16"/>
              </w:rPr>
              <w:t>, especially age and MOCA</w:t>
            </w:r>
            <w:r w:rsidRPr="00202779">
              <w:rPr>
                <w:rFonts w:ascii="Arial" w:hAnsi="Arial" w:cs="Arial"/>
                <w:sz w:val="16"/>
                <w:szCs w:val="16"/>
              </w:rPr>
              <w:t>.</w:t>
            </w:r>
          </w:p>
        </w:tc>
      </w:tr>
      <w:tr w:rsidR="00202779" w:rsidRPr="00202779" w14:paraId="46462BA7" w14:textId="77777777" w:rsidTr="4D0247A3">
        <w:trPr>
          <w:trHeight w:val="432"/>
        </w:trPr>
        <w:tc>
          <w:tcPr>
            <w:tcW w:w="5040" w:type="dxa"/>
            <w:hideMark/>
          </w:tcPr>
          <w:p w14:paraId="636D5B63" w14:textId="77777777" w:rsidR="00B4166B" w:rsidRPr="00202779" w:rsidRDefault="001375F0" w:rsidP="00B4166B">
            <w:pPr>
              <w:rPr>
                <w:rFonts w:ascii="Arial" w:eastAsia="Times New Roman" w:hAnsi="Arial" w:cs="Arial"/>
                <w:b/>
                <w:bCs/>
                <w:sz w:val="16"/>
                <w:szCs w:val="16"/>
              </w:rPr>
            </w:pPr>
            <w:r w:rsidRPr="00202779">
              <w:rPr>
                <w:rFonts w:ascii="Arial" w:eastAsia="Times New Roman" w:hAnsi="Arial" w:cs="Arial"/>
                <w:b/>
                <w:bCs/>
                <w:sz w:val="16"/>
                <w:szCs w:val="16"/>
              </w:rPr>
              <w:t>Bias in selection of participants into the study:</w:t>
            </w:r>
          </w:p>
          <w:p w14:paraId="7557CFF6" w14:textId="53FCEFBB" w:rsidR="001375F0" w:rsidRPr="00202779" w:rsidRDefault="001375F0" w:rsidP="00B4166B">
            <w:pPr>
              <w:rPr>
                <w:rFonts w:ascii="Arial" w:eastAsia="Times New Roman" w:hAnsi="Arial" w:cs="Arial"/>
                <w:sz w:val="16"/>
                <w:szCs w:val="16"/>
              </w:rPr>
            </w:pPr>
            <w:r w:rsidRPr="00202779">
              <w:rPr>
                <w:rFonts w:ascii="Arial" w:eastAsia="Times New Roman" w:hAnsi="Arial" w:cs="Arial"/>
                <w:sz w:val="16"/>
                <w:szCs w:val="16"/>
              </w:rPr>
              <w:t xml:space="preserve"> 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r w:rsidR="008507CC" w:rsidRPr="00202779">
              <w:rPr>
                <w:rFonts w:ascii="Arial" w:eastAsia="Times New Roman" w:hAnsi="Arial" w:cs="Arial"/>
                <w:sz w:val="16"/>
                <w:szCs w:val="16"/>
              </w:rPr>
              <w:t>.</w:t>
            </w:r>
          </w:p>
        </w:tc>
        <w:tc>
          <w:tcPr>
            <w:tcW w:w="4315" w:type="dxa"/>
            <w:hideMark/>
          </w:tcPr>
          <w:p w14:paraId="44D1F8E4" w14:textId="2985CA3A" w:rsidR="001375F0" w:rsidRPr="00202779" w:rsidRDefault="001375F0" w:rsidP="00B4166B">
            <w:pPr>
              <w:rPr>
                <w:rFonts w:ascii="Arial" w:eastAsia="Times New Roman" w:hAnsi="Arial" w:cs="Arial"/>
                <w:sz w:val="16"/>
                <w:szCs w:val="16"/>
              </w:rPr>
            </w:pPr>
            <w:r w:rsidRPr="00202779">
              <w:rPr>
                <w:rFonts w:ascii="Arial" w:hAnsi="Arial" w:cs="Arial"/>
                <w:sz w:val="16"/>
                <w:szCs w:val="16"/>
              </w:rPr>
              <w:t xml:space="preserve">Moderate Risk. 25 out of 114 patients were eliminated, three of </w:t>
            </w:r>
            <w:r w:rsidR="00B4166B" w:rsidRPr="00202779">
              <w:rPr>
                <w:rFonts w:ascii="Arial" w:hAnsi="Arial" w:cs="Arial"/>
                <w:sz w:val="16"/>
                <w:szCs w:val="16"/>
              </w:rPr>
              <w:t xml:space="preserve">whom were eliminated </w:t>
            </w:r>
            <w:r w:rsidRPr="00202779">
              <w:rPr>
                <w:rFonts w:ascii="Arial" w:hAnsi="Arial" w:cs="Arial"/>
                <w:sz w:val="16"/>
                <w:szCs w:val="16"/>
              </w:rPr>
              <w:t xml:space="preserve">due to dementia and ADL dependency. </w:t>
            </w:r>
          </w:p>
        </w:tc>
      </w:tr>
      <w:tr w:rsidR="00202779" w:rsidRPr="00202779" w14:paraId="55A2C51A" w14:textId="77777777" w:rsidTr="4D0247A3">
        <w:trPr>
          <w:trHeight w:val="432"/>
        </w:trPr>
        <w:tc>
          <w:tcPr>
            <w:tcW w:w="5040" w:type="dxa"/>
            <w:hideMark/>
          </w:tcPr>
          <w:p w14:paraId="0D0583EE" w14:textId="77777777" w:rsidR="00B4166B" w:rsidRPr="00202779" w:rsidRDefault="001375F0" w:rsidP="00B4166B">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27A30845" w14:textId="42F478EF" w:rsidR="001375F0" w:rsidRPr="00202779" w:rsidRDefault="001375F0" w:rsidP="00B4166B">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w:t>
            </w:r>
            <w:r w:rsidR="00EA01B0" w:rsidRPr="00202779">
              <w:rPr>
                <w:rFonts w:ascii="Arial" w:eastAsia="Times New Roman" w:hAnsi="Arial" w:cs="Arial"/>
                <w:sz w:val="16"/>
                <w:szCs w:val="16"/>
              </w:rPr>
              <w:t xml:space="preserve">. </w:t>
            </w:r>
            <w:r w:rsidRPr="00202779">
              <w:rPr>
                <w:rFonts w:ascii="Arial" w:eastAsia="Times New Roman" w:hAnsi="Arial" w:cs="Arial"/>
                <w:sz w:val="16"/>
                <w:szCs w:val="16"/>
              </w:rPr>
              <w:t>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r w:rsidR="008507CC" w:rsidRPr="00202779">
              <w:rPr>
                <w:rFonts w:ascii="Arial" w:eastAsia="Times New Roman" w:hAnsi="Arial" w:cs="Arial"/>
                <w:sz w:val="16"/>
                <w:szCs w:val="16"/>
              </w:rPr>
              <w:t>.</w:t>
            </w:r>
          </w:p>
        </w:tc>
        <w:tc>
          <w:tcPr>
            <w:tcW w:w="4315" w:type="dxa"/>
            <w:hideMark/>
          </w:tcPr>
          <w:p w14:paraId="34810B7F"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Low Risk. The J-CHS is well validated for the categorization of patients into frail versus </w:t>
            </w:r>
            <w:proofErr w:type="spellStart"/>
            <w:r w:rsidRPr="00202779">
              <w:rPr>
                <w:rFonts w:ascii="Arial" w:hAnsi="Arial" w:cs="Arial"/>
                <w:sz w:val="16"/>
                <w:szCs w:val="16"/>
              </w:rPr>
              <w:t>nonfrail</w:t>
            </w:r>
            <w:proofErr w:type="spellEnd"/>
            <w:r w:rsidRPr="00202779">
              <w:rPr>
                <w:rFonts w:ascii="Arial" w:hAnsi="Arial" w:cs="Arial"/>
                <w:sz w:val="16"/>
                <w:szCs w:val="16"/>
              </w:rPr>
              <w:t>.</w:t>
            </w:r>
          </w:p>
        </w:tc>
      </w:tr>
      <w:tr w:rsidR="00202779" w:rsidRPr="00202779" w14:paraId="7D599B88" w14:textId="77777777" w:rsidTr="4D0247A3">
        <w:trPr>
          <w:trHeight w:val="432"/>
        </w:trPr>
        <w:tc>
          <w:tcPr>
            <w:tcW w:w="5040" w:type="dxa"/>
            <w:hideMark/>
          </w:tcPr>
          <w:p w14:paraId="6070589A" w14:textId="77777777" w:rsidR="00B4166B" w:rsidRPr="00202779" w:rsidRDefault="001375F0" w:rsidP="00B4166B">
            <w:pPr>
              <w:rPr>
                <w:rFonts w:ascii="Arial" w:eastAsia="Times New Roman" w:hAnsi="Arial" w:cs="Arial"/>
                <w:sz w:val="16"/>
                <w:szCs w:val="16"/>
              </w:rPr>
            </w:pPr>
            <w:r w:rsidRPr="00202779">
              <w:rPr>
                <w:rFonts w:ascii="Arial" w:eastAsia="Times New Roman" w:hAnsi="Arial" w:cs="Arial"/>
                <w:b/>
                <w:bCs/>
                <w:sz w:val="16"/>
                <w:szCs w:val="16"/>
              </w:rPr>
              <w:t>Bias due to deviations from intended interventions:</w:t>
            </w:r>
            <w:r w:rsidRPr="00202779">
              <w:rPr>
                <w:rFonts w:ascii="Arial" w:eastAsia="Times New Roman" w:hAnsi="Arial" w:cs="Arial"/>
                <w:sz w:val="16"/>
                <w:szCs w:val="16"/>
              </w:rPr>
              <w:t xml:space="preserve"> </w:t>
            </w:r>
          </w:p>
          <w:p w14:paraId="5103E3D6" w14:textId="4B07AC06" w:rsidR="001375F0" w:rsidRPr="00202779" w:rsidRDefault="001375F0" w:rsidP="00B4166B">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w:t>
            </w:r>
            <w:r w:rsidR="008507CC" w:rsidRPr="00202779">
              <w:rPr>
                <w:rFonts w:ascii="Arial" w:eastAsia="Times New Roman" w:hAnsi="Arial" w:cs="Arial"/>
                <w:sz w:val="16"/>
                <w:szCs w:val="16"/>
              </w:rPr>
              <w:t xml:space="preserve"> </w:t>
            </w:r>
            <w:r w:rsidRPr="00202779">
              <w:rPr>
                <w:rFonts w:ascii="Arial" w:eastAsia="Times New Roman" w:hAnsi="Arial" w:cs="Arial"/>
                <w:sz w:val="16"/>
                <w:szCs w:val="16"/>
              </w:rPr>
              <w:t>and adhering to intervention).</w:t>
            </w:r>
          </w:p>
        </w:tc>
        <w:tc>
          <w:tcPr>
            <w:tcW w:w="4315" w:type="dxa"/>
            <w:hideMark/>
          </w:tcPr>
          <w:p w14:paraId="1D48650E"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Low Risk. Frailty assessment was rigorously conducted using a validated scale. </w:t>
            </w:r>
          </w:p>
        </w:tc>
      </w:tr>
      <w:tr w:rsidR="00202779" w:rsidRPr="00202779" w14:paraId="17F84057" w14:textId="77777777" w:rsidTr="4D0247A3">
        <w:trPr>
          <w:trHeight w:val="432"/>
        </w:trPr>
        <w:tc>
          <w:tcPr>
            <w:tcW w:w="5040" w:type="dxa"/>
            <w:hideMark/>
          </w:tcPr>
          <w:p w14:paraId="71B09B40" w14:textId="005F4DEE" w:rsidR="001375F0" w:rsidRPr="00202779" w:rsidRDefault="001375F0" w:rsidP="00B4166B">
            <w:pPr>
              <w:rPr>
                <w:rFonts w:ascii="Arial" w:eastAsia="Times New Roman" w:hAnsi="Arial" w:cs="Arial"/>
                <w:sz w:val="16"/>
                <w:szCs w:val="16"/>
              </w:rPr>
            </w:pPr>
            <w:r w:rsidRPr="00202779">
              <w:rPr>
                <w:rFonts w:ascii="Arial" w:eastAsia="Times New Roman" w:hAnsi="Arial" w:cs="Arial"/>
                <w:b/>
                <w:bCs/>
                <w:sz w:val="16"/>
                <w:szCs w:val="16"/>
              </w:rPr>
              <w:t>Bias due to missing data:</w:t>
            </w:r>
            <w:r w:rsidRPr="00202779">
              <w:rPr>
                <w:rFonts w:ascii="Arial" w:eastAsia="Times New Roman" w:hAnsi="Arial" w:cs="Arial"/>
                <w:sz w:val="16"/>
                <w:szCs w:val="16"/>
              </w:rPr>
              <w:t xml:space="preserve"> </w:t>
            </w:r>
            <w:r w:rsidRPr="00202779">
              <w:rPr>
                <w:rFonts w:ascii="Arial" w:eastAsia="Times New Roman" w:hAnsi="Arial" w:cs="Arial"/>
                <w:sz w:val="16"/>
                <w:szCs w:val="16"/>
              </w:rPr>
              <w:b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r w:rsidR="008507CC" w:rsidRPr="00202779">
              <w:rPr>
                <w:rFonts w:ascii="Arial" w:eastAsia="Times New Roman" w:hAnsi="Arial" w:cs="Arial"/>
                <w:sz w:val="16"/>
                <w:szCs w:val="16"/>
              </w:rPr>
              <w:t>.</w:t>
            </w:r>
          </w:p>
        </w:tc>
        <w:tc>
          <w:tcPr>
            <w:tcW w:w="4315" w:type="dxa"/>
            <w:hideMark/>
          </w:tcPr>
          <w:p w14:paraId="1F40E75B" w14:textId="77777777" w:rsidR="001375F0" w:rsidRPr="00202779" w:rsidRDefault="001375F0" w:rsidP="002546C6">
            <w:pPr>
              <w:rPr>
                <w:rFonts w:ascii="Arial" w:hAnsi="Arial" w:cs="Arial"/>
                <w:sz w:val="16"/>
                <w:szCs w:val="16"/>
              </w:rPr>
            </w:pPr>
            <w:r w:rsidRPr="00202779">
              <w:rPr>
                <w:rFonts w:ascii="Arial" w:hAnsi="Arial" w:cs="Arial"/>
                <w:sz w:val="16"/>
                <w:szCs w:val="16"/>
              </w:rPr>
              <w:t>Low Risk. Only 5 patients were excluded due to missing data.</w:t>
            </w:r>
          </w:p>
        </w:tc>
      </w:tr>
      <w:tr w:rsidR="00202779" w:rsidRPr="00202779" w14:paraId="77F278A3" w14:textId="77777777" w:rsidTr="4D0247A3">
        <w:trPr>
          <w:trHeight w:val="432"/>
        </w:trPr>
        <w:tc>
          <w:tcPr>
            <w:tcW w:w="5040" w:type="dxa"/>
            <w:hideMark/>
          </w:tcPr>
          <w:p w14:paraId="29C8F883" w14:textId="77777777" w:rsidR="00B4166B" w:rsidRPr="00202779" w:rsidRDefault="001375F0" w:rsidP="00B4166B">
            <w:pPr>
              <w:rPr>
                <w:rFonts w:ascii="Arial" w:eastAsia="Times New Roman" w:hAnsi="Arial" w:cs="Arial"/>
                <w:b/>
                <w:bCs/>
                <w:sz w:val="16"/>
                <w:szCs w:val="16"/>
              </w:rPr>
            </w:pPr>
            <w:r w:rsidRPr="00202779">
              <w:rPr>
                <w:rFonts w:ascii="Arial" w:eastAsia="Times New Roman" w:hAnsi="Arial" w:cs="Arial"/>
                <w:b/>
                <w:bCs/>
                <w:sz w:val="16"/>
                <w:szCs w:val="16"/>
              </w:rPr>
              <w:t xml:space="preserve">Bias in measurement of outcomes: </w:t>
            </w:r>
          </w:p>
          <w:p w14:paraId="1DF28831" w14:textId="633D5E94" w:rsidR="001375F0" w:rsidRPr="00202779" w:rsidRDefault="001375F0" w:rsidP="00B4166B">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r w:rsidR="008507CC" w:rsidRPr="00202779">
              <w:rPr>
                <w:rFonts w:ascii="Arial" w:eastAsia="Times New Roman" w:hAnsi="Arial" w:cs="Arial"/>
                <w:sz w:val="16"/>
                <w:szCs w:val="16"/>
              </w:rPr>
              <w:t>.</w:t>
            </w:r>
          </w:p>
        </w:tc>
        <w:tc>
          <w:tcPr>
            <w:tcW w:w="4315" w:type="dxa"/>
            <w:hideMark/>
          </w:tcPr>
          <w:p w14:paraId="7C5F8807" w14:textId="074B3E8D" w:rsidR="001375F0" w:rsidRPr="00202779" w:rsidRDefault="001375F0" w:rsidP="00196E3A">
            <w:pPr>
              <w:rPr>
                <w:rFonts w:ascii="Arial" w:hAnsi="Arial" w:cs="Arial"/>
                <w:sz w:val="16"/>
                <w:szCs w:val="16"/>
              </w:rPr>
            </w:pPr>
            <w:r w:rsidRPr="00202779">
              <w:rPr>
                <w:rFonts w:ascii="Arial" w:hAnsi="Arial" w:cs="Arial"/>
                <w:sz w:val="16"/>
                <w:szCs w:val="16"/>
              </w:rPr>
              <w:t xml:space="preserve">Low risk. </w:t>
            </w:r>
            <w:r w:rsidR="00EA01B0" w:rsidRPr="00202779">
              <w:rPr>
                <w:rFonts w:ascii="Arial" w:hAnsi="Arial" w:cs="Arial"/>
                <w:sz w:val="16"/>
                <w:szCs w:val="16"/>
              </w:rPr>
              <w:t>D</w:t>
            </w:r>
            <w:r w:rsidRPr="00202779">
              <w:rPr>
                <w:rFonts w:ascii="Arial" w:hAnsi="Arial" w:cs="Arial"/>
                <w:sz w:val="16"/>
                <w:szCs w:val="16"/>
              </w:rPr>
              <w:t xml:space="preserve">elirium outcome was </w:t>
            </w:r>
            <w:r w:rsidR="00EA01B0" w:rsidRPr="00202779">
              <w:rPr>
                <w:rFonts w:ascii="Arial" w:hAnsi="Arial" w:cs="Arial"/>
                <w:sz w:val="16"/>
                <w:szCs w:val="16"/>
              </w:rPr>
              <w:t xml:space="preserve">assessed </w:t>
            </w:r>
            <w:r w:rsidRPr="00202779">
              <w:rPr>
                <w:rFonts w:ascii="Arial" w:hAnsi="Arial" w:cs="Arial"/>
                <w:sz w:val="16"/>
                <w:szCs w:val="16"/>
              </w:rPr>
              <w:t>rigorous</w:t>
            </w:r>
            <w:r w:rsidR="00EA01B0" w:rsidRPr="00202779">
              <w:rPr>
                <w:rFonts w:ascii="Arial" w:hAnsi="Arial" w:cs="Arial"/>
                <w:sz w:val="16"/>
                <w:szCs w:val="16"/>
              </w:rPr>
              <w:t>ly</w:t>
            </w:r>
            <w:r w:rsidRPr="00202779">
              <w:rPr>
                <w:rFonts w:ascii="Arial" w:hAnsi="Arial" w:cs="Arial"/>
                <w:sz w:val="16"/>
                <w:szCs w:val="16"/>
              </w:rPr>
              <w:t xml:space="preserve"> and objective</w:t>
            </w:r>
            <w:r w:rsidR="00EA01B0" w:rsidRPr="00202779">
              <w:rPr>
                <w:rFonts w:ascii="Arial" w:hAnsi="Arial" w:cs="Arial"/>
                <w:sz w:val="16"/>
                <w:szCs w:val="16"/>
              </w:rPr>
              <w:t>ly with</w:t>
            </w:r>
            <w:r w:rsidRPr="00202779">
              <w:rPr>
                <w:rFonts w:ascii="Arial" w:hAnsi="Arial" w:cs="Arial"/>
                <w:sz w:val="16"/>
                <w:szCs w:val="16"/>
              </w:rPr>
              <w:t xml:space="preserve"> the Intensive Care Delirium Screening Checklist (ICDSC). </w:t>
            </w:r>
          </w:p>
        </w:tc>
      </w:tr>
      <w:tr w:rsidR="00202779" w:rsidRPr="00202779" w14:paraId="43DCF0EA" w14:textId="77777777" w:rsidTr="4D0247A3">
        <w:trPr>
          <w:trHeight w:val="432"/>
        </w:trPr>
        <w:tc>
          <w:tcPr>
            <w:tcW w:w="5040" w:type="dxa"/>
            <w:hideMark/>
          </w:tcPr>
          <w:p w14:paraId="2C0B0E69" w14:textId="77777777" w:rsidR="00B4166B" w:rsidRPr="00202779" w:rsidRDefault="001375F0" w:rsidP="00B4166B">
            <w:pPr>
              <w:rPr>
                <w:rFonts w:ascii="Arial" w:eastAsia="Times New Roman" w:hAnsi="Arial" w:cs="Arial"/>
                <w:b/>
                <w:bCs/>
                <w:sz w:val="16"/>
                <w:szCs w:val="16"/>
              </w:rPr>
            </w:pPr>
            <w:r w:rsidRPr="00202779">
              <w:rPr>
                <w:rFonts w:ascii="Arial" w:eastAsia="Times New Roman" w:hAnsi="Arial" w:cs="Arial"/>
                <w:b/>
                <w:bCs/>
                <w:sz w:val="16"/>
                <w:szCs w:val="16"/>
              </w:rPr>
              <w:t xml:space="preserve">Bias in selection of the reported result: </w:t>
            </w:r>
          </w:p>
          <w:p w14:paraId="3F349C19" w14:textId="02481349" w:rsidR="001375F0" w:rsidRPr="00202779" w:rsidRDefault="001375F0" w:rsidP="00B4166B">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w:t>
            </w:r>
            <w:r w:rsidR="00EA01B0" w:rsidRPr="00202779">
              <w:rPr>
                <w:rFonts w:ascii="Arial" w:eastAsia="Times New Roman" w:hAnsi="Arial" w:cs="Arial"/>
                <w:sz w:val="16"/>
                <w:szCs w:val="16"/>
              </w:rPr>
              <w:t xml:space="preserve"> </w:t>
            </w:r>
            <w:r w:rsidRPr="00202779">
              <w:rPr>
                <w:rFonts w:ascii="Arial" w:eastAsia="Times New Roman" w:hAnsi="Arial" w:cs="Arial"/>
                <w:sz w:val="16"/>
                <w:szCs w:val="16"/>
              </w:rPr>
              <w:t>synthesis)</w:t>
            </w:r>
            <w:r w:rsidR="008507CC" w:rsidRPr="00202779">
              <w:rPr>
                <w:rFonts w:ascii="Arial" w:eastAsia="Times New Roman" w:hAnsi="Arial" w:cs="Arial"/>
                <w:sz w:val="16"/>
                <w:szCs w:val="16"/>
              </w:rPr>
              <w:t>.</w:t>
            </w:r>
          </w:p>
        </w:tc>
        <w:tc>
          <w:tcPr>
            <w:tcW w:w="4315" w:type="dxa"/>
            <w:hideMark/>
          </w:tcPr>
          <w:p w14:paraId="60554FA2"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Low Risk. Per the study design, all eligible patients were consented. </w:t>
            </w:r>
          </w:p>
        </w:tc>
      </w:tr>
      <w:tr w:rsidR="00202779" w:rsidRPr="00202779" w14:paraId="7C04D522" w14:textId="77777777" w:rsidTr="4D0247A3">
        <w:trPr>
          <w:trHeight w:val="432"/>
        </w:trPr>
        <w:tc>
          <w:tcPr>
            <w:tcW w:w="5040" w:type="dxa"/>
            <w:hideMark/>
          </w:tcPr>
          <w:p w14:paraId="0E130C8A"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 xml:space="preserve">Overall </w:t>
            </w:r>
            <w:r w:rsidR="00EA01B0" w:rsidRPr="00202779">
              <w:rPr>
                <w:rFonts w:ascii="Arial" w:eastAsia="Times New Roman" w:hAnsi="Arial" w:cs="Arial"/>
                <w:b/>
                <w:bCs/>
                <w:sz w:val="16"/>
                <w:szCs w:val="16"/>
              </w:rPr>
              <w:t>risk of bias judgement</w:t>
            </w:r>
          </w:p>
        </w:tc>
        <w:tc>
          <w:tcPr>
            <w:tcW w:w="4315" w:type="dxa"/>
            <w:hideMark/>
          </w:tcPr>
          <w:p w14:paraId="0BD4C135"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Moderate Risk: Due to </w:t>
            </w:r>
            <w:r w:rsidR="00EA01B0" w:rsidRPr="00202779">
              <w:rPr>
                <w:rFonts w:ascii="Arial" w:hAnsi="Arial" w:cs="Arial"/>
                <w:sz w:val="16"/>
                <w:szCs w:val="16"/>
              </w:rPr>
              <w:t>moderate bias in selection of participants</w:t>
            </w:r>
            <w:r w:rsidR="008507CC" w:rsidRPr="00202779">
              <w:rPr>
                <w:rFonts w:ascii="Arial" w:hAnsi="Arial" w:cs="Arial"/>
                <w:sz w:val="16"/>
                <w:szCs w:val="16"/>
              </w:rPr>
              <w:t>.</w:t>
            </w:r>
          </w:p>
        </w:tc>
      </w:tr>
    </w:tbl>
    <w:p w14:paraId="6071731C" w14:textId="77777777" w:rsidR="001375F0" w:rsidRPr="00202779" w:rsidRDefault="001375F0" w:rsidP="001375F0"/>
    <w:p w14:paraId="7B59D974" w14:textId="77777777" w:rsidR="008507CC" w:rsidRPr="00202779" w:rsidRDefault="008507CC">
      <w:r w:rsidRPr="00202779">
        <w:br w:type="page"/>
      </w:r>
    </w:p>
    <w:p w14:paraId="40F820A4" w14:textId="77777777" w:rsidR="001375F0" w:rsidRPr="00202779" w:rsidRDefault="001375F0" w:rsidP="001375F0"/>
    <w:tbl>
      <w:tblPr>
        <w:tblStyle w:val="TableGrid1"/>
        <w:tblW w:w="0" w:type="auto"/>
        <w:tblInd w:w="-5" w:type="dxa"/>
        <w:tblLook w:val="04A0" w:firstRow="1" w:lastRow="0" w:firstColumn="1" w:lastColumn="0" w:noHBand="0" w:noVBand="1"/>
      </w:tblPr>
      <w:tblGrid>
        <w:gridCol w:w="5040"/>
        <w:gridCol w:w="4315"/>
      </w:tblGrid>
      <w:tr w:rsidR="00202779" w:rsidRPr="00202779" w14:paraId="16E4A419" w14:textId="77777777" w:rsidTr="22EED720">
        <w:trPr>
          <w:trHeight w:val="432"/>
        </w:trPr>
        <w:tc>
          <w:tcPr>
            <w:tcW w:w="9355" w:type="dxa"/>
            <w:gridSpan w:val="2"/>
            <w:hideMark/>
          </w:tcPr>
          <w:p w14:paraId="0A0903D4" w14:textId="77777777" w:rsidR="008507CC" w:rsidRPr="00202779" w:rsidRDefault="008507CC" w:rsidP="002546C6">
            <w:pPr>
              <w:jc w:val="center"/>
              <w:rPr>
                <w:rFonts w:ascii="Arial" w:eastAsia="Times New Roman" w:hAnsi="Arial" w:cs="Arial"/>
                <w:b/>
                <w:bCs/>
                <w:sz w:val="16"/>
                <w:szCs w:val="16"/>
              </w:rPr>
            </w:pPr>
            <w:r w:rsidRPr="00202779">
              <w:rPr>
                <w:rFonts w:ascii="Arial" w:hAnsi="Arial" w:cs="Arial"/>
                <w:b/>
                <w:bCs/>
                <w:sz w:val="16"/>
                <w:szCs w:val="16"/>
              </w:rPr>
              <w:t>Jung et al., 2015</w:t>
            </w:r>
          </w:p>
        </w:tc>
      </w:tr>
      <w:tr w:rsidR="00202779" w:rsidRPr="00202779" w14:paraId="1092A0D3" w14:textId="77777777" w:rsidTr="22EED720">
        <w:trPr>
          <w:trHeight w:val="432"/>
        </w:trPr>
        <w:tc>
          <w:tcPr>
            <w:tcW w:w="5040" w:type="dxa"/>
            <w:hideMark/>
          </w:tcPr>
          <w:p w14:paraId="5C7822E1"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15" w:type="dxa"/>
            <w:hideMark/>
          </w:tcPr>
          <w:p w14:paraId="07DEFCBD"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7D742D11" w14:textId="77777777" w:rsidTr="22EED720">
        <w:trPr>
          <w:trHeight w:val="432"/>
        </w:trPr>
        <w:tc>
          <w:tcPr>
            <w:tcW w:w="5040" w:type="dxa"/>
            <w:hideMark/>
          </w:tcPr>
          <w:p w14:paraId="64308109" w14:textId="77777777" w:rsidR="008507CC" w:rsidRPr="00202779" w:rsidRDefault="001375F0" w:rsidP="008507CC">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33D333ED" w14:textId="221880A8" w:rsidR="001375F0" w:rsidRPr="00202779" w:rsidRDefault="001375F0" w:rsidP="008507CC">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 received at baseline</w:t>
            </w:r>
            <w:r w:rsidR="008507CC" w:rsidRPr="00202779">
              <w:rPr>
                <w:rFonts w:ascii="Arial" w:eastAsia="Times New Roman" w:hAnsi="Arial" w:cs="Arial"/>
                <w:sz w:val="16"/>
                <w:szCs w:val="16"/>
              </w:rPr>
              <w:t>.</w:t>
            </w:r>
          </w:p>
        </w:tc>
        <w:tc>
          <w:tcPr>
            <w:tcW w:w="4315" w:type="dxa"/>
            <w:hideMark/>
          </w:tcPr>
          <w:p w14:paraId="487BD607" w14:textId="689BC25D" w:rsidR="001375F0" w:rsidRPr="00202779" w:rsidRDefault="001375F0" w:rsidP="002546C6">
            <w:pPr>
              <w:rPr>
                <w:rFonts w:ascii="Arial" w:hAnsi="Arial" w:cs="Arial"/>
                <w:sz w:val="16"/>
                <w:szCs w:val="16"/>
              </w:rPr>
            </w:pPr>
            <w:r w:rsidRPr="00202779">
              <w:rPr>
                <w:rFonts w:ascii="Arial" w:hAnsi="Arial" w:cs="Arial"/>
                <w:sz w:val="16"/>
                <w:szCs w:val="16"/>
              </w:rPr>
              <w:t>Critical Risk. This study adjusted for EUROSCORE II only, but did not adjust for age</w:t>
            </w:r>
            <w:r w:rsidR="201F140E" w:rsidRPr="00202779">
              <w:rPr>
                <w:rFonts w:ascii="Arial" w:hAnsi="Arial" w:cs="Arial"/>
                <w:sz w:val="16"/>
                <w:szCs w:val="16"/>
              </w:rPr>
              <w:t>, sex</w:t>
            </w:r>
            <w:r w:rsidRPr="00202779">
              <w:rPr>
                <w:rFonts w:ascii="Arial" w:hAnsi="Arial" w:cs="Arial"/>
                <w:sz w:val="16"/>
                <w:szCs w:val="16"/>
              </w:rPr>
              <w:t xml:space="preserve"> or baseline cognition, all of which were different between frail and </w:t>
            </w:r>
            <w:proofErr w:type="spellStart"/>
            <w:r w:rsidRPr="00202779">
              <w:rPr>
                <w:rFonts w:ascii="Arial" w:hAnsi="Arial" w:cs="Arial"/>
                <w:sz w:val="16"/>
                <w:szCs w:val="16"/>
              </w:rPr>
              <w:t>nonfrail</w:t>
            </w:r>
            <w:proofErr w:type="spellEnd"/>
            <w:r w:rsidRPr="00202779">
              <w:rPr>
                <w:rFonts w:ascii="Arial" w:hAnsi="Arial" w:cs="Arial"/>
                <w:sz w:val="16"/>
                <w:szCs w:val="16"/>
              </w:rPr>
              <w:t xml:space="preserve"> groups.</w:t>
            </w:r>
          </w:p>
          <w:p w14:paraId="51CE9698" w14:textId="77777777" w:rsidR="001375F0" w:rsidRPr="00202779" w:rsidRDefault="001375F0" w:rsidP="002546C6">
            <w:pPr>
              <w:rPr>
                <w:rFonts w:ascii="Arial" w:eastAsia="Times New Roman" w:hAnsi="Arial" w:cs="Arial"/>
                <w:sz w:val="16"/>
                <w:szCs w:val="16"/>
              </w:rPr>
            </w:pPr>
          </w:p>
        </w:tc>
      </w:tr>
      <w:tr w:rsidR="00202779" w:rsidRPr="00202779" w14:paraId="5BC74EB5" w14:textId="77777777" w:rsidTr="22EED720">
        <w:trPr>
          <w:trHeight w:val="864"/>
        </w:trPr>
        <w:tc>
          <w:tcPr>
            <w:tcW w:w="5040" w:type="dxa"/>
            <w:hideMark/>
          </w:tcPr>
          <w:p w14:paraId="6CF1DBEF" w14:textId="77777777" w:rsidR="008507CC" w:rsidRPr="00202779" w:rsidRDefault="001375F0" w:rsidP="008507CC">
            <w:pPr>
              <w:rPr>
                <w:rFonts w:ascii="Arial" w:eastAsia="Times New Roman" w:hAnsi="Arial" w:cs="Arial"/>
                <w:b/>
                <w:bCs/>
                <w:sz w:val="16"/>
                <w:szCs w:val="16"/>
              </w:rPr>
            </w:pPr>
            <w:r w:rsidRPr="00202779">
              <w:rPr>
                <w:rFonts w:ascii="Arial" w:eastAsia="Times New Roman" w:hAnsi="Arial" w:cs="Arial"/>
                <w:b/>
                <w:bCs/>
                <w:sz w:val="16"/>
                <w:szCs w:val="16"/>
              </w:rPr>
              <w:t>Bias in selection of participants into the study</w:t>
            </w:r>
            <w:r w:rsidR="008507CC" w:rsidRPr="00202779">
              <w:rPr>
                <w:rFonts w:ascii="Arial" w:eastAsia="Times New Roman" w:hAnsi="Arial" w:cs="Arial"/>
                <w:b/>
                <w:bCs/>
                <w:sz w:val="16"/>
                <w:szCs w:val="16"/>
              </w:rPr>
              <w:t>:</w:t>
            </w:r>
          </w:p>
          <w:p w14:paraId="158F5C48" w14:textId="77777777" w:rsidR="001375F0" w:rsidRPr="00202779" w:rsidRDefault="001375F0" w:rsidP="008507CC">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p>
        </w:tc>
        <w:tc>
          <w:tcPr>
            <w:tcW w:w="4315" w:type="dxa"/>
            <w:hideMark/>
          </w:tcPr>
          <w:p w14:paraId="37D404C2"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Moderate Risk. 23% of patients refused consent, and 7 patients dropped out after enrollment. </w:t>
            </w:r>
          </w:p>
        </w:tc>
      </w:tr>
      <w:tr w:rsidR="00202779" w:rsidRPr="00202779" w14:paraId="7AD4D41C" w14:textId="77777777" w:rsidTr="22EED720">
        <w:trPr>
          <w:trHeight w:val="864"/>
        </w:trPr>
        <w:tc>
          <w:tcPr>
            <w:tcW w:w="5040" w:type="dxa"/>
            <w:hideMark/>
          </w:tcPr>
          <w:p w14:paraId="0823537E"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4E46C52A"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 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r w:rsidR="008507CC" w:rsidRPr="00202779">
              <w:rPr>
                <w:rFonts w:ascii="Arial" w:eastAsia="Times New Roman" w:hAnsi="Arial" w:cs="Arial"/>
                <w:sz w:val="16"/>
                <w:szCs w:val="16"/>
              </w:rPr>
              <w:t>.</w:t>
            </w:r>
          </w:p>
        </w:tc>
        <w:tc>
          <w:tcPr>
            <w:tcW w:w="4315" w:type="dxa"/>
            <w:hideMark/>
          </w:tcPr>
          <w:p w14:paraId="0C06C589"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Low Risk. The frailty scale was implemented properly by assessors.</w:t>
            </w:r>
          </w:p>
        </w:tc>
      </w:tr>
      <w:tr w:rsidR="00202779" w:rsidRPr="00202779" w14:paraId="3BDB26C4" w14:textId="77777777" w:rsidTr="22EED720">
        <w:trPr>
          <w:trHeight w:val="864"/>
        </w:trPr>
        <w:tc>
          <w:tcPr>
            <w:tcW w:w="5040" w:type="dxa"/>
            <w:hideMark/>
          </w:tcPr>
          <w:p w14:paraId="51DA30FB" w14:textId="77777777" w:rsidR="008507CC" w:rsidRPr="00202779" w:rsidRDefault="001375F0" w:rsidP="008507CC">
            <w:pPr>
              <w:rPr>
                <w:rFonts w:ascii="Arial" w:eastAsia="Times New Roman" w:hAnsi="Arial" w:cs="Arial"/>
                <w:b/>
                <w:bCs/>
                <w:sz w:val="16"/>
                <w:szCs w:val="16"/>
              </w:rPr>
            </w:pPr>
            <w:r w:rsidRPr="00202779">
              <w:rPr>
                <w:rFonts w:ascii="Arial" w:eastAsia="Times New Roman" w:hAnsi="Arial" w:cs="Arial"/>
                <w:b/>
                <w:bCs/>
                <w:sz w:val="16"/>
                <w:szCs w:val="16"/>
              </w:rPr>
              <w:t>Bias due to deviations from intended interventions:</w:t>
            </w:r>
          </w:p>
          <w:p w14:paraId="3A95DBEF" w14:textId="210C7C29" w:rsidR="001375F0" w:rsidRPr="00202779" w:rsidRDefault="001375F0" w:rsidP="008507CC">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w:t>
            </w:r>
            <w:r w:rsidR="008507CC" w:rsidRPr="00202779">
              <w:rPr>
                <w:rFonts w:ascii="Arial" w:eastAsia="Times New Roman" w:hAnsi="Arial" w:cs="Arial"/>
                <w:sz w:val="16"/>
                <w:szCs w:val="16"/>
              </w:rPr>
              <w:t xml:space="preserve"> </w:t>
            </w:r>
            <w:r w:rsidRPr="00202779">
              <w:rPr>
                <w:rFonts w:ascii="Arial" w:eastAsia="Times New Roman" w:hAnsi="Arial" w:cs="Arial"/>
                <w:sz w:val="16"/>
                <w:szCs w:val="16"/>
              </w:rPr>
              <w:t>and adhering to intervention).</w:t>
            </w:r>
          </w:p>
        </w:tc>
        <w:tc>
          <w:tcPr>
            <w:tcW w:w="4315" w:type="dxa"/>
            <w:hideMark/>
          </w:tcPr>
          <w:p w14:paraId="222335FE" w14:textId="77777777" w:rsidR="001375F0" w:rsidRPr="00202779" w:rsidRDefault="001375F0" w:rsidP="002546C6">
            <w:pPr>
              <w:rPr>
                <w:rFonts w:ascii="Arial" w:hAnsi="Arial" w:cs="Arial"/>
                <w:sz w:val="16"/>
                <w:szCs w:val="16"/>
              </w:rPr>
            </w:pPr>
            <w:r w:rsidRPr="00202779">
              <w:rPr>
                <w:rFonts w:ascii="Arial" w:hAnsi="Arial" w:cs="Arial"/>
                <w:sz w:val="16"/>
                <w:szCs w:val="16"/>
              </w:rPr>
              <w:t>Low Risk:  There i</w:t>
            </w:r>
            <w:r w:rsidR="00360A9E" w:rsidRPr="00202779">
              <w:rPr>
                <w:rFonts w:ascii="Arial" w:hAnsi="Arial" w:cs="Arial"/>
                <w:sz w:val="16"/>
                <w:szCs w:val="16"/>
              </w:rPr>
              <w:t>s no evidence that the frailty “intervention”</w:t>
            </w:r>
            <w:r w:rsidRPr="00202779">
              <w:rPr>
                <w:rFonts w:ascii="Arial" w:hAnsi="Arial" w:cs="Arial"/>
                <w:sz w:val="16"/>
                <w:szCs w:val="16"/>
              </w:rPr>
              <w:t xml:space="preserve"> affected surgery status in patients.</w:t>
            </w:r>
          </w:p>
        </w:tc>
      </w:tr>
      <w:tr w:rsidR="00202779" w:rsidRPr="00202779" w14:paraId="60C08F68" w14:textId="77777777" w:rsidTr="22EED720">
        <w:trPr>
          <w:trHeight w:val="864"/>
        </w:trPr>
        <w:tc>
          <w:tcPr>
            <w:tcW w:w="5040" w:type="dxa"/>
            <w:hideMark/>
          </w:tcPr>
          <w:p w14:paraId="616B10B5" w14:textId="7703F42D" w:rsidR="001375F0" w:rsidRPr="00202779" w:rsidRDefault="001375F0" w:rsidP="00196E3A">
            <w:pPr>
              <w:rPr>
                <w:rFonts w:ascii="Arial" w:eastAsia="Times New Roman" w:hAnsi="Arial" w:cs="Arial"/>
                <w:sz w:val="16"/>
                <w:szCs w:val="16"/>
              </w:rPr>
            </w:pPr>
            <w:r w:rsidRPr="00202779">
              <w:rPr>
                <w:rFonts w:ascii="Arial" w:eastAsia="Times New Roman" w:hAnsi="Arial" w:cs="Arial"/>
                <w:b/>
                <w:bCs/>
                <w:sz w:val="16"/>
                <w:szCs w:val="16"/>
              </w:rPr>
              <w:t>Bias due to missing data:</w:t>
            </w:r>
            <w:r w:rsidRPr="00202779">
              <w:rPr>
                <w:rFonts w:ascii="Arial" w:eastAsia="Times New Roman" w:hAnsi="Arial" w:cs="Arial"/>
                <w:sz w:val="16"/>
                <w:szCs w:val="16"/>
              </w:rPr>
              <w:t xml:space="preserve">  </w:t>
            </w:r>
            <w:r w:rsidRPr="00202779">
              <w:rPr>
                <w:rFonts w:ascii="Arial" w:eastAsia="Times New Roman" w:hAnsi="Arial" w:cs="Arial"/>
                <w:sz w:val="16"/>
                <w:szCs w:val="16"/>
              </w:rPr>
              <w:b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r w:rsidR="008507CC" w:rsidRPr="00202779">
              <w:rPr>
                <w:rFonts w:ascii="Arial" w:eastAsia="Times New Roman" w:hAnsi="Arial" w:cs="Arial"/>
                <w:sz w:val="16"/>
                <w:szCs w:val="16"/>
              </w:rPr>
              <w:t>.</w:t>
            </w:r>
          </w:p>
        </w:tc>
        <w:tc>
          <w:tcPr>
            <w:tcW w:w="4315" w:type="dxa"/>
            <w:hideMark/>
          </w:tcPr>
          <w:p w14:paraId="636CD1FC"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Low risk. The CAM-ICU was administered regularly in the ICU and it is implied that the same time interval was used on the wards. Measurement was until discharge.</w:t>
            </w:r>
          </w:p>
        </w:tc>
      </w:tr>
      <w:tr w:rsidR="00202779" w:rsidRPr="00202779" w14:paraId="172B7C53" w14:textId="77777777" w:rsidTr="22EED720">
        <w:trPr>
          <w:trHeight w:val="864"/>
        </w:trPr>
        <w:tc>
          <w:tcPr>
            <w:tcW w:w="5040" w:type="dxa"/>
            <w:hideMark/>
          </w:tcPr>
          <w:p w14:paraId="564A60F9"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7E770246" w14:textId="77777777" w:rsidR="001375F0" w:rsidRPr="00202779" w:rsidRDefault="001375F0" w:rsidP="002546C6">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r w:rsidR="008507CC" w:rsidRPr="00202779">
              <w:rPr>
                <w:rFonts w:ascii="Arial" w:eastAsia="Times New Roman" w:hAnsi="Arial" w:cs="Arial"/>
                <w:sz w:val="16"/>
                <w:szCs w:val="16"/>
              </w:rPr>
              <w:t>.</w:t>
            </w:r>
          </w:p>
        </w:tc>
        <w:tc>
          <w:tcPr>
            <w:tcW w:w="4315" w:type="dxa"/>
            <w:hideMark/>
          </w:tcPr>
          <w:p w14:paraId="369F451F"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Low Risk. The CAM and CAM-ICU are well-validated tools and were </w:t>
            </w:r>
            <w:r w:rsidR="00360A9E" w:rsidRPr="00202779">
              <w:rPr>
                <w:rFonts w:ascii="Arial" w:hAnsi="Arial" w:cs="Arial"/>
                <w:sz w:val="16"/>
                <w:szCs w:val="16"/>
              </w:rPr>
              <w:t>administered regularly with no “filtering"</w:t>
            </w:r>
            <w:r w:rsidRPr="00202779">
              <w:rPr>
                <w:rFonts w:ascii="Arial" w:hAnsi="Arial" w:cs="Arial"/>
                <w:sz w:val="16"/>
                <w:szCs w:val="16"/>
              </w:rPr>
              <w:t xml:space="preserve"> steps. </w:t>
            </w:r>
          </w:p>
        </w:tc>
      </w:tr>
      <w:tr w:rsidR="00202779" w:rsidRPr="00202779" w14:paraId="1F03BF8A" w14:textId="77777777" w:rsidTr="22EED720">
        <w:trPr>
          <w:trHeight w:val="864"/>
        </w:trPr>
        <w:tc>
          <w:tcPr>
            <w:tcW w:w="5040" w:type="dxa"/>
            <w:hideMark/>
          </w:tcPr>
          <w:p w14:paraId="7A4D2942"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selection of the reported result:</w:t>
            </w:r>
          </w:p>
          <w:p w14:paraId="7D34B026" w14:textId="77777777" w:rsidR="001375F0" w:rsidRPr="00202779" w:rsidRDefault="001375F0" w:rsidP="002546C6">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 synthesis)</w:t>
            </w:r>
            <w:r w:rsidR="008507CC" w:rsidRPr="00202779">
              <w:rPr>
                <w:rFonts w:ascii="Arial" w:eastAsia="Times New Roman" w:hAnsi="Arial" w:cs="Arial"/>
                <w:sz w:val="16"/>
                <w:szCs w:val="16"/>
              </w:rPr>
              <w:t>.</w:t>
            </w:r>
          </w:p>
        </w:tc>
        <w:tc>
          <w:tcPr>
            <w:tcW w:w="4315" w:type="dxa"/>
            <w:hideMark/>
          </w:tcPr>
          <w:p w14:paraId="6956A6A6" w14:textId="77777777" w:rsidR="001375F0" w:rsidRPr="00202779" w:rsidRDefault="001375F0" w:rsidP="002546C6">
            <w:pPr>
              <w:rPr>
                <w:rFonts w:ascii="Arial" w:hAnsi="Arial" w:cs="Arial"/>
                <w:sz w:val="16"/>
                <w:szCs w:val="16"/>
              </w:rPr>
            </w:pPr>
            <w:r w:rsidRPr="00202779">
              <w:rPr>
                <w:rFonts w:ascii="Arial" w:hAnsi="Arial" w:cs="Arial"/>
                <w:sz w:val="16"/>
                <w:szCs w:val="16"/>
              </w:rPr>
              <w:t>Low Risk. There was no selective reporting of the results.</w:t>
            </w:r>
          </w:p>
          <w:p w14:paraId="3C443075" w14:textId="77777777" w:rsidR="001375F0" w:rsidRPr="00202779" w:rsidRDefault="001375F0" w:rsidP="002546C6">
            <w:pPr>
              <w:rPr>
                <w:rFonts w:ascii="Arial" w:eastAsia="Times New Roman" w:hAnsi="Arial" w:cs="Arial"/>
                <w:sz w:val="16"/>
                <w:szCs w:val="16"/>
              </w:rPr>
            </w:pPr>
          </w:p>
        </w:tc>
      </w:tr>
      <w:tr w:rsidR="00202779" w:rsidRPr="00202779" w14:paraId="304A7493" w14:textId="77777777" w:rsidTr="22EED720">
        <w:trPr>
          <w:trHeight w:val="432"/>
        </w:trPr>
        <w:tc>
          <w:tcPr>
            <w:tcW w:w="5040" w:type="dxa"/>
            <w:hideMark/>
          </w:tcPr>
          <w:p w14:paraId="6DD7CC19"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 xml:space="preserve">Overall </w:t>
            </w:r>
            <w:r w:rsidR="008507CC" w:rsidRPr="00202779">
              <w:rPr>
                <w:rFonts w:ascii="Arial" w:eastAsia="Times New Roman" w:hAnsi="Arial" w:cs="Arial"/>
                <w:b/>
                <w:bCs/>
                <w:sz w:val="16"/>
                <w:szCs w:val="16"/>
              </w:rPr>
              <w:t>risk of bias judgement</w:t>
            </w:r>
          </w:p>
        </w:tc>
        <w:tc>
          <w:tcPr>
            <w:tcW w:w="4315" w:type="dxa"/>
            <w:hideMark/>
          </w:tcPr>
          <w:p w14:paraId="0ABDD96A"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Critical Risk. Due to failure to adjust for all confounders. </w:t>
            </w:r>
          </w:p>
        </w:tc>
      </w:tr>
    </w:tbl>
    <w:p w14:paraId="336706AB" w14:textId="77777777" w:rsidR="001375F0" w:rsidRPr="00202779" w:rsidRDefault="001375F0" w:rsidP="001375F0"/>
    <w:p w14:paraId="12778ABE" w14:textId="77777777" w:rsidR="008507CC" w:rsidRPr="00202779" w:rsidRDefault="008507CC">
      <w:r w:rsidRPr="00202779">
        <w:br w:type="page"/>
      </w:r>
    </w:p>
    <w:p w14:paraId="0F124C7B" w14:textId="77777777" w:rsidR="001375F0" w:rsidRPr="00202779" w:rsidRDefault="001375F0" w:rsidP="001375F0"/>
    <w:tbl>
      <w:tblPr>
        <w:tblStyle w:val="TableGrid1"/>
        <w:tblW w:w="0" w:type="auto"/>
        <w:tblInd w:w="-5" w:type="dxa"/>
        <w:tblLook w:val="04A0" w:firstRow="1" w:lastRow="0" w:firstColumn="1" w:lastColumn="0" w:noHBand="0" w:noVBand="1"/>
      </w:tblPr>
      <w:tblGrid>
        <w:gridCol w:w="5040"/>
        <w:gridCol w:w="4315"/>
      </w:tblGrid>
      <w:tr w:rsidR="00202779" w:rsidRPr="00202779" w14:paraId="1F3B8454" w14:textId="77777777" w:rsidTr="22EED720">
        <w:trPr>
          <w:trHeight w:val="432"/>
        </w:trPr>
        <w:tc>
          <w:tcPr>
            <w:tcW w:w="9355" w:type="dxa"/>
            <w:gridSpan w:val="2"/>
            <w:hideMark/>
          </w:tcPr>
          <w:p w14:paraId="4C0CB9AA" w14:textId="77777777" w:rsidR="00360A9E" w:rsidRPr="00202779" w:rsidRDefault="00360A9E" w:rsidP="002546C6">
            <w:pPr>
              <w:jc w:val="center"/>
              <w:rPr>
                <w:rFonts w:ascii="Arial" w:eastAsia="Times New Roman" w:hAnsi="Arial" w:cs="Arial"/>
                <w:b/>
                <w:bCs/>
                <w:sz w:val="16"/>
                <w:szCs w:val="16"/>
              </w:rPr>
            </w:pPr>
            <w:r w:rsidRPr="00202779">
              <w:rPr>
                <w:rFonts w:ascii="Arial" w:hAnsi="Arial" w:cs="Arial"/>
                <w:b/>
                <w:bCs/>
                <w:sz w:val="16"/>
                <w:szCs w:val="16"/>
              </w:rPr>
              <w:t>Khan et al., 2015</w:t>
            </w:r>
          </w:p>
        </w:tc>
      </w:tr>
      <w:tr w:rsidR="00202779" w:rsidRPr="00202779" w14:paraId="7B2B9307" w14:textId="77777777" w:rsidTr="22EED720">
        <w:trPr>
          <w:trHeight w:val="432"/>
        </w:trPr>
        <w:tc>
          <w:tcPr>
            <w:tcW w:w="5040" w:type="dxa"/>
            <w:hideMark/>
          </w:tcPr>
          <w:p w14:paraId="49504EA0"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15" w:type="dxa"/>
            <w:hideMark/>
          </w:tcPr>
          <w:p w14:paraId="28E52E3D"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3C88EC1F" w14:textId="77777777" w:rsidTr="22EED720">
        <w:trPr>
          <w:trHeight w:val="432"/>
        </w:trPr>
        <w:tc>
          <w:tcPr>
            <w:tcW w:w="5040" w:type="dxa"/>
            <w:hideMark/>
          </w:tcPr>
          <w:p w14:paraId="51B46E93" w14:textId="77777777" w:rsidR="00360A9E" w:rsidRPr="00202779" w:rsidRDefault="001375F0" w:rsidP="00196E3A">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1202E123" w14:textId="49674578" w:rsidR="001375F0" w:rsidRPr="00202779" w:rsidRDefault="001375F0" w:rsidP="00196E3A">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w:t>
            </w:r>
            <w:r w:rsidR="00360A9E" w:rsidRPr="00202779">
              <w:rPr>
                <w:rFonts w:ascii="Arial" w:eastAsia="Times New Roman" w:hAnsi="Arial" w:cs="Arial"/>
                <w:sz w:val="16"/>
                <w:szCs w:val="16"/>
              </w:rPr>
              <w:t xml:space="preserve"> </w:t>
            </w:r>
            <w:r w:rsidRPr="00202779">
              <w:rPr>
                <w:rFonts w:ascii="Arial" w:eastAsia="Times New Roman" w:hAnsi="Arial" w:cs="Arial"/>
                <w:sz w:val="16"/>
                <w:szCs w:val="16"/>
              </w:rPr>
              <w:t>received at baseline</w:t>
            </w:r>
            <w:r w:rsidR="00360A9E" w:rsidRPr="00202779">
              <w:rPr>
                <w:rFonts w:ascii="Arial" w:eastAsia="Times New Roman" w:hAnsi="Arial" w:cs="Arial"/>
                <w:sz w:val="16"/>
                <w:szCs w:val="16"/>
              </w:rPr>
              <w:t>.</w:t>
            </w:r>
          </w:p>
        </w:tc>
        <w:tc>
          <w:tcPr>
            <w:tcW w:w="4315" w:type="dxa"/>
            <w:hideMark/>
          </w:tcPr>
          <w:p w14:paraId="1383A621" w14:textId="3361DBF4" w:rsidR="001375F0" w:rsidRPr="00202779" w:rsidRDefault="35DBFC81" w:rsidP="002546C6">
            <w:pPr>
              <w:rPr>
                <w:rFonts w:ascii="Arial" w:eastAsia="Times New Roman" w:hAnsi="Arial" w:cs="Arial"/>
                <w:sz w:val="16"/>
                <w:szCs w:val="16"/>
              </w:rPr>
            </w:pPr>
            <w:r w:rsidRPr="00202779">
              <w:rPr>
                <w:rFonts w:ascii="Arial" w:hAnsi="Arial" w:cs="Arial"/>
                <w:sz w:val="16"/>
                <w:szCs w:val="16"/>
              </w:rPr>
              <w:t>Moderate</w:t>
            </w:r>
            <w:r w:rsidR="001375F0" w:rsidRPr="00202779">
              <w:rPr>
                <w:rFonts w:ascii="Arial" w:hAnsi="Arial" w:cs="Arial"/>
                <w:sz w:val="16"/>
                <w:szCs w:val="16"/>
              </w:rPr>
              <w:t xml:space="preserve"> Risk.   </w:t>
            </w:r>
            <w:r w:rsidR="650BB867" w:rsidRPr="00202779">
              <w:rPr>
                <w:rFonts w:ascii="Arial" w:hAnsi="Arial" w:cs="Arial"/>
                <w:sz w:val="16"/>
                <w:szCs w:val="16"/>
              </w:rPr>
              <w:t>T</w:t>
            </w:r>
            <w:r w:rsidR="001375F0" w:rsidRPr="00202779">
              <w:rPr>
                <w:rFonts w:ascii="Arial" w:eastAsiaTheme="minorEastAsia" w:hAnsi="Arial" w:cs="Arial"/>
                <w:sz w:val="16"/>
                <w:szCs w:val="16"/>
              </w:rPr>
              <w:t>otal N</w:t>
            </w:r>
            <w:r w:rsidR="00360A9E" w:rsidRPr="00202779">
              <w:rPr>
                <w:rFonts w:ascii="Arial" w:hAnsi="Arial" w:cs="Arial"/>
                <w:sz w:val="16"/>
                <w:szCs w:val="16"/>
              </w:rPr>
              <w:t xml:space="preserve"> of </w:t>
            </w:r>
            <w:r w:rsidR="001375F0" w:rsidRPr="00202779">
              <w:rPr>
                <w:rFonts w:ascii="Arial" w:eastAsiaTheme="minorEastAsia" w:hAnsi="Arial" w:cs="Arial"/>
                <w:sz w:val="16"/>
                <w:szCs w:val="16"/>
              </w:rPr>
              <w:t>25</w:t>
            </w:r>
            <w:r w:rsidR="00360A9E" w:rsidRPr="00202779">
              <w:rPr>
                <w:rFonts w:ascii="Arial" w:hAnsi="Arial" w:cs="Arial"/>
                <w:sz w:val="16"/>
                <w:szCs w:val="16"/>
              </w:rPr>
              <w:t xml:space="preserve"> patients</w:t>
            </w:r>
            <w:r w:rsidR="001375F0" w:rsidRPr="00202779">
              <w:rPr>
                <w:rFonts w:ascii="Arial" w:eastAsiaTheme="minorEastAsia" w:hAnsi="Arial" w:cs="Arial"/>
                <w:sz w:val="16"/>
                <w:szCs w:val="16"/>
              </w:rPr>
              <w:t xml:space="preserve"> limit</w:t>
            </w:r>
            <w:r w:rsidR="00360A9E" w:rsidRPr="00202779">
              <w:rPr>
                <w:rFonts w:ascii="Arial" w:hAnsi="Arial" w:cs="Arial"/>
                <w:sz w:val="16"/>
                <w:szCs w:val="16"/>
              </w:rPr>
              <w:t>ed</w:t>
            </w:r>
            <w:r w:rsidR="001375F0" w:rsidRPr="00202779">
              <w:rPr>
                <w:rFonts w:ascii="Arial" w:eastAsiaTheme="minorEastAsia" w:hAnsi="Arial" w:cs="Arial"/>
                <w:sz w:val="16"/>
                <w:szCs w:val="16"/>
              </w:rPr>
              <w:t xml:space="preserve"> statistical power to detect differences in baseline characteristics between groups. </w:t>
            </w:r>
          </w:p>
        </w:tc>
      </w:tr>
      <w:tr w:rsidR="00202779" w:rsidRPr="00202779" w14:paraId="6EE8618F" w14:textId="77777777" w:rsidTr="22EED720">
        <w:trPr>
          <w:trHeight w:val="432"/>
        </w:trPr>
        <w:tc>
          <w:tcPr>
            <w:tcW w:w="5040" w:type="dxa"/>
            <w:hideMark/>
          </w:tcPr>
          <w:p w14:paraId="6BD73A93" w14:textId="642DDB3F" w:rsidR="00360A9E" w:rsidRPr="00202779" w:rsidRDefault="001375F0" w:rsidP="00196E3A">
            <w:pPr>
              <w:rPr>
                <w:rFonts w:ascii="Arial" w:eastAsia="Times New Roman" w:hAnsi="Arial" w:cs="Arial"/>
                <w:sz w:val="16"/>
                <w:szCs w:val="16"/>
              </w:rPr>
            </w:pPr>
            <w:r w:rsidRPr="00202779">
              <w:rPr>
                <w:rFonts w:ascii="Arial" w:eastAsia="Times New Roman" w:hAnsi="Arial" w:cs="Arial"/>
                <w:b/>
                <w:bCs/>
                <w:sz w:val="16"/>
                <w:szCs w:val="16"/>
              </w:rPr>
              <w:t>Bias in selection of participants into the study:</w:t>
            </w:r>
          </w:p>
          <w:p w14:paraId="3AEF0706" w14:textId="77777777" w:rsidR="001375F0" w:rsidRPr="00202779" w:rsidRDefault="001375F0" w:rsidP="00C20368">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r w:rsidR="00360A9E" w:rsidRPr="00202779">
              <w:rPr>
                <w:rFonts w:ascii="Arial" w:eastAsia="Times New Roman" w:hAnsi="Arial" w:cs="Arial"/>
                <w:sz w:val="16"/>
                <w:szCs w:val="16"/>
              </w:rPr>
              <w:t>.</w:t>
            </w:r>
          </w:p>
        </w:tc>
        <w:tc>
          <w:tcPr>
            <w:tcW w:w="4315" w:type="dxa"/>
            <w:hideMark/>
          </w:tcPr>
          <w:p w14:paraId="7EED4120"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No information; the N value was so low as to have very little statistical meaning and also the selection process is difficult to discern.</w:t>
            </w:r>
          </w:p>
        </w:tc>
      </w:tr>
      <w:tr w:rsidR="00202779" w:rsidRPr="00202779" w14:paraId="04AC9F49" w14:textId="77777777" w:rsidTr="22EED720">
        <w:trPr>
          <w:trHeight w:val="432"/>
        </w:trPr>
        <w:tc>
          <w:tcPr>
            <w:tcW w:w="5040" w:type="dxa"/>
            <w:hideMark/>
          </w:tcPr>
          <w:p w14:paraId="63F38B61"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1136FFC1" w14:textId="4E40F693"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w:t>
            </w:r>
            <w:r w:rsidR="00FD36A2" w:rsidRPr="00202779">
              <w:rPr>
                <w:rFonts w:ascii="Arial" w:eastAsia="Times New Roman" w:hAnsi="Arial" w:cs="Arial"/>
                <w:sz w:val="16"/>
                <w:szCs w:val="16"/>
              </w:rPr>
              <w:t xml:space="preserve">. </w:t>
            </w:r>
            <w:r w:rsidRPr="00202779">
              <w:rPr>
                <w:rFonts w:ascii="Arial" w:eastAsia="Times New Roman" w:hAnsi="Arial" w:cs="Arial"/>
                <w:sz w:val="16"/>
                <w:szCs w:val="16"/>
              </w:rPr>
              <w:t>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r w:rsidR="00360A9E" w:rsidRPr="00202779">
              <w:rPr>
                <w:rFonts w:ascii="Arial" w:eastAsia="Times New Roman" w:hAnsi="Arial" w:cs="Arial"/>
                <w:sz w:val="16"/>
                <w:szCs w:val="16"/>
              </w:rPr>
              <w:t>.</w:t>
            </w:r>
          </w:p>
        </w:tc>
        <w:tc>
          <w:tcPr>
            <w:tcW w:w="4315" w:type="dxa"/>
            <w:hideMark/>
          </w:tcPr>
          <w:p w14:paraId="05FE37BA" w14:textId="299D6A4D" w:rsidR="001375F0" w:rsidRPr="00202779" w:rsidRDefault="001375F0" w:rsidP="00196E3A">
            <w:pPr>
              <w:rPr>
                <w:rFonts w:ascii="Arial" w:eastAsia="Times New Roman" w:hAnsi="Arial" w:cs="Arial"/>
                <w:sz w:val="16"/>
                <w:szCs w:val="16"/>
              </w:rPr>
            </w:pPr>
            <w:r w:rsidRPr="00202779">
              <w:rPr>
                <w:rFonts w:ascii="Arial" w:hAnsi="Arial" w:cs="Arial"/>
                <w:sz w:val="16"/>
                <w:szCs w:val="16"/>
              </w:rPr>
              <w:t xml:space="preserve">Low Risk. The MFC </w:t>
            </w:r>
            <w:r w:rsidR="00360A9E" w:rsidRPr="00202779">
              <w:rPr>
                <w:rFonts w:ascii="Arial" w:hAnsi="Arial" w:cs="Arial"/>
                <w:sz w:val="16"/>
                <w:szCs w:val="16"/>
              </w:rPr>
              <w:t xml:space="preserve">was applied rigorously </w:t>
            </w:r>
            <w:r w:rsidRPr="00202779">
              <w:rPr>
                <w:rFonts w:ascii="Arial" w:hAnsi="Arial" w:cs="Arial"/>
                <w:sz w:val="16"/>
                <w:szCs w:val="16"/>
              </w:rPr>
              <w:t>at the measurement and assignment stage.</w:t>
            </w:r>
          </w:p>
        </w:tc>
      </w:tr>
      <w:tr w:rsidR="00202779" w:rsidRPr="00202779" w14:paraId="48439B25" w14:textId="77777777" w:rsidTr="22EED720">
        <w:trPr>
          <w:trHeight w:val="432"/>
        </w:trPr>
        <w:tc>
          <w:tcPr>
            <w:tcW w:w="5040" w:type="dxa"/>
            <w:hideMark/>
          </w:tcPr>
          <w:p w14:paraId="6D675649" w14:textId="1703CA9E" w:rsidR="00360A9E" w:rsidRPr="00202779" w:rsidRDefault="001375F0" w:rsidP="00196E3A">
            <w:pPr>
              <w:rPr>
                <w:rFonts w:ascii="Arial" w:eastAsia="Times New Roman" w:hAnsi="Arial" w:cs="Arial"/>
                <w:sz w:val="16"/>
                <w:szCs w:val="16"/>
              </w:rPr>
            </w:pPr>
            <w:r w:rsidRPr="00202779">
              <w:rPr>
                <w:rFonts w:ascii="Arial" w:eastAsia="Times New Roman" w:hAnsi="Arial" w:cs="Arial"/>
                <w:b/>
                <w:bCs/>
                <w:sz w:val="16"/>
                <w:szCs w:val="16"/>
              </w:rPr>
              <w:t>Bias due to deviations from intended interventions:</w:t>
            </w:r>
            <w:r w:rsidRPr="00202779">
              <w:rPr>
                <w:rFonts w:ascii="Arial" w:eastAsia="Times New Roman" w:hAnsi="Arial" w:cs="Arial"/>
                <w:sz w:val="16"/>
                <w:szCs w:val="16"/>
              </w:rPr>
              <w:t xml:space="preserve"> </w:t>
            </w:r>
          </w:p>
          <w:p w14:paraId="30661326" w14:textId="70E666DF" w:rsidR="001375F0" w:rsidRPr="00202779" w:rsidRDefault="001375F0" w:rsidP="00196E3A">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w:t>
            </w:r>
            <w:r w:rsidR="00360A9E" w:rsidRPr="00202779">
              <w:rPr>
                <w:rFonts w:ascii="Arial" w:eastAsia="Times New Roman" w:hAnsi="Arial" w:cs="Arial"/>
                <w:sz w:val="16"/>
                <w:szCs w:val="16"/>
              </w:rPr>
              <w:t xml:space="preserve"> </w:t>
            </w:r>
            <w:r w:rsidRPr="00202779">
              <w:rPr>
                <w:rFonts w:ascii="Arial" w:eastAsia="Times New Roman" w:hAnsi="Arial" w:cs="Arial"/>
                <w:sz w:val="16"/>
                <w:szCs w:val="16"/>
              </w:rPr>
              <w:t>and adhering to intervention).</w:t>
            </w:r>
          </w:p>
        </w:tc>
        <w:tc>
          <w:tcPr>
            <w:tcW w:w="4315" w:type="dxa"/>
            <w:hideMark/>
          </w:tcPr>
          <w:p w14:paraId="7BBACC7C" w14:textId="37E83AA4"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Low Risk. There were no systematic processes affecting the designation of frailty versus </w:t>
            </w:r>
            <w:proofErr w:type="spellStart"/>
            <w:r w:rsidRPr="00202779">
              <w:rPr>
                <w:rFonts w:ascii="Arial" w:hAnsi="Arial" w:cs="Arial"/>
                <w:sz w:val="16"/>
                <w:szCs w:val="16"/>
              </w:rPr>
              <w:t>nonfrailty</w:t>
            </w:r>
            <w:proofErr w:type="spellEnd"/>
            <w:r w:rsidRPr="00202779">
              <w:rPr>
                <w:rFonts w:ascii="Arial" w:hAnsi="Arial" w:cs="Arial"/>
                <w:sz w:val="16"/>
                <w:szCs w:val="16"/>
              </w:rPr>
              <w:t xml:space="preserve">. </w:t>
            </w:r>
          </w:p>
        </w:tc>
      </w:tr>
      <w:tr w:rsidR="00202779" w:rsidRPr="00202779" w14:paraId="6CC94608" w14:textId="77777777" w:rsidTr="22EED720">
        <w:trPr>
          <w:trHeight w:val="432"/>
        </w:trPr>
        <w:tc>
          <w:tcPr>
            <w:tcW w:w="5040" w:type="dxa"/>
            <w:hideMark/>
          </w:tcPr>
          <w:p w14:paraId="64A3BC12" w14:textId="631E7766" w:rsidR="001375F0" w:rsidRPr="00202779" w:rsidRDefault="001375F0" w:rsidP="00196E3A">
            <w:pPr>
              <w:rPr>
                <w:rFonts w:ascii="Arial" w:eastAsia="Times New Roman" w:hAnsi="Arial" w:cs="Arial"/>
                <w:sz w:val="16"/>
                <w:szCs w:val="16"/>
              </w:rPr>
            </w:pPr>
            <w:r w:rsidRPr="00202779">
              <w:rPr>
                <w:rFonts w:ascii="Arial" w:eastAsia="Times New Roman" w:hAnsi="Arial" w:cs="Arial"/>
                <w:b/>
                <w:bCs/>
                <w:sz w:val="16"/>
                <w:szCs w:val="16"/>
              </w:rPr>
              <w:t>Bias due to missing data:</w:t>
            </w:r>
            <w:r w:rsidRPr="00202779">
              <w:rPr>
                <w:rFonts w:ascii="Arial" w:eastAsia="Times New Roman" w:hAnsi="Arial" w:cs="Arial"/>
                <w:sz w:val="16"/>
                <w:szCs w:val="16"/>
              </w:rPr>
              <w:t xml:space="preserve">  </w:t>
            </w:r>
            <w:r w:rsidRPr="00202779">
              <w:rPr>
                <w:rFonts w:ascii="Arial" w:eastAsia="Times New Roman" w:hAnsi="Arial" w:cs="Arial"/>
                <w:sz w:val="16"/>
                <w:szCs w:val="16"/>
              </w:rPr>
              <w:b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r w:rsidR="00360A9E" w:rsidRPr="00202779">
              <w:rPr>
                <w:rFonts w:ascii="Arial" w:eastAsia="Times New Roman" w:hAnsi="Arial" w:cs="Arial"/>
                <w:sz w:val="16"/>
                <w:szCs w:val="16"/>
              </w:rPr>
              <w:t>.</w:t>
            </w:r>
          </w:p>
        </w:tc>
        <w:tc>
          <w:tcPr>
            <w:tcW w:w="4315" w:type="dxa"/>
            <w:hideMark/>
          </w:tcPr>
          <w:p w14:paraId="7872F260" w14:textId="22D76B62" w:rsidR="001375F0" w:rsidRPr="00202779" w:rsidRDefault="001375F0" w:rsidP="00FD36A2">
            <w:pPr>
              <w:rPr>
                <w:rFonts w:ascii="Arial" w:eastAsia="Times New Roman" w:hAnsi="Arial" w:cs="Arial"/>
                <w:sz w:val="16"/>
                <w:szCs w:val="16"/>
              </w:rPr>
            </w:pPr>
            <w:r w:rsidRPr="00202779">
              <w:rPr>
                <w:rFonts w:ascii="Arial" w:hAnsi="Arial" w:cs="Arial"/>
                <w:sz w:val="16"/>
                <w:szCs w:val="16"/>
              </w:rPr>
              <w:t xml:space="preserve">Low Risk. Delirium data were collected for 3 days postop or until discharge, whichever was first. </w:t>
            </w:r>
            <w:r w:rsidR="00360A9E" w:rsidRPr="00202779">
              <w:rPr>
                <w:rFonts w:ascii="Arial" w:hAnsi="Arial" w:cs="Arial"/>
                <w:sz w:val="16"/>
                <w:szCs w:val="16"/>
              </w:rPr>
              <w:t>Delirium was assessed with</w:t>
            </w:r>
            <w:r w:rsidRPr="00202779">
              <w:rPr>
                <w:rFonts w:ascii="Arial" w:hAnsi="Arial" w:cs="Arial"/>
                <w:sz w:val="16"/>
                <w:szCs w:val="16"/>
              </w:rPr>
              <w:t xml:space="preserve"> a validated tool and no problematic intermediate steps. </w:t>
            </w:r>
          </w:p>
        </w:tc>
      </w:tr>
      <w:tr w:rsidR="00202779" w:rsidRPr="00202779" w14:paraId="7DB2F8E5" w14:textId="77777777" w:rsidTr="22EED720">
        <w:trPr>
          <w:trHeight w:val="432"/>
        </w:trPr>
        <w:tc>
          <w:tcPr>
            <w:tcW w:w="5040" w:type="dxa"/>
            <w:hideMark/>
          </w:tcPr>
          <w:p w14:paraId="0090962C"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45DDD3CD" w14:textId="77777777" w:rsidR="001375F0" w:rsidRPr="00202779" w:rsidRDefault="001375F0" w:rsidP="002546C6">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r w:rsidR="00196E3A" w:rsidRPr="00202779">
              <w:rPr>
                <w:rFonts w:ascii="Arial" w:eastAsia="Times New Roman" w:hAnsi="Arial" w:cs="Arial"/>
                <w:sz w:val="16"/>
                <w:szCs w:val="16"/>
              </w:rPr>
              <w:t>.</w:t>
            </w:r>
          </w:p>
        </w:tc>
        <w:tc>
          <w:tcPr>
            <w:tcW w:w="4315" w:type="dxa"/>
            <w:hideMark/>
          </w:tcPr>
          <w:p w14:paraId="6A1333B1"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 xml:space="preserve">Low Risk. This study used the CAM-ICU for delirium measurement, and there were no problematic intermediate steps for delirium screening and reporting. </w:t>
            </w:r>
          </w:p>
        </w:tc>
      </w:tr>
      <w:tr w:rsidR="00202779" w:rsidRPr="00202779" w14:paraId="22104B6F" w14:textId="77777777" w:rsidTr="22EED720">
        <w:trPr>
          <w:trHeight w:val="432"/>
        </w:trPr>
        <w:tc>
          <w:tcPr>
            <w:tcW w:w="5040" w:type="dxa"/>
            <w:hideMark/>
          </w:tcPr>
          <w:p w14:paraId="56036319" w14:textId="77777777" w:rsidR="001375F0" w:rsidRPr="00202779" w:rsidRDefault="001375F0" w:rsidP="002546C6">
            <w:pPr>
              <w:rPr>
                <w:rFonts w:ascii="Arial" w:eastAsia="Times New Roman" w:hAnsi="Arial" w:cs="Arial"/>
                <w:sz w:val="16"/>
                <w:szCs w:val="16"/>
              </w:rPr>
            </w:pPr>
            <w:r w:rsidRPr="00202779">
              <w:rPr>
                <w:rFonts w:ascii="Arial" w:eastAsia="Times New Roman" w:hAnsi="Arial" w:cs="Arial"/>
                <w:b/>
                <w:bCs/>
                <w:sz w:val="16"/>
                <w:szCs w:val="16"/>
              </w:rPr>
              <w:t xml:space="preserve">Bias in selection of the reported result: </w:t>
            </w:r>
            <w:r w:rsidRPr="00202779">
              <w:rPr>
                <w:rFonts w:ascii="Arial" w:eastAsia="Times New Roman" w:hAnsi="Arial" w:cs="Arial"/>
                <w:sz w:val="16"/>
                <w:szCs w:val="16"/>
              </w:rPr>
              <w:t xml:space="preserve">                    </w:t>
            </w:r>
          </w:p>
          <w:p w14:paraId="5AFDA44D" w14:textId="3D3F5496" w:rsidR="001375F0" w:rsidRPr="00202779" w:rsidRDefault="001375F0" w:rsidP="002546C6">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w:t>
            </w:r>
            <w:r w:rsidR="00360A9E" w:rsidRPr="00202779">
              <w:rPr>
                <w:rFonts w:ascii="Arial" w:eastAsia="Times New Roman" w:hAnsi="Arial" w:cs="Arial"/>
                <w:sz w:val="16"/>
                <w:szCs w:val="16"/>
              </w:rPr>
              <w:t xml:space="preserve"> </w:t>
            </w:r>
            <w:r w:rsidRPr="00202779">
              <w:rPr>
                <w:rFonts w:ascii="Arial" w:eastAsia="Times New Roman" w:hAnsi="Arial" w:cs="Arial"/>
                <w:sz w:val="16"/>
                <w:szCs w:val="16"/>
              </w:rPr>
              <w:t>synthesis)</w:t>
            </w:r>
            <w:r w:rsidR="00360A9E" w:rsidRPr="00202779">
              <w:rPr>
                <w:rFonts w:ascii="Arial" w:eastAsia="Times New Roman" w:hAnsi="Arial" w:cs="Arial"/>
                <w:sz w:val="16"/>
                <w:szCs w:val="16"/>
              </w:rPr>
              <w:t>.</w:t>
            </w:r>
          </w:p>
        </w:tc>
        <w:tc>
          <w:tcPr>
            <w:tcW w:w="4315" w:type="dxa"/>
            <w:hideMark/>
          </w:tcPr>
          <w:p w14:paraId="4F94FF3B" w14:textId="77777777" w:rsidR="001375F0" w:rsidRPr="00202779" w:rsidRDefault="001375F0" w:rsidP="002546C6">
            <w:pPr>
              <w:rPr>
                <w:rFonts w:ascii="Arial" w:eastAsia="Times New Roman" w:hAnsi="Arial" w:cs="Arial"/>
                <w:sz w:val="16"/>
                <w:szCs w:val="16"/>
              </w:rPr>
            </w:pPr>
            <w:r w:rsidRPr="00202779">
              <w:rPr>
                <w:rFonts w:ascii="Arial" w:hAnsi="Arial" w:cs="Arial"/>
                <w:sz w:val="16"/>
                <w:szCs w:val="16"/>
              </w:rPr>
              <w:t>Low Risk. There is no evidence of selective reporting.</w:t>
            </w:r>
          </w:p>
        </w:tc>
      </w:tr>
      <w:tr w:rsidR="00202779" w:rsidRPr="00202779" w14:paraId="7ADA990A" w14:textId="77777777" w:rsidTr="22EED720">
        <w:trPr>
          <w:trHeight w:val="432"/>
        </w:trPr>
        <w:tc>
          <w:tcPr>
            <w:tcW w:w="5040" w:type="dxa"/>
            <w:hideMark/>
          </w:tcPr>
          <w:p w14:paraId="662AA25C"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 xml:space="preserve">Overall </w:t>
            </w:r>
            <w:r w:rsidR="00360A9E" w:rsidRPr="00202779">
              <w:rPr>
                <w:rFonts w:ascii="Arial" w:eastAsia="Times New Roman" w:hAnsi="Arial" w:cs="Arial"/>
                <w:b/>
                <w:bCs/>
                <w:sz w:val="16"/>
                <w:szCs w:val="16"/>
              </w:rPr>
              <w:t>risk of bias judgement</w:t>
            </w:r>
          </w:p>
        </w:tc>
        <w:tc>
          <w:tcPr>
            <w:tcW w:w="4315" w:type="dxa"/>
            <w:hideMark/>
          </w:tcPr>
          <w:p w14:paraId="0CA396BD" w14:textId="116553F2" w:rsidR="001375F0" w:rsidRPr="00202779" w:rsidRDefault="128B4C90" w:rsidP="00196E3A">
            <w:pPr>
              <w:rPr>
                <w:rFonts w:ascii="Arial" w:eastAsia="Times New Roman" w:hAnsi="Arial" w:cs="Arial"/>
                <w:sz w:val="16"/>
                <w:szCs w:val="16"/>
              </w:rPr>
            </w:pPr>
            <w:r w:rsidRPr="00202779">
              <w:rPr>
                <w:rFonts w:ascii="Arial" w:hAnsi="Arial" w:cs="Arial"/>
                <w:sz w:val="16"/>
                <w:szCs w:val="16"/>
              </w:rPr>
              <w:t>Moderate</w:t>
            </w:r>
            <w:r w:rsidR="001375F0" w:rsidRPr="00202779">
              <w:rPr>
                <w:rFonts w:ascii="Arial" w:hAnsi="Arial" w:cs="Arial"/>
                <w:sz w:val="16"/>
                <w:szCs w:val="16"/>
              </w:rPr>
              <w:t xml:space="preserve"> Risk. All domains were rated as </w:t>
            </w:r>
            <w:r w:rsidR="00360A9E" w:rsidRPr="00202779">
              <w:rPr>
                <w:rFonts w:ascii="Arial" w:hAnsi="Arial" w:cs="Arial"/>
                <w:sz w:val="16"/>
                <w:szCs w:val="16"/>
              </w:rPr>
              <w:t xml:space="preserve">either </w:t>
            </w:r>
            <w:r w:rsidR="001375F0" w:rsidRPr="00202779">
              <w:rPr>
                <w:rFonts w:ascii="Arial" w:hAnsi="Arial" w:cs="Arial"/>
                <w:sz w:val="16"/>
                <w:szCs w:val="16"/>
              </w:rPr>
              <w:t>Low or Moderate in risk.</w:t>
            </w:r>
          </w:p>
        </w:tc>
      </w:tr>
    </w:tbl>
    <w:p w14:paraId="2F2E004E" w14:textId="77777777" w:rsidR="001375F0" w:rsidRPr="00202779" w:rsidRDefault="001375F0" w:rsidP="001375F0"/>
    <w:p w14:paraId="12CE8AED" w14:textId="77777777" w:rsidR="00836681" w:rsidRPr="00202779" w:rsidRDefault="00836681">
      <w:r w:rsidRPr="00202779">
        <w:br w:type="page"/>
      </w:r>
    </w:p>
    <w:p w14:paraId="18B470BB" w14:textId="77777777" w:rsidR="001375F0" w:rsidRPr="00202779" w:rsidRDefault="001375F0" w:rsidP="001375F0"/>
    <w:tbl>
      <w:tblPr>
        <w:tblStyle w:val="TableGrid1"/>
        <w:tblW w:w="0" w:type="auto"/>
        <w:tblInd w:w="-5" w:type="dxa"/>
        <w:tblLook w:val="04A0" w:firstRow="1" w:lastRow="0" w:firstColumn="1" w:lastColumn="0" w:noHBand="0" w:noVBand="1"/>
      </w:tblPr>
      <w:tblGrid>
        <w:gridCol w:w="5040"/>
        <w:gridCol w:w="4315"/>
      </w:tblGrid>
      <w:tr w:rsidR="00202779" w:rsidRPr="00202779" w14:paraId="303B3882" w14:textId="77777777" w:rsidTr="4D0247A3">
        <w:trPr>
          <w:trHeight w:val="432"/>
        </w:trPr>
        <w:tc>
          <w:tcPr>
            <w:tcW w:w="0" w:type="auto"/>
            <w:gridSpan w:val="2"/>
            <w:hideMark/>
          </w:tcPr>
          <w:p w14:paraId="5D55661C" w14:textId="77777777" w:rsidR="00FD36A2" w:rsidRPr="00202779" w:rsidRDefault="00FD36A2" w:rsidP="002546C6">
            <w:pPr>
              <w:jc w:val="center"/>
              <w:rPr>
                <w:rFonts w:ascii="Arial" w:eastAsia="Times New Roman" w:hAnsi="Arial" w:cs="Arial"/>
                <w:b/>
                <w:bCs/>
                <w:sz w:val="16"/>
                <w:szCs w:val="16"/>
              </w:rPr>
            </w:pPr>
            <w:r w:rsidRPr="00202779">
              <w:rPr>
                <w:rFonts w:ascii="Arial" w:hAnsi="Arial" w:cs="Arial"/>
                <w:b/>
                <w:bCs/>
                <w:sz w:val="16"/>
                <w:szCs w:val="16"/>
              </w:rPr>
              <w:t>Leung et al., 2011</w:t>
            </w:r>
          </w:p>
        </w:tc>
      </w:tr>
      <w:tr w:rsidR="00202779" w:rsidRPr="00202779" w14:paraId="4673982F" w14:textId="77777777" w:rsidTr="4D0247A3">
        <w:trPr>
          <w:trHeight w:val="432"/>
        </w:trPr>
        <w:tc>
          <w:tcPr>
            <w:tcW w:w="5040" w:type="dxa"/>
            <w:hideMark/>
          </w:tcPr>
          <w:p w14:paraId="6AF3A220"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15" w:type="dxa"/>
            <w:hideMark/>
          </w:tcPr>
          <w:p w14:paraId="1F9F89BB"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5E3C285A" w14:textId="77777777" w:rsidTr="4D0247A3">
        <w:trPr>
          <w:trHeight w:val="432"/>
        </w:trPr>
        <w:tc>
          <w:tcPr>
            <w:tcW w:w="5040" w:type="dxa"/>
            <w:hideMark/>
          </w:tcPr>
          <w:p w14:paraId="5BA22754"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76CB9CB3"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 received at baseline.</w:t>
            </w:r>
          </w:p>
        </w:tc>
        <w:tc>
          <w:tcPr>
            <w:tcW w:w="4315" w:type="dxa"/>
            <w:hideMark/>
          </w:tcPr>
          <w:p w14:paraId="7C478166" w14:textId="7118937E" w:rsidR="00196E3A" w:rsidRPr="00202779" w:rsidRDefault="00196E3A" w:rsidP="4D0247A3">
            <w:pPr>
              <w:rPr>
                <w:rFonts w:ascii="Arial" w:hAnsi="Arial" w:cs="Arial"/>
                <w:sz w:val="16"/>
                <w:szCs w:val="16"/>
              </w:rPr>
            </w:pPr>
            <w:r w:rsidRPr="00202779">
              <w:rPr>
                <w:rFonts w:ascii="Arial" w:hAnsi="Arial" w:cs="Arial"/>
                <w:sz w:val="16"/>
                <w:szCs w:val="16"/>
              </w:rPr>
              <w:t xml:space="preserve">Low risk: Though no confounders were reported for frailty groups, </w:t>
            </w:r>
            <w:proofErr w:type="spellStart"/>
            <w:r w:rsidR="43B52D50" w:rsidRPr="00202779">
              <w:rPr>
                <w:rFonts w:ascii="Arial" w:hAnsi="Arial" w:cs="Arial"/>
                <w:sz w:val="16"/>
                <w:szCs w:val="16"/>
              </w:rPr>
              <w:t>impoortant</w:t>
            </w:r>
            <w:proofErr w:type="spellEnd"/>
            <w:r w:rsidR="43B52D50" w:rsidRPr="00202779">
              <w:rPr>
                <w:rFonts w:ascii="Arial" w:hAnsi="Arial" w:cs="Arial"/>
                <w:sz w:val="16"/>
                <w:szCs w:val="16"/>
              </w:rPr>
              <w:t xml:space="preserve"> </w:t>
            </w:r>
            <w:r w:rsidRPr="00202779">
              <w:rPr>
                <w:rFonts w:ascii="Arial" w:hAnsi="Arial" w:cs="Arial"/>
                <w:sz w:val="16"/>
                <w:szCs w:val="16"/>
              </w:rPr>
              <w:t xml:space="preserve">confounders </w:t>
            </w:r>
            <w:r w:rsidR="6462BAB7" w:rsidRPr="00202779">
              <w:rPr>
                <w:rFonts w:ascii="Arial" w:hAnsi="Arial" w:cs="Arial"/>
                <w:sz w:val="16"/>
                <w:szCs w:val="16"/>
              </w:rPr>
              <w:t xml:space="preserve">such as age and TICS </w:t>
            </w:r>
            <w:r w:rsidRPr="00202779">
              <w:rPr>
                <w:rFonts w:ascii="Arial" w:hAnsi="Arial" w:cs="Arial"/>
                <w:sz w:val="16"/>
                <w:szCs w:val="16"/>
              </w:rPr>
              <w:t>were adjusted for in final analysis.</w:t>
            </w:r>
          </w:p>
        </w:tc>
      </w:tr>
      <w:tr w:rsidR="00202779" w:rsidRPr="00202779" w14:paraId="18F7F71E" w14:textId="77777777" w:rsidTr="4D0247A3">
        <w:trPr>
          <w:trHeight w:val="432"/>
        </w:trPr>
        <w:tc>
          <w:tcPr>
            <w:tcW w:w="5040" w:type="dxa"/>
            <w:hideMark/>
          </w:tcPr>
          <w:p w14:paraId="44E5001A" w14:textId="09268814"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in selection of participants into the study:</w:t>
            </w:r>
          </w:p>
          <w:p w14:paraId="2041C581" w14:textId="263F192B"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p>
        </w:tc>
        <w:tc>
          <w:tcPr>
            <w:tcW w:w="4315" w:type="dxa"/>
            <w:hideMark/>
          </w:tcPr>
          <w:p w14:paraId="1642BA76" w14:textId="77777777" w:rsidR="00196E3A" w:rsidRPr="00202779" w:rsidRDefault="00196E3A" w:rsidP="00196E3A">
            <w:pPr>
              <w:rPr>
                <w:rFonts w:ascii="Arial" w:hAnsi="Arial" w:cs="Arial"/>
                <w:sz w:val="16"/>
                <w:szCs w:val="16"/>
              </w:rPr>
            </w:pPr>
            <w:r w:rsidRPr="00202779">
              <w:rPr>
                <w:rFonts w:ascii="Arial" w:hAnsi="Arial" w:cs="Arial"/>
                <w:sz w:val="16"/>
                <w:szCs w:val="16"/>
              </w:rPr>
              <w:t>Moderate Risk. Patients from this study were selected from a much larger study, and only 63 patients from the parent study were included</w:t>
            </w:r>
            <w:r w:rsidR="00FD36A2" w:rsidRPr="00202779">
              <w:rPr>
                <w:rFonts w:ascii="Arial" w:hAnsi="Arial" w:cs="Arial"/>
                <w:sz w:val="16"/>
                <w:szCs w:val="16"/>
              </w:rPr>
              <w:t>.</w:t>
            </w:r>
          </w:p>
        </w:tc>
      </w:tr>
      <w:tr w:rsidR="00202779" w:rsidRPr="00202779" w14:paraId="32571303" w14:textId="77777777" w:rsidTr="4D0247A3">
        <w:trPr>
          <w:trHeight w:val="432"/>
        </w:trPr>
        <w:tc>
          <w:tcPr>
            <w:tcW w:w="5040" w:type="dxa"/>
            <w:hideMark/>
          </w:tcPr>
          <w:p w14:paraId="7BD000DA"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75BDABEB" w14:textId="5DB55F69"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 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p>
        </w:tc>
        <w:tc>
          <w:tcPr>
            <w:tcW w:w="4315" w:type="dxa"/>
            <w:hideMark/>
          </w:tcPr>
          <w:p w14:paraId="087958FA" w14:textId="121A225A" w:rsidR="00196E3A" w:rsidRPr="00202779" w:rsidRDefault="00196E3A" w:rsidP="00196E3A">
            <w:pPr>
              <w:rPr>
                <w:rFonts w:ascii="Arial" w:hAnsi="Arial" w:cs="Arial"/>
                <w:sz w:val="16"/>
                <w:szCs w:val="16"/>
              </w:rPr>
            </w:pPr>
            <w:r w:rsidRPr="00202779">
              <w:rPr>
                <w:rFonts w:ascii="Arial" w:hAnsi="Arial" w:cs="Arial"/>
                <w:sz w:val="16"/>
                <w:szCs w:val="16"/>
              </w:rPr>
              <w:t xml:space="preserve">Low Risk. The </w:t>
            </w:r>
            <w:r w:rsidR="00FD36A2" w:rsidRPr="00202779">
              <w:rPr>
                <w:rFonts w:ascii="Arial" w:hAnsi="Arial" w:cs="Arial"/>
                <w:sz w:val="16"/>
                <w:szCs w:val="16"/>
              </w:rPr>
              <w:t>F</w:t>
            </w:r>
            <w:r w:rsidRPr="00202779">
              <w:rPr>
                <w:rFonts w:ascii="Arial" w:hAnsi="Arial" w:cs="Arial"/>
                <w:sz w:val="16"/>
                <w:szCs w:val="16"/>
              </w:rPr>
              <w:t xml:space="preserve">ried criteria were properly applied in the differentiation of patients as frail versus </w:t>
            </w:r>
            <w:proofErr w:type="spellStart"/>
            <w:r w:rsidRPr="00202779">
              <w:rPr>
                <w:rFonts w:ascii="Arial" w:hAnsi="Arial" w:cs="Arial"/>
                <w:sz w:val="16"/>
                <w:szCs w:val="16"/>
              </w:rPr>
              <w:t>nonfrail</w:t>
            </w:r>
            <w:proofErr w:type="spellEnd"/>
            <w:r w:rsidRPr="00202779">
              <w:rPr>
                <w:rFonts w:ascii="Arial" w:hAnsi="Arial" w:cs="Arial"/>
                <w:sz w:val="16"/>
                <w:szCs w:val="16"/>
              </w:rPr>
              <w:t>.</w:t>
            </w:r>
          </w:p>
        </w:tc>
      </w:tr>
      <w:tr w:rsidR="00202779" w:rsidRPr="00202779" w14:paraId="0F984379" w14:textId="77777777" w:rsidTr="4D0247A3">
        <w:trPr>
          <w:trHeight w:val="432"/>
        </w:trPr>
        <w:tc>
          <w:tcPr>
            <w:tcW w:w="5040" w:type="dxa"/>
            <w:hideMark/>
          </w:tcPr>
          <w:p w14:paraId="518129AA"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deviations from intended interventions:</w:t>
            </w:r>
          </w:p>
          <w:p w14:paraId="632834D9" w14:textId="3929EB11"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 and adhering to intervention).</w:t>
            </w:r>
          </w:p>
        </w:tc>
        <w:tc>
          <w:tcPr>
            <w:tcW w:w="4315" w:type="dxa"/>
            <w:hideMark/>
          </w:tcPr>
          <w:p w14:paraId="18805DB9"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Low Risk. </w:t>
            </w:r>
            <w:r w:rsidRPr="00202779">
              <w:rPr>
                <w:rFonts w:ascii="Arial" w:eastAsia="Arial" w:hAnsi="Arial" w:cs="Arial"/>
                <w:sz w:val="16"/>
                <w:szCs w:val="16"/>
              </w:rPr>
              <w:t xml:space="preserve">There were no systematic processes affecting the designation of frailty versus </w:t>
            </w:r>
            <w:proofErr w:type="spellStart"/>
            <w:r w:rsidRPr="00202779">
              <w:rPr>
                <w:rFonts w:ascii="Arial" w:eastAsia="Arial" w:hAnsi="Arial" w:cs="Arial"/>
                <w:sz w:val="16"/>
                <w:szCs w:val="16"/>
              </w:rPr>
              <w:t>nonfrailty</w:t>
            </w:r>
            <w:proofErr w:type="spellEnd"/>
            <w:r w:rsidRPr="00202779">
              <w:rPr>
                <w:rFonts w:ascii="Arial" w:eastAsia="Arial" w:hAnsi="Arial" w:cs="Arial"/>
                <w:sz w:val="16"/>
                <w:szCs w:val="16"/>
              </w:rPr>
              <w:t>.</w:t>
            </w:r>
            <w:r w:rsidRPr="00202779">
              <w:rPr>
                <w:rFonts w:ascii="Arial" w:eastAsia="Arial" w:hAnsi="Arial" w:cs="Arial"/>
                <w:sz w:val="16"/>
                <w:szCs w:val="16"/>
                <w:u w:val="single"/>
              </w:rPr>
              <w:t xml:space="preserve"> </w:t>
            </w:r>
          </w:p>
        </w:tc>
      </w:tr>
      <w:tr w:rsidR="00202779" w:rsidRPr="00202779" w14:paraId="522C5777" w14:textId="77777777" w:rsidTr="4D0247A3">
        <w:trPr>
          <w:trHeight w:val="432"/>
        </w:trPr>
        <w:tc>
          <w:tcPr>
            <w:tcW w:w="5040" w:type="dxa"/>
            <w:hideMark/>
          </w:tcPr>
          <w:p w14:paraId="5F613473" w14:textId="182BC1DF"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due to missing data:</w:t>
            </w:r>
          </w:p>
          <w:p w14:paraId="2F260229" w14:textId="61B9418E"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p>
        </w:tc>
        <w:tc>
          <w:tcPr>
            <w:tcW w:w="4315" w:type="dxa"/>
            <w:hideMark/>
          </w:tcPr>
          <w:p w14:paraId="602DA553"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The data are complete for frailty and delirium.</w:t>
            </w:r>
          </w:p>
        </w:tc>
      </w:tr>
      <w:tr w:rsidR="00202779" w:rsidRPr="00202779" w14:paraId="07AC5A4A" w14:textId="77777777" w:rsidTr="4D0247A3">
        <w:trPr>
          <w:trHeight w:val="432"/>
        </w:trPr>
        <w:tc>
          <w:tcPr>
            <w:tcW w:w="5040" w:type="dxa"/>
            <w:hideMark/>
          </w:tcPr>
          <w:p w14:paraId="0A2442CE"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2C2392C2"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p>
        </w:tc>
        <w:tc>
          <w:tcPr>
            <w:tcW w:w="4315" w:type="dxa"/>
            <w:hideMark/>
          </w:tcPr>
          <w:p w14:paraId="6BC1DF9C"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Low Risk. "A trained research assistant conducted structured interviews preoperatively and on the first two postoperative days to determine the presence of delirium, defined using the Confusion Assessment Method. All cases were validated by a second investigator." </w:t>
            </w:r>
          </w:p>
        </w:tc>
      </w:tr>
      <w:tr w:rsidR="00202779" w:rsidRPr="00202779" w14:paraId="03992282" w14:textId="77777777" w:rsidTr="4D0247A3">
        <w:trPr>
          <w:trHeight w:val="432"/>
        </w:trPr>
        <w:tc>
          <w:tcPr>
            <w:tcW w:w="5040" w:type="dxa"/>
            <w:hideMark/>
          </w:tcPr>
          <w:p w14:paraId="7A106AAC"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selection of the reported result:</w:t>
            </w:r>
          </w:p>
          <w:p w14:paraId="62D9459D" w14:textId="1B14D19C"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 synthesis).</w:t>
            </w:r>
          </w:p>
        </w:tc>
        <w:tc>
          <w:tcPr>
            <w:tcW w:w="4315" w:type="dxa"/>
            <w:hideMark/>
          </w:tcPr>
          <w:p w14:paraId="5F275949" w14:textId="6E814FA2" w:rsidR="00196E3A" w:rsidRPr="00202779" w:rsidRDefault="00196E3A" w:rsidP="00196E3A">
            <w:pPr>
              <w:rPr>
                <w:rFonts w:ascii="Arial" w:hAnsi="Arial" w:cs="Arial"/>
                <w:sz w:val="16"/>
                <w:szCs w:val="16"/>
              </w:rPr>
            </w:pPr>
            <w:r w:rsidRPr="00202779">
              <w:rPr>
                <w:rFonts w:ascii="Arial" w:hAnsi="Arial" w:cs="Arial"/>
                <w:sz w:val="16"/>
                <w:szCs w:val="16"/>
              </w:rPr>
              <w:t xml:space="preserve">Low Risk: </w:t>
            </w:r>
            <w:r w:rsidR="00FD36A2" w:rsidRPr="00202779">
              <w:rPr>
                <w:rFonts w:ascii="Arial" w:hAnsi="Arial" w:cs="Arial"/>
                <w:sz w:val="16"/>
                <w:szCs w:val="16"/>
              </w:rPr>
              <w:t>D</w:t>
            </w:r>
            <w:r w:rsidRPr="00202779">
              <w:rPr>
                <w:rFonts w:ascii="Arial" w:hAnsi="Arial" w:cs="Arial"/>
                <w:sz w:val="16"/>
                <w:szCs w:val="16"/>
              </w:rPr>
              <w:t xml:space="preserve">ata </w:t>
            </w:r>
            <w:r w:rsidR="00FD36A2" w:rsidRPr="00202779">
              <w:rPr>
                <w:rFonts w:ascii="Arial" w:hAnsi="Arial" w:cs="Arial"/>
                <w:sz w:val="16"/>
                <w:szCs w:val="16"/>
              </w:rPr>
              <w:t xml:space="preserve">were </w:t>
            </w:r>
            <w:r w:rsidRPr="00202779">
              <w:rPr>
                <w:rFonts w:ascii="Arial" w:hAnsi="Arial" w:cs="Arial"/>
                <w:sz w:val="16"/>
                <w:szCs w:val="16"/>
              </w:rPr>
              <w:t xml:space="preserve">reported </w:t>
            </w:r>
            <w:r w:rsidR="00FD36A2" w:rsidRPr="00202779">
              <w:rPr>
                <w:rFonts w:ascii="Arial" w:hAnsi="Arial" w:cs="Arial"/>
                <w:sz w:val="16"/>
                <w:szCs w:val="16"/>
              </w:rPr>
              <w:t xml:space="preserve">for </w:t>
            </w:r>
            <w:r w:rsidRPr="00202779">
              <w:rPr>
                <w:rFonts w:ascii="Arial" w:hAnsi="Arial" w:cs="Arial"/>
                <w:sz w:val="16"/>
                <w:szCs w:val="16"/>
              </w:rPr>
              <w:t>all 63 patients.</w:t>
            </w:r>
          </w:p>
        </w:tc>
      </w:tr>
      <w:tr w:rsidR="00202779" w:rsidRPr="00202779" w14:paraId="3C03E0EA" w14:textId="77777777" w:rsidTr="4D0247A3">
        <w:trPr>
          <w:trHeight w:val="432"/>
        </w:trPr>
        <w:tc>
          <w:tcPr>
            <w:tcW w:w="5040" w:type="dxa"/>
            <w:hideMark/>
          </w:tcPr>
          <w:p w14:paraId="24CD98AA" w14:textId="0AF63861"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Overall risk of bias judgement</w:t>
            </w:r>
          </w:p>
        </w:tc>
        <w:tc>
          <w:tcPr>
            <w:tcW w:w="4315" w:type="dxa"/>
            <w:hideMark/>
          </w:tcPr>
          <w:p w14:paraId="7E667783" w14:textId="77777777" w:rsidR="00196E3A" w:rsidRPr="00202779" w:rsidRDefault="00196E3A" w:rsidP="00196E3A">
            <w:pPr>
              <w:rPr>
                <w:rFonts w:ascii="Arial" w:hAnsi="Arial" w:cs="Arial"/>
                <w:sz w:val="16"/>
                <w:szCs w:val="16"/>
              </w:rPr>
            </w:pPr>
            <w:r w:rsidRPr="00202779">
              <w:rPr>
                <w:rFonts w:ascii="Arial" w:hAnsi="Arial" w:cs="Arial"/>
                <w:sz w:val="16"/>
                <w:szCs w:val="16"/>
              </w:rPr>
              <w:t xml:space="preserve">Moderate Risk. Due to bias in </w:t>
            </w:r>
            <w:r w:rsidR="00FD36A2" w:rsidRPr="00202779">
              <w:rPr>
                <w:rFonts w:ascii="Arial" w:hAnsi="Arial" w:cs="Arial"/>
                <w:sz w:val="16"/>
                <w:szCs w:val="16"/>
              </w:rPr>
              <w:t>selection of the reported result</w:t>
            </w:r>
            <w:r w:rsidRPr="00202779">
              <w:rPr>
                <w:rFonts w:ascii="Arial" w:hAnsi="Arial" w:cs="Arial"/>
                <w:sz w:val="16"/>
                <w:szCs w:val="16"/>
              </w:rPr>
              <w:t xml:space="preserve">. </w:t>
            </w:r>
          </w:p>
        </w:tc>
      </w:tr>
    </w:tbl>
    <w:p w14:paraId="7BD84274" w14:textId="77777777" w:rsidR="001375F0" w:rsidRPr="00202779" w:rsidRDefault="001375F0" w:rsidP="001375F0"/>
    <w:p w14:paraId="327A46FD" w14:textId="77777777" w:rsidR="00196E3A" w:rsidRPr="00202779" w:rsidRDefault="00196E3A">
      <w:r w:rsidRPr="00202779">
        <w:br w:type="page"/>
      </w:r>
    </w:p>
    <w:p w14:paraId="180232A7" w14:textId="77777777" w:rsidR="001375F0" w:rsidRPr="00202779" w:rsidRDefault="001375F0" w:rsidP="001375F0"/>
    <w:tbl>
      <w:tblPr>
        <w:tblStyle w:val="TableGrid1"/>
        <w:tblW w:w="0" w:type="auto"/>
        <w:tblInd w:w="-5" w:type="dxa"/>
        <w:tblLook w:val="04A0" w:firstRow="1" w:lastRow="0" w:firstColumn="1" w:lastColumn="0" w:noHBand="0" w:noVBand="1"/>
      </w:tblPr>
      <w:tblGrid>
        <w:gridCol w:w="5040"/>
        <w:gridCol w:w="4315"/>
      </w:tblGrid>
      <w:tr w:rsidR="00202779" w:rsidRPr="00202779" w14:paraId="57D55350" w14:textId="77777777" w:rsidTr="4D0247A3">
        <w:trPr>
          <w:trHeight w:val="432"/>
        </w:trPr>
        <w:tc>
          <w:tcPr>
            <w:tcW w:w="0" w:type="auto"/>
            <w:gridSpan w:val="2"/>
            <w:hideMark/>
          </w:tcPr>
          <w:p w14:paraId="275DE2DF" w14:textId="77777777" w:rsidR="00C20368" w:rsidRPr="00202779" w:rsidRDefault="00C20368" w:rsidP="002546C6">
            <w:pPr>
              <w:jc w:val="center"/>
              <w:rPr>
                <w:rFonts w:ascii="Arial" w:eastAsia="Times New Roman" w:hAnsi="Arial" w:cs="Arial"/>
                <w:b/>
                <w:bCs/>
                <w:sz w:val="16"/>
                <w:szCs w:val="16"/>
              </w:rPr>
            </w:pPr>
            <w:proofErr w:type="spellStart"/>
            <w:r w:rsidRPr="00202779">
              <w:rPr>
                <w:rFonts w:ascii="Arial" w:hAnsi="Arial" w:cs="Arial"/>
                <w:b/>
                <w:bCs/>
                <w:sz w:val="16"/>
                <w:szCs w:val="16"/>
              </w:rPr>
              <w:t>Mahanna-Gabrielli</w:t>
            </w:r>
            <w:proofErr w:type="spellEnd"/>
            <w:r w:rsidRPr="00202779">
              <w:rPr>
                <w:rFonts w:ascii="Arial" w:hAnsi="Arial" w:cs="Arial"/>
                <w:b/>
                <w:bCs/>
                <w:sz w:val="16"/>
                <w:szCs w:val="16"/>
              </w:rPr>
              <w:t xml:space="preserve"> et al., 2020</w:t>
            </w:r>
          </w:p>
        </w:tc>
      </w:tr>
      <w:tr w:rsidR="00202779" w:rsidRPr="00202779" w14:paraId="293826A2" w14:textId="77777777" w:rsidTr="4D0247A3">
        <w:trPr>
          <w:trHeight w:val="432"/>
        </w:trPr>
        <w:tc>
          <w:tcPr>
            <w:tcW w:w="5040" w:type="dxa"/>
            <w:hideMark/>
          </w:tcPr>
          <w:p w14:paraId="2DE9F6C9"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15" w:type="dxa"/>
            <w:hideMark/>
          </w:tcPr>
          <w:p w14:paraId="03AD44E1"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16483522" w14:textId="77777777" w:rsidTr="4D0247A3">
        <w:trPr>
          <w:trHeight w:val="432"/>
        </w:trPr>
        <w:tc>
          <w:tcPr>
            <w:tcW w:w="5040" w:type="dxa"/>
            <w:hideMark/>
          </w:tcPr>
          <w:p w14:paraId="6A2EE5D9"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24349D3C"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 received at baseline.</w:t>
            </w:r>
          </w:p>
        </w:tc>
        <w:tc>
          <w:tcPr>
            <w:tcW w:w="4315" w:type="dxa"/>
            <w:hideMark/>
          </w:tcPr>
          <w:p w14:paraId="1180D3C0" w14:textId="15FAAD91" w:rsidR="00196E3A" w:rsidRPr="00202779" w:rsidRDefault="00196E3A" w:rsidP="00196E3A">
            <w:pPr>
              <w:rPr>
                <w:rFonts w:ascii="Arial" w:hAnsi="Arial" w:cs="Arial"/>
                <w:sz w:val="16"/>
                <w:szCs w:val="16"/>
              </w:rPr>
            </w:pPr>
            <w:r w:rsidRPr="00202779">
              <w:rPr>
                <w:rFonts w:ascii="Arial" w:hAnsi="Arial" w:cs="Arial"/>
                <w:sz w:val="16"/>
                <w:szCs w:val="16"/>
              </w:rPr>
              <w:t xml:space="preserve">Low Risk: Analysis adjusted for </w:t>
            </w:r>
            <w:r w:rsidR="591AF3F7" w:rsidRPr="00202779">
              <w:rPr>
                <w:rFonts w:ascii="Arial" w:hAnsi="Arial" w:cs="Arial"/>
                <w:sz w:val="16"/>
                <w:szCs w:val="16"/>
              </w:rPr>
              <w:t>important</w:t>
            </w:r>
            <w:r w:rsidR="1DA23D6B" w:rsidRPr="00202779">
              <w:rPr>
                <w:rFonts w:ascii="Arial" w:hAnsi="Arial" w:cs="Arial"/>
                <w:sz w:val="16"/>
                <w:szCs w:val="16"/>
              </w:rPr>
              <w:t xml:space="preserve"> </w:t>
            </w:r>
            <w:proofErr w:type="spellStart"/>
            <w:proofErr w:type="gramStart"/>
            <w:r w:rsidRPr="00202779">
              <w:rPr>
                <w:rFonts w:ascii="Arial" w:hAnsi="Arial" w:cs="Arial"/>
                <w:sz w:val="16"/>
                <w:szCs w:val="16"/>
              </w:rPr>
              <w:t>confounders.</w:t>
            </w:r>
            <w:r w:rsidR="163BA6AD" w:rsidRPr="00202779">
              <w:rPr>
                <w:rFonts w:ascii="Arial" w:hAnsi="Arial" w:cs="Arial"/>
                <w:sz w:val="16"/>
                <w:szCs w:val="16"/>
              </w:rPr>
              <w:t>of</w:t>
            </w:r>
            <w:proofErr w:type="spellEnd"/>
            <w:proofErr w:type="gramEnd"/>
            <w:r w:rsidR="163BA6AD" w:rsidRPr="00202779">
              <w:rPr>
                <w:rFonts w:ascii="Arial" w:hAnsi="Arial" w:cs="Arial"/>
                <w:sz w:val="16"/>
                <w:szCs w:val="16"/>
              </w:rPr>
              <w:t xml:space="preserve"> age and baseline cognition</w:t>
            </w:r>
          </w:p>
        </w:tc>
      </w:tr>
      <w:tr w:rsidR="00202779" w:rsidRPr="00202779" w14:paraId="23B8AC13" w14:textId="77777777" w:rsidTr="4D0247A3">
        <w:trPr>
          <w:trHeight w:val="432"/>
        </w:trPr>
        <w:tc>
          <w:tcPr>
            <w:tcW w:w="5040" w:type="dxa"/>
            <w:hideMark/>
          </w:tcPr>
          <w:p w14:paraId="6B2B1EA8" w14:textId="2C200550"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in selection of participants into the study:</w:t>
            </w:r>
          </w:p>
          <w:p w14:paraId="704413E8" w14:textId="6378A92C"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p>
        </w:tc>
        <w:tc>
          <w:tcPr>
            <w:tcW w:w="4315" w:type="dxa"/>
            <w:hideMark/>
          </w:tcPr>
          <w:p w14:paraId="7EBC954D" w14:textId="26FEF865"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A broad variety of patients were included, with no potentially</w:t>
            </w:r>
            <w:r w:rsidR="00C20368" w:rsidRPr="00202779">
              <w:rPr>
                <w:rFonts w:ascii="Arial" w:hAnsi="Arial" w:cs="Arial"/>
                <w:sz w:val="16"/>
                <w:szCs w:val="16"/>
              </w:rPr>
              <w:t xml:space="preserve"> </w:t>
            </w:r>
            <w:r w:rsidRPr="00202779">
              <w:rPr>
                <w:rFonts w:ascii="Arial" w:hAnsi="Arial" w:cs="Arial"/>
                <w:sz w:val="16"/>
                <w:szCs w:val="16"/>
              </w:rPr>
              <w:t>biasing screening steps.</w:t>
            </w:r>
          </w:p>
        </w:tc>
      </w:tr>
      <w:tr w:rsidR="00202779" w:rsidRPr="00202779" w14:paraId="1DF351E3" w14:textId="77777777" w:rsidTr="4D0247A3">
        <w:trPr>
          <w:trHeight w:val="432"/>
        </w:trPr>
        <w:tc>
          <w:tcPr>
            <w:tcW w:w="5040" w:type="dxa"/>
            <w:hideMark/>
          </w:tcPr>
          <w:p w14:paraId="7EAE2D8A"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7B1602C3" w14:textId="1E8BF463"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 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p>
        </w:tc>
        <w:tc>
          <w:tcPr>
            <w:tcW w:w="4315" w:type="dxa"/>
            <w:hideMark/>
          </w:tcPr>
          <w:p w14:paraId="1674E7F5" w14:textId="77777777" w:rsidR="00196E3A" w:rsidRPr="00202779" w:rsidRDefault="00196E3A" w:rsidP="00196E3A">
            <w:pPr>
              <w:rPr>
                <w:rFonts w:ascii="Arial" w:hAnsi="Arial" w:cs="Arial"/>
                <w:sz w:val="16"/>
                <w:szCs w:val="16"/>
              </w:rPr>
            </w:pPr>
            <w:r w:rsidRPr="00202779">
              <w:rPr>
                <w:rFonts w:ascii="Arial" w:hAnsi="Arial" w:cs="Arial"/>
                <w:sz w:val="16"/>
                <w:szCs w:val="16"/>
              </w:rPr>
              <w:t>Low Risk. The FRAIL scale was properly and consistently applied.</w:t>
            </w:r>
          </w:p>
        </w:tc>
      </w:tr>
      <w:tr w:rsidR="00202779" w:rsidRPr="00202779" w14:paraId="28C685FE" w14:textId="77777777" w:rsidTr="4D0247A3">
        <w:trPr>
          <w:trHeight w:val="432"/>
        </w:trPr>
        <w:tc>
          <w:tcPr>
            <w:tcW w:w="5040" w:type="dxa"/>
            <w:hideMark/>
          </w:tcPr>
          <w:p w14:paraId="1A992791"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deviations from intended interventions:</w:t>
            </w:r>
          </w:p>
          <w:p w14:paraId="008F9EB3" w14:textId="6A71A08F"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 and adhering to intervention).</w:t>
            </w:r>
          </w:p>
        </w:tc>
        <w:tc>
          <w:tcPr>
            <w:tcW w:w="4315" w:type="dxa"/>
            <w:hideMark/>
          </w:tcPr>
          <w:p w14:paraId="0BD5EBDF" w14:textId="666AE06E"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Low Risk: There were no systematic processes affecting the designation of frailty versus </w:t>
            </w:r>
            <w:proofErr w:type="spellStart"/>
            <w:r w:rsidRPr="00202779">
              <w:rPr>
                <w:rFonts w:ascii="Arial" w:hAnsi="Arial" w:cs="Arial"/>
                <w:sz w:val="16"/>
                <w:szCs w:val="16"/>
              </w:rPr>
              <w:t>nonfrailty</w:t>
            </w:r>
            <w:proofErr w:type="spellEnd"/>
            <w:r w:rsidRPr="00202779">
              <w:rPr>
                <w:rFonts w:ascii="Arial" w:hAnsi="Arial" w:cs="Arial"/>
                <w:sz w:val="16"/>
                <w:szCs w:val="16"/>
              </w:rPr>
              <w:t>.</w:t>
            </w:r>
          </w:p>
        </w:tc>
      </w:tr>
      <w:tr w:rsidR="00202779" w:rsidRPr="00202779" w14:paraId="5D4EF910" w14:textId="77777777" w:rsidTr="4D0247A3">
        <w:trPr>
          <w:trHeight w:val="432"/>
        </w:trPr>
        <w:tc>
          <w:tcPr>
            <w:tcW w:w="5040" w:type="dxa"/>
            <w:hideMark/>
          </w:tcPr>
          <w:p w14:paraId="630F3767" w14:textId="2D30B80D"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due to missing data:</w:t>
            </w:r>
          </w:p>
          <w:p w14:paraId="59CD4F9B" w14:textId="41118744"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p>
        </w:tc>
        <w:tc>
          <w:tcPr>
            <w:tcW w:w="4315" w:type="dxa"/>
            <w:hideMark/>
          </w:tcPr>
          <w:p w14:paraId="3473E618" w14:textId="587F0C8D" w:rsidR="00196E3A" w:rsidRPr="00202779" w:rsidRDefault="00196E3A" w:rsidP="00C20368">
            <w:pPr>
              <w:rPr>
                <w:rFonts w:ascii="Arial" w:eastAsia="Times New Roman" w:hAnsi="Arial" w:cs="Arial"/>
                <w:sz w:val="16"/>
                <w:szCs w:val="16"/>
              </w:rPr>
            </w:pPr>
            <w:r w:rsidRPr="00202779">
              <w:rPr>
                <w:rFonts w:ascii="Arial" w:hAnsi="Arial" w:cs="Arial"/>
                <w:sz w:val="16"/>
                <w:szCs w:val="16"/>
              </w:rPr>
              <w:t xml:space="preserve">Low Risk. The data reported for postoperative delirium </w:t>
            </w:r>
            <w:r w:rsidR="00C20368" w:rsidRPr="00202779">
              <w:rPr>
                <w:rFonts w:ascii="Arial" w:hAnsi="Arial" w:cs="Arial"/>
                <w:sz w:val="16"/>
                <w:szCs w:val="16"/>
              </w:rPr>
              <w:t>were</w:t>
            </w:r>
            <w:r w:rsidRPr="00202779">
              <w:rPr>
                <w:rFonts w:ascii="Arial" w:hAnsi="Arial" w:cs="Arial"/>
                <w:sz w:val="16"/>
                <w:szCs w:val="16"/>
              </w:rPr>
              <w:t xml:space="preserve"> comprehensive.</w:t>
            </w:r>
          </w:p>
        </w:tc>
      </w:tr>
      <w:tr w:rsidR="00202779" w:rsidRPr="00202779" w14:paraId="41992B8B" w14:textId="77777777" w:rsidTr="4D0247A3">
        <w:trPr>
          <w:trHeight w:val="432"/>
        </w:trPr>
        <w:tc>
          <w:tcPr>
            <w:tcW w:w="5040" w:type="dxa"/>
            <w:hideMark/>
          </w:tcPr>
          <w:p w14:paraId="39B5CC8E"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0E753317"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p>
        </w:tc>
        <w:tc>
          <w:tcPr>
            <w:tcW w:w="4315" w:type="dxa"/>
            <w:hideMark/>
          </w:tcPr>
          <w:p w14:paraId="4135A21E" w14:textId="2131D8C4" w:rsidR="00196E3A" w:rsidRPr="00202779" w:rsidRDefault="00196E3A" w:rsidP="00196E3A">
            <w:pPr>
              <w:rPr>
                <w:rFonts w:ascii="Arial" w:hAnsi="Arial" w:cs="Arial"/>
                <w:sz w:val="16"/>
                <w:szCs w:val="16"/>
              </w:rPr>
            </w:pPr>
            <w:r w:rsidRPr="00202779">
              <w:rPr>
                <w:rFonts w:ascii="Arial" w:hAnsi="Arial" w:cs="Arial"/>
                <w:sz w:val="16"/>
                <w:szCs w:val="16"/>
              </w:rPr>
              <w:t>Low Risk. "All patients were assessed with the CAM</w:t>
            </w:r>
            <w:r w:rsidR="00F63F82" w:rsidRPr="00202779">
              <w:rPr>
                <w:rFonts w:ascii="Arial" w:hAnsi="Arial" w:cs="Arial"/>
                <w:sz w:val="16"/>
                <w:szCs w:val="16"/>
              </w:rPr>
              <w:t>-</w:t>
            </w:r>
            <w:r w:rsidRPr="00202779">
              <w:rPr>
                <w:rFonts w:ascii="Arial" w:hAnsi="Arial" w:cs="Arial"/>
                <w:sz w:val="16"/>
                <w:szCs w:val="16"/>
              </w:rPr>
              <w:t xml:space="preserve">ICU by trained research personnel twice each day throughout their hospitalization. The same research personnel administered the CAM-ICU to each patient in the presurgical and postsurgical time points. Separate research personnel reviewed the scores to determine and adjudicate the presence of delirium.” </w:t>
            </w:r>
          </w:p>
        </w:tc>
      </w:tr>
      <w:tr w:rsidR="00202779" w:rsidRPr="00202779" w14:paraId="43A00293" w14:textId="77777777" w:rsidTr="4D0247A3">
        <w:trPr>
          <w:trHeight w:val="432"/>
        </w:trPr>
        <w:tc>
          <w:tcPr>
            <w:tcW w:w="5040" w:type="dxa"/>
            <w:hideMark/>
          </w:tcPr>
          <w:p w14:paraId="2C285AC0"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selection of the reported result:</w:t>
            </w:r>
          </w:p>
          <w:p w14:paraId="232E36C4" w14:textId="1D1156B1"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 synthesis).</w:t>
            </w:r>
          </w:p>
        </w:tc>
        <w:tc>
          <w:tcPr>
            <w:tcW w:w="4315" w:type="dxa"/>
            <w:hideMark/>
          </w:tcPr>
          <w:p w14:paraId="3EF7CDD4"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The outcome of interest was reported without any obvious bias.</w:t>
            </w:r>
          </w:p>
        </w:tc>
      </w:tr>
      <w:tr w:rsidR="00202779" w:rsidRPr="00202779" w14:paraId="7FC8D15D" w14:textId="77777777" w:rsidTr="4D0247A3">
        <w:trPr>
          <w:trHeight w:val="54"/>
        </w:trPr>
        <w:tc>
          <w:tcPr>
            <w:tcW w:w="5040" w:type="dxa"/>
            <w:hideMark/>
          </w:tcPr>
          <w:p w14:paraId="6C8FA2F5" w14:textId="653ADDE6"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Overall risk of bias judgement</w:t>
            </w:r>
          </w:p>
        </w:tc>
        <w:tc>
          <w:tcPr>
            <w:tcW w:w="4315" w:type="dxa"/>
            <w:hideMark/>
          </w:tcPr>
          <w:p w14:paraId="5D6B7DE0"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This study included domains of the same risk for bias.</w:t>
            </w:r>
          </w:p>
        </w:tc>
      </w:tr>
    </w:tbl>
    <w:p w14:paraId="5614D891" w14:textId="77777777" w:rsidR="001375F0" w:rsidRPr="00202779" w:rsidRDefault="001375F0" w:rsidP="001375F0"/>
    <w:p w14:paraId="78C50F36" w14:textId="77777777" w:rsidR="001375F0" w:rsidRPr="00202779" w:rsidRDefault="001375F0" w:rsidP="001375F0"/>
    <w:p w14:paraId="3AE570F8" w14:textId="77777777" w:rsidR="00196E3A" w:rsidRPr="00202779" w:rsidRDefault="00196E3A">
      <w:pPr>
        <w:rPr>
          <w:rFonts w:ascii="Arial" w:hAnsi="Arial" w:cs="Arial"/>
          <w:b/>
          <w:bCs/>
          <w:sz w:val="24"/>
          <w:szCs w:val="24"/>
        </w:rPr>
      </w:pPr>
      <w:r w:rsidRPr="00202779">
        <w:rPr>
          <w:rFonts w:ascii="Arial" w:hAnsi="Arial" w:cs="Arial"/>
          <w:b/>
          <w:bCs/>
          <w:sz w:val="24"/>
          <w:szCs w:val="24"/>
        </w:rPr>
        <w:br w:type="page"/>
      </w:r>
    </w:p>
    <w:p w14:paraId="0F2BB8BB" w14:textId="77777777" w:rsidR="001375F0" w:rsidRPr="00202779" w:rsidRDefault="001375F0" w:rsidP="001375F0">
      <w:pPr>
        <w:spacing w:after="0" w:line="360" w:lineRule="auto"/>
        <w:rPr>
          <w:rFonts w:ascii="Arial" w:hAnsi="Arial" w:cs="Arial"/>
          <w:b/>
          <w:bCs/>
          <w:sz w:val="24"/>
          <w:szCs w:val="24"/>
        </w:rPr>
      </w:pPr>
    </w:p>
    <w:tbl>
      <w:tblPr>
        <w:tblStyle w:val="TableGrid1"/>
        <w:tblW w:w="0" w:type="auto"/>
        <w:tblInd w:w="-5" w:type="dxa"/>
        <w:tblLook w:val="04A0" w:firstRow="1" w:lastRow="0" w:firstColumn="1" w:lastColumn="0" w:noHBand="0" w:noVBand="1"/>
      </w:tblPr>
      <w:tblGrid>
        <w:gridCol w:w="5156"/>
        <w:gridCol w:w="4199"/>
      </w:tblGrid>
      <w:tr w:rsidR="00202779" w:rsidRPr="00202779" w14:paraId="7EE7BF86" w14:textId="77777777" w:rsidTr="4D0247A3">
        <w:trPr>
          <w:trHeight w:val="432"/>
        </w:trPr>
        <w:tc>
          <w:tcPr>
            <w:tcW w:w="0" w:type="auto"/>
            <w:gridSpan w:val="2"/>
            <w:hideMark/>
          </w:tcPr>
          <w:p w14:paraId="1B5AA139" w14:textId="77777777" w:rsidR="00C20368" w:rsidRPr="00202779" w:rsidRDefault="00C20368" w:rsidP="002546C6">
            <w:pPr>
              <w:jc w:val="center"/>
              <w:rPr>
                <w:rFonts w:ascii="Arial" w:eastAsia="Times New Roman" w:hAnsi="Arial" w:cs="Arial"/>
                <w:b/>
                <w:bCs/>
                <w:sz w:val="16"/>
                <w:szCs w:val="16"/>
              </w:rPr>
            </w:pPr>
            <w:r w:rsidRPr="00202779">
              <w:rPr>
                <w:rFonts w:ascii="Arial" w:hAnsi="Arial" w:cs="Arial"/>
                <w:b/>
                <w:bCs/>
                <w:sz w:val="16"/>
                <w:szCs w:val="16"/>
              </w:rPr>
              <w:t>Nomura et al., 2018</w:t>
            </w:r>
          </w:p>
        </w:tc>
      </w:tr>
      <w:tr w:rsidR="00202779" w:rsidRPr="00202779" w14:paraId="15F7C748" w14:textId="77777777" w:rsidTr="4D0247A3">
        <w:trPr>
          <w:trHeight w:val="432"/>
        </w:trPr>
        <w:tc>
          <w:tcPr>
            <w:tcW w:w="0" w:type="auto"/>
            <w:hideMark/>
          </w:tcPr>
          <w:p w14:paraId="1BAB843F"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0" w:type="auto"/>
            <w:hideMark/>
          </w:tcPr>
          <w:p w14:paraId="1DFD3570"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65C336CD" w14:textId="77777777" w:rsidTr="4D0247A3">
        <w:trPr>
          <w:trHeight w:val="432"/>
        </w:trPr>
        <w:tc>
          <w:tcPr>
            <w:tcW w:w="0" w:type="auto"/>
            <w:hideMark/>
          </w:tcPr>
          <w:p w14:paraId="5DA4D478"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1777EC18"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 received at baseline.</w:t>
            </w:r>
          </w:p>
        </w:tc>
        <w:tc>
          <w:tcPr>
            <w:tcW w:w="0" w:type="auto"/>
            <w:hideMark/>
          </w:tcPr>
          <w:p w14:paraId="6EA908CB" w14:textId="2F92165B" w:rsidR="00196E3A" w:rsidRPr="00202779" w:rsidRDefault="669C2A03" w:rsidP="00196E3A">
            <w:pPr>
              <w:rPr>
                <w:rFonts w:ascii="Arial" w:hAnsi="Arial" w:cs="Arial"/>
                <w:sz w:val="16"/>
                <w:szCs w:val="16"/>
              </w:rPr>
            </w:pPr>
            <w:r w:rsidRPr="00202779">
              <w:rPr>
                <w:rFonts w:ascii="Arial" w:hAnsi="Arial" w:cs="Arial"/>
                <w:sz w:val="16"/>
                <w:szCs w:val="16"/>
              </w:rPr>
              <w:t>Moderate</w:t>
            </w:r>
            <w:r w:rsidR="00196E3A" w:rsidRPr="00202779">
              <w:rPr>
                <w:rFonts w:ascii="Arial" w:hAnsi="Arial" w:cs="Arial"/>
                <w:sz w:val="16"/>
                <w:szCs w:val="16"/>
              </w:rPr>
              <w:t xml:space="preserve"> Risk. Analysis </w:t>
            </w:r>
            <w:r w:rsidR="52B45D93" w:rsidRPr="00202779">
              <w:rPr>
                <w:rFonts w:ascii="Arial" w:hAnsi="Arial" w:cs="Arial"/>
                <w:sz w:val="16"/>
                <w:szCs w:val="16"/>
              </w:rPr>
              <w:t xml:space="preserve">did not </w:t>
            </w:r>
            <w:r w:rsidR="00196E3A" w:rsidRPr="00202779">
              <w:rPr>
                <w:rFonts w:ascii="Arial" w:hAnsi="Arial" w:cs="Arial"/>
                <w:sz w:val="16"/>
                <w:szCs w:val="16"/>
              </w:rPr>
              <w:t xml:space="preserve">adjust for </w:t>
            </w:r>
            <w:r w:rsidR="4C4DC72F" w:rsidRPr="00202779">
              <w:rPr>
                <w:rFonts w:ascii="Arial" w:hAnsi="Arial" w:cs="Arial"/>
                <w:sz w:val="16"/>
                <w:szCs w:val="16"/>
              </w:rPr>
              <w:t xml:space="preserve">important </w:t>
            </w:r>
            <w:r w:rsidR="00196E3A" w:rsidRPr="00202779">
              <w:rPr>
                <w:rFonts w:ascii="Arial" w:hAnsi="Arial" w:cs="Arial"/>
                <w:sz w:val="16"/>
                <w:szCs w:val="16"/>
              </w:rPr>
              <w:t>confounder</w:t>
            </w:r>
            <w:r w:rsidR="10A4700B" w:rsidRPr="00202779">
              <w:rPr>
                <w:rFonts w:ascii="Arial" w:hAnsi="Arial" w:cs="Arial"/>
                <w:sz w:val="16"/>
                <w:szCs w:val="16"/>
              </w:rPr>
              <w:t xml:space="preserve"> of baseline cognition</w:t>
            </w:r>
            <w:r w:rsidR="00196E3A" w:rsidRPr="00202779">
              <w:rPr>
                <w:rFonts w:ascii="Arial" w:hAnsi="Arial" w:cs="Arial"/>
                <w:sz w:val="16"/>
                <w:szCs w:val="16"/>
              </w:rPr>
              <w:t>.</w:t>
            </w:r>
          </w:p>
        </w:tc>
      </w:tr>
      <w:tr w:rsidR="00202779" w:rsidRPr="00202779" w14:paraId="50DF251A" w14:textId="77777777" w:rsidTr="4D0247A3">
        <w:trPr>
          <w:trHeight w:val="432"/>
        </w:trPr>
        <w:tc>
          <w:tcPr>
            <w:tcW w:w="0" w:type="auto"/>
            <w:hideMark/>
          </w:tcPr>
          <w:p w14:paraId="0D1A3569" w14:textId="553A0049"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in selection of participants into the study:</w:t>
            </w:r>
          </w:p>
          <w:p w14:paraId="417FB5F1" w14:textId="2D29C80A"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p>
        </w:tc>
        <w:tc>
          <w:tcPr>
            <w:tcW w:w="0" w:type="auto"/>
            <w:hideMark/>
          </w:tcPr>
          <w:p w14:paraId="5B73AC40" w14:textId="36EBE11B" w:rsidR="00196E3A" w:rsidRPr="00202779" w:rsidRDefault="00196E3A" w:rsidP="00196E3A">
            <w:pPr>
              <w:rPr>
                <w:rFonts w:ascii="Arial" w:hAnsi="Arial" w:cs="Arial"/>
                <w:sz w:val="16"/>
                <w:szCs w:val="16"/>
              </w:rPr>
            </w:pPr>
            <w:r w:rsidRPr="00202779">
              <w:rPr>
                <w:rFonts w:ascii="Arial" w:hAnsi="Arial" w:cs="Arial"/>
                <w:sz w:val="16"/>
                <w:szCs w:val="16"/>
              </w:rPr>
              <w:t>Serious Risk. Patients were selected from two separate parent trials, one of which excluded preoperative delirium</w:t>
            </w:r>
            <w:r w:rsidR="000A2735" w:rsidRPr="00202779">
              <w:rPr>
                <w:rFonts w:ascii="Arial" w:hAnsi="Arial" w:cs="Arial"/>
                <w:sz w:val="16"/>
                <w:szCs w:val="16"/>
              </w:rPr>
              <w:t xml:space="preserve"> and one that</w:t>
            </w:r>
            <w:r w:rsidRPr="00202779">
              <w:rPr>
                <w:rFonts w:ascii="Arial" w:hAnsi="Arial" w:cs="Arial"/>
                <w:sz w:val="16"/>
                <w:szCs w:val="16"/>
              </w:rPr>
              <w:t xml:space="preserve"> did not.</w:t>
            </w:r>
          </w:p>
          <w:p w14:paraId="7FA3FAF2" w14:textId="77777777" w:rsidR="00196E3A" w:rsidRPr="00202779" w:rsidRDefault="00196E3A" w:rsidP="00196E3A">
            <w:pPr>
              <w:rPr>
                <w:rFonts w:ascii="Arial" w:eastAsia="Times New Roman" w:hAnsi="Arial" w:cs="Arial"/>
                <w:sz w:val="16"/>
                <w:szCs w:val="16"/>
              </w:rPr>
            </w:pPr>
          </w:p>
        </w:tc>
      </w:tr>
      <w:tr w:rsidR="00202779" w:rsidRPr="00202779" w14:paraId="3C100131" w14:textId="77777777" w:rsidTr="4D0247A3">
        <w:trPr>
          <w:trHeight w:val="432"/>
        </w:trPr>
        <w:tc>
          <w:tcPr>
            <w:tcW w:w="0" w:type="auto"/>
            <w:hideMark/>
          </w:tcPr>
          <w:p w14:paraId="1B9F34C8"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45B8AA6F" w14:textId="12278880"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 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p>
        </w:tc>
        <w:tc>
          <w:tcPr>
            <w:tcW w:w="0" w:type="auto"/>
            <w:hideMark/>
          </w:tcPr>
          <w:p w14:paraId="586F2CA1"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Used Fried scale for classification.</w:t>
            </w:r>
          </w:p>
        </w:tc>
      </w:tr>
      <w:tr w:rsidR="00202779" w:rsidRPr="00202779" w14:paraId="2B1231C8" w14:textId="77777777" w:rsidTr="4D0247A3">
        <w:trPr>
          <w:trHeight w:val="432"/>
        </w:trPr>
        <w:tc>
          <w:tcPr>
            <w:tcW w:w="0" w:type="auto"/>
            <w:hideMark/>
          </w:tcPr>
          <w:p w14:paraId="4D0A936F"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deviations from intended interventions:</w:t>
            </w:r>
          </w:p>
          <w:p w14:paraId="29C6F2FA" w14:textId="1BE3735F"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 and adhering to intervention).</w:t>
            </w:r>
          </w:p>
        </w:tc>
        <w:tc>
          <w:tcPr>
            <w:tcW w:w="0" w:type="auto"/>
            <w:hideMark/>
          </w:tcPr>
          <w:p w14:paraId="506418A4" w14:textId="77777777" w:rsidR="00196E3A" w:rsidRPr="00202779" w:rsidRDefault="00196E3A" w:rsidP="00196E3A">
            <w:pPr>
              <w:rPr>
                <w:rFonts w:ascii="Arial" w:eastAsia="Arial" w:hAnsi="Arial" w:cs="Arial"/>
                <w:sz w:val="16"/>
                <w:szCs w:val="16"/>
              </w:rPr>
            </w:pPr>
            <w:r w:rsidRPr="00202779">
              <w:rPr>
                <w:rFonts w:ascii="Arial" w:hAnsi="Arial" w:cs="Arial"/>
                <w:sz w:val="16"/>
                <w:szCs w:val="16"/>
              </w:rPr>
              <w:t>Low Risk.</w:t>
            </w:r>
            <w:r w:rsidRPr="00202779">
              <w:rPr>
                <w:rFonts w:ascii="Arial" w:eastAsia="Arial" w:hAnsi="Arial" w:cs="Arial"/>
                <w:sz w:val="16"/>
                <w:szCs w:val="16"/>
              </w:rPr>
              <w:t xml:space="preserve"> There were no systematic processes affecting the designation of frailty versus </w:t>
            </w:r>
            <w:proofErr w:type="spellStart"/>
            <w:r w:rsidRPr="00202779">
              <w:rPr>
                <w:rFonts w:ascii="Arial" w:eastAsia="Arial" w:hAnsi="Arial" w:cs="Arial"/>
                <w:sz w:val="16"/>
                <w:szCs w:val="16"/>
              </w:rPr>
              <w:t>nonfrailty</w:t>
            </w:r>
            <w:proofErr w:type="spellEnd"/>
            <w:r w:rsidRPr="00202779">
              <w:rPr>
                <w:rFonts w:ascii="Arial" w:eastAsia="Arial" w:hAnsi="Arial" w:cs="Arial"/>
                <w:sz w:val="16"/>
                <w:szCs w:val="16"/>
              </w:rPr>
              <w:t>.</w:t>
            </w:r>
          </w:p>
        </w:tc>
      </w:tr>
      <w:tr w:rsidR="00202779" w:rsidRPr="00202779" w14:paraId="47C377AE" w14:textId="77777777" w:rsidTr="4D0247A3">
        <w:trPr>
          <w:trHeight w:val="432"/>
        </w:trPr>
        <w:tc>
          <w:tcPr>
            <w:tcW w:w="0" w:type="auto"/>
            <w:hideMark/>
          </w:tcPr>
          <w:p w14:paraId="740C9634" w14:textId="7FCDC213"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due to missing data:</w:t>
            </w:r>
          </w:p>
          <w:p w14:paraId="21EB2CD9" w14:textId="139B4672"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p>
        </w:tc>
        <w:tc>
          <w:tcPr>
            <w:tcW w:w="0" w:type="auto"/>
            <w:hideMark/>
          </w:tcPr>
          <w:p w14:paraId="5624404C"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Low Risk. There is no evidence for incomplete reporting of data.  </w:t>
            </w:r>
          </w:p>
        </w:tc>
      </w:tr>
      <w:tr w:rsidR="00202779" w:rsidRPr="00202779" w14:paraId="0FE6372D" w14:textId="77777777" w:rsidTr="4D0247A3">
        <w:trPr>
          <w:trHeight w:val="432"/>
        </w:trPr>
        <w:tc>
          <w:tcPr>
            <w:tcW w:w="0" w:type="auto"/>
            <w:hideMark/>
          </w:tcPr>
          <w:p w14:paraId="30D32069"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2E8F1996"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p>
        </w:tc>
        <w:tc>
          <w:tcPr>
            <w:tcW w:w="0" w:type="auto"/>
            <w:hideMark/>
          </w:tcPr>
          <w:p w14:paraId="42D5673C" w14:textId="46EA3A7C"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Moderate Risk: </w:t>
            </w:r>
            <w:r w:rsidR="000A2735" w:rsidRPr="00202779">
              <w:rPr>
                <w:rFonts w:ascii="Arial" w:hAnsi="Arial" w:cs="Arial"/>
                <w:sz w:val="16"/>
                <w:szCs w:val="16"/>
              </w:rPr>
              <w:t>T</w:t>
            </w:r>
            <w:r w:rsidRPr="00202779">
              <w:rPr>
                <w:rFonts w:ascii="Arial" w:hAnsi="Arial" w:cs="Arial"/>
                <w:sz w:val="16"/>
                <w:szCs w:val="16"/>
              </w:rPr>
              <w:t>his study used chart review for delirium screening on some days, potentially underestimating delirium incidence. "Delirium was assessed in person on 3 of the first 4 postoperative days. For days on which patients were not assessed in person, a validated chart review was used."</w:t>
            </w:r>
          </w:p>
        </w:tc>
      </w:tr>
      <w:tr w:rsidR="00202779" w:rsidRPr="00202779" w14:paraId="37DF9351" w14:textId="77777777" w:rsidTr="4D0247A3">
        <w:trPr>
          <w:trHeight w:val="432"/>
        </w:trPr>
        <w:tc>
          <w:tcPr>
            <w:tcW w:w="0" w:type="auto"/>
            <w:hideMark/>
          </w:tcPr>
          <w:p w14:paraId="0DDF6CAD"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selection of the reported result:</w:t>
            </w:r>
          </w:p>
          <w:p w14:paraId="4F58EC95" w14:textId="22D2944B"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 synthesis).</w:t>
            </w:r>
          </w:p>
        </w:tc>
        <w:tc>
          <w:tcPr>
            <w:tcW w:w="0" w:type="auto"/>
            <w:hideMark/>
          </w:tcPr>
          <w:p w14:paraId="2178F1C3" w14:textId="038FD4A5"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the reporting of the data is complete and accurate.</w:t>
            </w:r>
          </w:p>
        </w:tc>
      </w:tr>
      <w:tr w:rsidR="00202779" w:rsidRPr="00202779" w14:paraId="4685988B" w14:textId="77777777" w:rsidTr="4D0247A3">
        <w:trPr>
          <w:trHeight w:val="54"/>
        </w:trPr>
        <w:tc>
          <w:tcPr>
            <w:tcW w:w="0" w:type="auto"/>
            <w:hideMark/>
          </w:tcPr>
          <w:p w14:paraId="17235D39" w14:textId="4AA4C19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Overall risk of bias judgement</w:t>
            </w:r>
          </w:p>
        </w:tc>
        <w:tc>
          <w:tcPr>
            <w:tcW w:w="0" w:type="auto"/>
            <w:hideMark/>
          </w:tcPr>
          <w:p w14:paraId="42BC2288" w14:textId="2DA3ABED"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Serious Risk: </w:t>
            </w:r>
            <w:r w:rsidR="000A2735" w:rsidRPr="00202779">
              <w:rPr>
                <w:rFonts w:ascii="Arial" w:hAnsi="Arial" w:cs="Arial"/>
                <w:sz w:val="16"/>
                <w:szCs w:val="16"/>
              </w:rPr>
              <w:t>D</w:t>
            </w:r>
            <w:r w:rsidRPr="00202779">
              <w:rPr>
                <w:rFonts w:ascii="Arial" w:hAnsi="Arial" w:cs="Arial"/>
                <w:sz w:val="16"/>
                <w:szCs w:val="16"/>
              </w:rPr>
              <w:t xml:space="preserve">ue to </w:t>
            </w:r>
            <w:r w:rsidR="000A2735" w:rsidRPr="00202779">
              <w:rPr>
                <w:rFonts w:ascii="Arial" w:hAnsi="Arial" w:cs="Arial"/>
                <w:sz w:val="16"/>
                <w:szCs w:val="16"/>
              </w:rPr>
              <w:t>selection of participants into the study.</w:t>
            </w:r>
          </w:p>
        </w:tc>
      </w:tr>
    </w:tbl>
    <w:p w14:paraId="0E39DDDF" w14:textId="77777777" w:rsidR="001375F0" w:rsidRPr="00202779" w:rsidRDefault="001375F0" w:rsidP="001375F0">
      <w:pPr>
        <w:spacing w:after="0" w:line="360" w:lineRule="auto"/>
        <w:rPr>
          <w:rFonts w:ascii="Arial" w:hAnsi="Arial" w:cs="Arial"/>
          <w:b/>
          <w:bCs/>
          <w:sz w:val="24"/>
          <w:szCs w:val="24"/>
        </w:rPr>
      </w:pPr>
    </w:p>
    <w:p w14:paraId="5D017187" w14:textId="77777777" w:rsidR="001375F0" w:rsidRPr="00202779" w:rsidRDefault="001375F0" w:rsidP="001375F0">
      <w:pPr>
        <w:spacing w:after="0" w:line="360" w:lineRule="auto"/>
        <w:rPr>
          <w:rFonts w:ascii="Arial" w:hAnsi="Arial" w:cs="Arial"/>
          <w:b/>
          <w:bCs/>
          <w:sz w:val="24"/>
          <w:szCs w:val="24"/>
        </w:rPr>
      </w:pPr>
    </w:p>
    <w:p w14:paraId="1B6D26C1" w14:textId="77777777" w:rsidR="00196E3A" w:rsidRPr="00202779" w:rsidRDefault="00196E3A">
      <w:pPr>
        <w:rPr>
          <w:rFonts w:ascii="Arial" w:hAnsi="Arial" w:cs="Arial"/>
          <w:b/>
          <w:bCs/>
          <w:sz w:val="24"/>
          <w:szCs w:val="24"/>
        </w:rPr>
      </w:pPr>
      <w:r w:rsidRPr="00202779">
        <w:rPr>
          <w:rFonts w:ascii="Arial" w:hAnsi="Arial" w:cs="Arial"/>
          <w:b/>
          <w:bCs/>
          <w:sz w:val="24"/>
          <w:szCs w:val="24"/>
        </w:rPr>
        <w:br w:type="page"/>
      </w:r>
    </w:p>
    <w:p w14:paraId="4574845E" w14:textId="77777777" w:rsidR="001375F0" w:rsidRPr="00202779" w:rsidRDefault="001375F0" w:rsidP="001375F0">
      <w:pPr>
        <w:spacing w:after="0" w:line="360" w:lineRule="auto"/>
        <w:rPr>
          <w:rFonts w:ascii="Arial" w:hAnsi="Arial" w:cs="Arial"/>
          <w:b/>
          <w:bCs/>
          <w:sz w:val="24"/>
          <w:szCs w:val="24"/>
        </w:rPr>
      </w:pPr>
    </w:p>
    <w:tbl>
      <w:tblPr>
        <w:tblStyle w:val="TableGrid1"/>
        <w:tblW w:w="0" w:type="auto"/>
        <w:tblInd w:w="-5" w:type="dxa"/>
        <w:tblLook w:val="04A0" w:firstRow="1" w:lastRow="0" w:firstColumn="1" w:lastColumn="0" w:noHBand="0" w:noVBand="1"/>
      </w:tblPr>
      <w:tblGrid>
        <w:gridCol w:w="5040"/>
        <w:gridCol w:w="4315"/>
      </w:tblGrid>
      <w:tr w:rsidR="00202779" w:rsidRPr="00202779" w14:paraId="7D6DD231" w14:textId="77777777" w:rsidTr="22EED720">
        <w:trPr>
          <w:trHeight w:val="432"/>
        </w:trPr>
        <w:tc>
          <w:tcPr>
            <w:tcW w:w="0" w:type="auto"/>
            <w:gridSpan w:val="2"/>
            <w:hideMark/>
          </w:tcPr>
          <w:p w14:paraId="2206E437" w14:textId="77777777" w:rsidR="000A2735" w:rsidRPr="00202779" w:rsidRDefault="000A2735" w:rsidP="002546C6">
            <w:pPr>
              <w:jc w:val="center"/>
              <w:rPr>
                <w:rFonts w:ascii="Arial" w:eastAsia="Times New Roman" w:hAnsi="Arial" w:cs="Arial"/>
                <w:b/>
                <w:bCs/>
                <w:sz w:val="16"/>
                <w:szCs w:val="16"/>
              </w:rPr>
            </w:pPr>
            <w:r w:rsidRPr="00202779">
              <w:rPr>
                <w:rFonts w:ascii="Arial" w:hAnsi="Arial" w:cs="Arial"/>
                <w:b/>
                <w:bCs/>
                <w:sz w:val="16"/>
                <w:szCs w:val="16"/>
              </w:rPr>
              <w:t xml:space="preserve">Partridge </w:t>
            </w:r>
            <w:r w:rsidR="002546C6" w:rsidRPr="00202779">
              <w:rPr>
                <w:rFonts w:ascii="Arial" w:hAnsi="Arial" w:cs="Arial"/>
                <w:b/>
                <w:bCs/>
                <w:sz w:val="16"/>
                <w:szCs w:val="16"/>
              </w:rPr>
              <w:t xml:space="preserve">et al., </w:t>
            </w:r>
            <w:r w:rsidRPr="00202779">
              <w:rPr>
                <w:rFonts w:ascii="Arial" w:hAnsi="Arial" w:cs="Arial"/>
                <w:b/>
                <w:bCs/>
                <w:sz w:val="16"/>
                <w:szCs w:val="16"/>
              </w:rPr>
              <w:t>2015</w:t>
            </w:r>
          </w:p>
        </w:tc>
      </w:tr>
      <w:tr w:rsidR="00202779" w:rsidRPr="00202779" w14:paraId="77B1C16D" w14:textId="77777777" w:rsidTr="22EED720">
        <w:trPr>
          <w:trHeight w:val="432"/>
        </w:trPr>
        <w:tc>
          <w:tcPr>
            <w:tcW w:w="5040" w:type="dxa"/>
            <w:hideMark/>
          </w:tcPr>
          <w:p w14:paraId="79259530"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15" w:type="dxa"/>
            <w:hideMark/>
          </w:tcPr>
          <w:p w14:paraId="31D94827"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2A5191D7" w14:textId="77777777" w:rsidTr="22EED720">
        <w:trPr>
          <w:trHeight w:val="432"/>
        </w:trPr>
        <w:tc>
          <w:tcPr>
            <w:tcW w:w="5040" w:type="dxa"/>
            <w:hideMark/>
          </w:tcPr>
          <w:p w14:paraId="79567AD0"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05B28676"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 received at baseline.</w:t>
            </w:r>
          </w:p>
        </w:tc>
        <w:tc>
          <w:tcPr>
            <w:tcW w:w="4315" w:type="dxa"/>
            <w:hideMark/>
          </w:tcPr>
          <w:p w14:paraId="2CDD0AF3" w14:textId="7CEB16B9" w:rsidR="00196E3A" w:rsidRPr="00202779" w:rsidRDefault="64A65D81" w:rsidP="00196E3A">
            <w:pPr>
              <w:rPr>
                <w:rFonts w:ascii="Arial" w:hAnsi="Arial" w:cs="Arial"/>
                <w:sz w:val="16"/>
                <w:szCs w:val="16"/>
              </w:rPr>
            </w:pPr>
            <w:r w:rsidRPr="00202779">
              <w:rPr>
                <w:rFonts w:ascii="Arial" w:hAnsi="Arial" w:cs="Arial"/>
                <w:sz w:val="16"/>
                <w:szCs w:val="16"/>
              </w:rPr>
              <w:t>Serious</w:t>
            </w:r>
            <w:r w:rsidR="00196E3A" w:rsidRPr="00202779">
              <w:rPr>
                <w:rFonts w:ascii="Arial" w:hAnsi="Arial" w:cs="Arial"/>
                <w:sz w:val="16"/>
                <w:szCs w:val="16"/>
              </w:rPr>
              <w:t xml:space="preserve"> </w:t>
            </w:r>
            <w:proofErr w:type="gramStart"/>
            <w:r w:rsidR="00196E3A" w:rsidRPr="00202779">
              <w:rPr>
                <w:rFonts w:ascii="Arial" w:hAnsi="Arial" w:cs="Arial"/>
                <w:sz w:val="16"/>
                <w:szCs w:val="16"/>
              </w:rPr>
              <w:t>Risk</w:t>
            </w:r>
            <w:r w:rsidR="1AAB7876" w:rsidRPr="00202779">
              <w:rPr>
                <w:rFonts w:ascii="Arial" w:hAnsi="Arial" w:cs="Arial"/>
                <w:sz w:val="16"/>
                <w:szCs w:val="16"/>
              </w:rPr>
              <w:t>:.</w:t>
            </w:r>
            <w:proofErr w:type="gramEnd"/>
            <w:r w:rsidR="1AAB7876" w:rsidRPr="00202779">
              <w:rPr>
                <w:rFonts w:ascii="Arial" w:hAnsi="Arial" w:cs="Arial"/>
                <w:sz w:val="16"/>
                <w:szCs w:val="16"/>
              </w:rPr>
              <w:t xml:space="preserve"> No adjustment, univariate analysis only</w:t>
            </w:r>
            <w:r w:rsidR="00196E3A" w:rsidRPr="00202779">
              <w:rPr>
                <w:rFonts w:ascii="Arial" w:hAnsi="Arial" w:cs="Arial"/>
                <w:sz w:val="16"/>
                <w:szCs w:val="16"/>
              </w:rPr>
              <w:t xml:space="preserve">. </w:t>
            </w:r>
          </w:p>
          <w:p w14:paraId="36F9DAF4" w14:textId="77777777" w:rsidR="00196E3A" w:rsidRPr="00202779" w:rsidRDefault="00196E3A" w:rsidP="00196E3A">
            <w:pPr>
              <w:rPr>
                <w:rFonts w:ascii="Arial" w:eastAsia="Times New Roman" w:hAnsi="Arial" w:cs="Arial"/>
                <w:sz w:val="16"/>
                <w:szCs w:val="16"/>
              </w:rPr>
            </w:pPr>
          </w:p>
        </w:tc>
      </w:tr>
      <w:tr w:rsidR="00202779" w:rsidRPr="00202779" w14:paraId="2A9315B8" w14:textId="77777777" w:rsidTr="22EED720">
        <w:trPr>
          <w:trHeight w:val="432"/>
        </w:trPr>
        <w:tc>
          <w:tcPr>
            <w:tcW w:w="5040" w:type="dxa"/>
            <w:hideMark/>
          </w:tcPr>
          <w:p w14:paraId="1654BEB9" w14:textId="6856C01C"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in selection of participants into the study:</w:t>
            </w:r>
          </w:p>
          <w:p w14:paraId="4C257BF9" w14:textId="6314D8E6"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p>
        </w:tc>
        <w:tc>
          <w:tcPr>
            <w:tcW w:w="4315" w:type="dxa"/>
            <w:hideMark/>
          </w:tcPr>
          <w:p w14:paraId="5511E535"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125/159 eligible patients were studied, but there were no systematic biases in the loss of patients between steps.</w:t>
            </w:r>
          </w:p>
        </w:tc>
      </w:tr>
      <w:tr w:rsidR="00202779" w:rsidRPr="00202779" w14:paraId="2FA17E7D" w14:textId="77777777" w:rsidTr="22EED720">
        <w:trPr>
          <w:trHeight w:val="432"/>
        </w:trPr>
        <w:tc>
          <w:tcPr>
            <w:tcW w:w="5040" w:type="dxa"/>
            <w:hideMark/>
          </w:tcPr>
          <w:p w14:paraId="67B50A29"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2753AA54" w14:textId="31D1CA85"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 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p>
        </w:tc>
        <w:tc>
          <w:tcPr>
            <w:tcW w:w="4315" w:type="dxa"/>
            <w:hideMark/>
          </w:tcPr>
          <w:p w14:paraId="4FBA0D6A" w14:textId="77777777" w:rsidR="00196E3A" w:rsidRPr="00202779" w:rsidRDefault="00196E3A" w:rsidP="00196E3A">
            <w:pPr>
              <w:rPr>
                <w:rFonts w:ascii="Arial" w:hAnsi="Arial" w:cs="Arial"/>
                <w:sz w:val="16"/>
                <w:szCs w:val="16"/>
              </w:rPr>
            </w:pPr>
            <w:r w:rsidRPr="00202779">
              <w:rPr>
                <w:rFonts w:ascii="Arial" w:hAnsi="Arial" w:cs="Arial"/>
                <w:sz w:val="16"/>
                <w:szCs w:val="16"/>
              </w:rPr>
              <w:t>Low Risk. The Edmonton Frail Scale was administered correctly.</w:t>
            </w:r>
          </w:p>
        </w:tc>
      </w:tr>
      <w:tr w:rsidR="00202779" w:rsidRPr="00202779" w14:paraId="51A28E60" w14:textId="77777777" w:rsidTr="22EED720">
        <w:trPr>
          <w:trHeight w:val="432"/>
        </w:trPr>
        <w:tc>
          <w:tcPr>
            <w:tcW w:w="5040" w:type="dxa"/>
            <w:hideMark/>
          </w:tcPr>
          <w:p w14:paraId="617E5939"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deviations from intended interventions:</w:t>
            </w:r>
          </w:p>
          <w:p w14:paraId="4731DB6A" w14:textId="06B6728A"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 and adhering to intervention).</w:t>
            </w:r>
          </w:p>
        </w:tc>
        <w:tc>
          <w:tcPr>
            <w:tcW w:w="4315" w:type="dxa"/>
            <w:hideMark/>
          </w:tcPr>
          <w:p w14:paraId="5EBB4713"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Low Risk. </w:t>
            </w:r>
            <w:r w:rsidRPr="00202779">
              <w:rPr>
                <w:rFonts w:ascii="Arial" w:eastAsia="Arial" w:hAnsi="Arial" w:cs="Arial"/>
                <w:sz w:val="16"/>
                <w:szCs w:val="16"/>
              </w:rPr>
              <w:t xml:space="preserve">There were no systematic processes affecting the designation of frailty versus </w:t>
            </w:r>
            <w:proofErr w:type="spellStart"/>
            <w:r w:rsidRPr="00202779">
              <w:rPr>
                <w:rFonts w:ascii="Arial" w:eastAsia="Arial" w:hAnsi="Arial" w:cs="Arial"/>
                <w:sz w:val="16"/>
                <w:szCs w:val="16"/>
              </w:rPr>
              <w:t>nonfrailty</w:t>
            </w:r>
            <w:proofErr w:type="spellEnd"/>
            <w:r w:rsidRPr="00202779">
              <w:rPr>
                <w:rFonts w:ascii="Arial" w:eastAsia="Arial" w:hAnsi="Arial" w:cs="Arial"/>
                <w:sz w:val="16"/>
                <w:szCs w:val="16"/>
              </w:rPr>
              <w:t xml:space="preserve">. </w:t>
            </w:r>
          </w:p>
        </w:tc>
      </w:tr>
      <w:tr w:rsidR="00202779" w:rsidRPr="00202779" w14:paraId="4CCF2CBB" w14:textId="77777777" w:rsidTr="22EED720">
        <w:trPr>
          <w:trHeight w:val="432"/>
        </w:trPr>
        <w:tc>
          <w:tcPr>
            <w:tcW w:w="5040" w:type="dxa"/>
            <w:hideMark/>
          </w:tcPr>
          <w:p w14:paraId="643CD6FC" w14:textId="2054C59E"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due to missing data:</w:t>
            </w:r>
          </w:p>
          <w:p w14:paraId="0D1060C9" w14:textId="6F2DFBB0"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p>
        </w:tc>
        <w:tc>
          <w:tcPr>
            <w:tcW w:w="4315" w:type="dxa"/>
            <w:hideMark/>
          </w:tcPr>
          <w:p w14:paraId="485DAD53"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Moderate Risk: "Postoperative delirium was diagnosed according to the Confusion Assessment Method. This was performed daily with the exception of weekends."</w:t>
            </w:r>
          </w:p>
        </w:tc>
      </w:tr>
      <w:tr w:rsidR="00202779" w:rsidRPr="00202779" w14:paraId="38F17009" w14:textId="77777777" w:rsidTr="22EED720">
        <w:trPr>
          <w:trHeight w:val="432"/>
        </w:trPr>
        <w:tc>
          <w:tcPr>
            <w:tcW w:w="5040" w:type="dxa"/>
            <w:hideMark/>
          </w:tcPr>
          <w:p w14:paraId="42F3EB22"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22905218"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p>
        </w:tc>
        <w:tc>
          <w:tcPr>
            <w:tcW w:w="4315" w:type="dxa"/>
            <w:hideMark/>
          </w:tcPr>
          <w:p w14:paraId="15AA14EC"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w:t>
            </w:r>
            <w:r w:rsidR="001226FE" w:rsidRPr="00202779">
              <w:rPr>
                <w:rFonts w:ascii="Arial" w:hAnsi="Arial" w:cs="Arial"/>
                <w:sz w:val="16"/>
                <w:szCs w:val="16"/>
              </w:rPr>
              <w:t>isk: T</w:t>
            </w:r>
            <w:r w:rsidRPr="00202779">
              <w:rPr>
                <w:rFonts w:ascii="Arial" w:hAnsi="Arial" w:cs="Arial"/>
                <w:sz w:val="16"/>
                <w:szCs w:val="16"/>
              </w:rPr>
              <w:t>here is no evidence that the administration process of the CAM was biased in any way.</w:t>
            </w:r>
          </w:p>
        </w:tc>
      </w:tr>
      <w:tr w:rsidR="00202779" w:rsidRPr="00202779" w14:paraId="4D50C7E2" w14:textId="77777777" w:rsidTr="22EED720">
        <w:trPr>
          <w:trHeight w:val="432"/>
        </w:trPr>
        <w:tc>
          <w:tcPr>
            <w:tcW w:w="5040" w:type="dxa"/>
            <w:hideMark/>
          </w:tcPr>
          <w:p w14:paraId="2163DBFE"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selection of the reported result:</w:t>
            </w:r>
          </w:p>
          <w:p w14:paraId="0EFB6722" w14:textId="521D7F1B"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 synthesis).</w:t>
            </w:r>
          </w:p>
        </w:tc>
        <w:tc>
          <w:tcPr>
            <w:tcW w:w="4315" w:type="dxa"/>
            <w:hideMark/>
          </w:tcPr>
          <w:p w14:paraId="5DB03E3E" w14:textId="77777777" w:rsidR="00196E3A" w:rsidRPr="00202779" w:rsidRDefault="001226FE" w:rsidP="001226FE">
            <w:pPr>
              <w:rPr>
                <w:rFonts w:ascii="Arial" w:hAnsi="Arial" w:cs="Arial"/>
                <w:sz w:val="16"/>
                <w:szCs w:val="16"/>
              </w:rPr>
            </w:pPr>
            <w:r w:rsidRPr="00202779">
              <w:rPr>
                <w:rFonts w:ascii="Arial" w:hAnsi="Arial" w:cs="Arial"/>
                <w:sz w:val="16"/>
                <w:szCs w:val="16"/>
              </w:rPr>
              <w:t>Low Risk: A</w:t>
            </w:r>
            <w:r w:rsidR="00196E3A" w:rsidRPr="00202779">
              <w:rPr>
                <w:rFonts w:ascii="Arial" w:hAnsi="Arial" w:cs="Arial"/>
                <w:sz w:val="16"/>
                <w:szCs w:val="16"/>
              </w:rPr>
              <w:t xml:space="preserve">ll available data </w:t>
            </w:r>
            <w:r w:rsidRPr="00202779">
              <w:rPr>
                <w:rFonts w:ascii="Arial" w:hAnsi="Arial" w:cs="Arial"/>
                <w:sz w:val="16"/>
                <w:szCs w:val="16"/>
              </w:rPr>
              <w:t>were</w:t>
            </w:r>
            <w:r w:rsidR="00196E3A" w:rsidRPr="00202779">
              <w:rPr>
                <w:rFonts w:ascii="Arial" w:hAnsi="Arial" w:cs="Arial"/>
                <w:sz w:val="16"/>
                <w:szCs w:val="16"/>
              </w:rPr>
              <w:t xml:space="preserve"> reported.</w:t>
            </w:r>
          </w:p>
        </w:tc>
      </w:tr>
      <w:tr w:rsidR="00202779" w:rsidRPr="00202779" w14:paraId="37F3A74F" w14:textId="77777777" w:rsidTr="22EED720">
        <w:trPr>
          <w:trHeight w:val="54"/>
        </w:trPr>
        <w:tc>
          <w:tcPr>
            <w:tcW w:w="5040" w:type="dxa"/>
            <w:hideMark/>
          </w:tcPr>
          <w:p w14:paraId="2F111081" w14:textId="5FBC85CD"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Overall risk of bias judgement</w:t>
            </w:r>
          </w:p>
        </w:tc>
        <w:tc>
          <w:tcPr>
            <w:tcW w:w="4315" w:type="dxa"/>
            <w:hideMark/>
          </w:tcPr>
          <w:p w14:paraId="3CB2F1D1" w14:textId="4E110091" w:rsidR="00196E3A" w:rsidRPr="00202779" w:rsidRDefault="71DDBF28" w:rsidP="002546C6">
            <w:pPr>
              <w:rPr>
                <w:rFonts w:ascii="Arial" w:hAnsi="Arial" w:cs="Arial"/>
                <w:sz w:val="16"/>
                <w:szCs w:val="16"/>
              </w:rPr>
            </w:pPr>
            <w:r w:rsidRPr="00202779">
              <w:rPr>
                <w:rFonts w:ascii="Arial" w:hAnsi="Arial" w:cs="Arial"/>
                <w:sz w:val="16"/>
                <w:szCs w:val="16"/>
              </w:rPr>
              <w:t>Serious</w:t>
            </w:r>
            <w:r w:rsidR="00196E3A" w:rsidRPr="00202779">
              <w:rPr>
                <w:rFonts w:ascii="Arial" w:hAnsi="Arial" w:cs="Arial"/>
                <w:sz w:val="16"/>
                <w:szCs w:val="16"/>
              </w:rPr>
              <w:t xml:space="preserve"> Risk. Due to </w:t>
            </w:r>
            <w:r w:rsidR="52DD4CCE" w:rsidRPr="00202779">
              <w:rPr>
                <w:rFonts w:ascii="Arial" w:hAnsi="Arial" w:cs="Arial"/>
                <w:sz w:val="16"/>
                <w:szCs w:val="16"/>
              </w:rPr>
              <w:t xml:space="preserve">confounding </w:t>
            </w:r>
          </w:p>
        </w:tc>
      </w:tr>
    </w:tbl>
    <w:p w14:paraId="19664703" w14:textId="77777777" w:rsidR="001375F0" w:rsidRPr="00202779" w:rsidRDefault="001375F0" w:rsidP="001375F0">
      <w:pPr>
        <w:spacing w:after="0" w:line="360" w:lineRule="auto"/>
        <w:rPr>
          <w:rFonts w:ascii="Arial" w:hAnsi="Arial" w:cs="Arial"/>
          <w:b/>
          <w:bCs/>
          <w:sz w:val="24"/>
          <w:szCs w:val="24"/>
        </w:rPr>
      </w:pPr>
    </w:p>
    <w:p w14:paraId="03BEF23E" w14:textId="77777777" w:rsidR="001375F0" w:rsidRPr="00202779" w:rsidRDefault="001375F0" w:rsidP="001375F0">
      <w:pPr>
        <w:spacing w:after="0" w:line="360" w:lineRule="auto"/>
        <w:rPr>
          <w:rFonts w:ascii="Arial" w:hAnsi="Arial" w:cs="Arial"/>
          <w:b/>
          <w:bCs/>
          <w:sz w:val="24"/>
          <w:szCs w:val="24"/>
        </w:rPr>
      </w:pPr>
    </w:p>
    <w:p w14:paraId="4F5FF82F" w14:textId="77777777" w:rsidR="00196E3A" w:rsidRPr="00202779" w:rsidRDefault="00196E3A">
      <w:pPr>
        <w:rPr>
          <w:rFonts w:ascii="Arial" w:hAnsi="Arial" w:cs="Arial"/>
          <w:b/>
          <w:bCs/>
          <w:sz w:val="24"/>
          <w:szCs w:val="24"/>
        </w:rPr>
      </w:pPr>
      <w:r w:rsidRPr="00202779">
        <w:rPr>
          <w:rFonts w:ascii="Arial" w:hAnsi="Arial" w:cs="Arial"/>
          <w:b/>
          <w:bCs/>
          <w:sz w:val="24"/>
          <w:szCs w:val="24"/>
        </w:rPr>
        <w:br w:type="page"/>
      </w:r>
    </w:p>
    <w:p w14:paraId="2FC0FDBD" w14:textId="77777777" w:rsidR="001375F0" w:rsidRPr="00202779" w:rsidRDefault="001375F0" w:rsidP="001375F0">
      <w:pPr>
        <w:spacing w:after="0" w:line="360" w:lineRule="auto"/>
        <w:rPr>
          <w:rFonts w:ascii="Arial" w:hAnsi="Arial" w:cs="Arial"/>
          <w:b/>
          <w:bCs/>
          <w:sz w:val="24"/>
          <w:szCs w:val="24"/>
        </w:rPr>
      </w:pPr>
    </w:p>
    <w:tbl>
      <w:tblPr>
        <w:tblStyle w:val="TableGrid1"/>
        <w:tblW w:w="0" w:type="auto"/>
        <w:tblInd w:w="-5" w:type="dxa"/>
        <w:tblLook w:val="04A0" w:firstRow="1" w:lastRow="0" w:firstColumn="1" w:lastColumn="0" w:noHBand="0" w:noVBand="1"/>
      </w:tblPr>
      <w:tblGrid>
        <w:gridCol w:w="5040"/>
        <w:gridCol w:w="4315"/>
      </w:tblGrid>
      <w:tr w:rsidR="00202779" w:rsidRPr="00202779" w14:paraId="50B06F66" w14:textId="77777777" w:rsidTr="22EED720">
        <w:trPr>
          <w:trHeight w:val="432"/>
        </w:trPr>
        <w:tc>
          <w:tcPr>
            <w:tcW w:w="0" w:type="auto"/>
            <w:gridSpan w:val="2"/>
            <w:hideMark/>
          </w:tcPr>
          <w:p w14:paraId="19D30D42" w14:textId="77777777" w:rsidR="002546C6" w:rsidRPr="00202779" w:rsidRDefault="002546C6" w:rsidP="002546C6">
            <w:pPr>
              <w:jc w:val="center"/>
              <w:rPr>
                <w:rFonts w:ascii="Arial" w:eastAsia="Times New Roman" w:hAnsi="Arial" w:cs="Arial"/>
                <w:b/>
                <w:bCs/>
                <w:sz w:val="16"/>
                <w:szCs w:val="16"/>
              </w:rPr>
            </w:pPr>
            <w:r w:rsidRPr="00202779">
              <w:rPr>
                <w:rFonts w:ascii="Arial" w:hAnsi="Arial" w:cs="Arial"/>
                <w:b/>
                <w:bCs/>
                <w:sz w:val="16"/>
                <w:szCs w:val="16"/>
              </w:rPr>
              <w:t>Pol et al., 2011</w:t>
            </w:r>
          </w:p>
        </w:tc>
      </w:tr>
      <w:tr w:rsidR="00202779" w:rsidRPr="00202779" w14:paraId="3A32D19C" w14:textId="77777777" w:rsidTr="22EED720">
        <w:trPr>
          <w:trHeight w:val="432"/>
        </w:trPr>
        <w:tc>
          <w:tcPr>
            <w:tcW w:w="5040" w:type="dxa"/>
            <w:hideMark/>
          </w:tcPr>
          <w:p w14:paraId="1BAE6E67" w14:textId="77777777" w:rsidR="001375F0" w:rsidRPr="00202779" w:rsidRDefault="001375F0" w:rsidP="002546C6">
            <w:pPr>
              <w:rPr>
                <w:rFonts w:ascii="Arial" w:eastAsia="Times New Roman" w:hAnsi="Arial" w:cs="Arial"/>
                <w:b/>
                <w:bCs/>
                <w:sz w:val="16"/>
                <w:szCs w:val="16"/>
              </w:rPr>
            </w:pPr>
            <w:r w:rsidRPr="00202779">
              <w:rPr>
                <w:rFonts w:ascii="Arial" w:eastAsia="Times New Roman" w:hAnsi="Arial" w:cs="Arial"/>
                <w:b/>
                <w:bCs/>
                <w:sz w:val="16"/>
                <w:szCs w:val="16"/>
              </w:rPr>
              <w:t>Domain</w:t>
            </w:r>
          </w:p>
        </w:tc>
        <w:tc>
          <w:tcPr>
            <w:tcW w:w="4315" w:type="dxa"/>
            <w:hideMark/>
          </w:tcPr>
          <w:p w14:paraId="0DCE30CD" w14:textId="77777777" w:rsidR="001375F0" w:rsidRPr="00202779" w:rsidRDefault="001375F0" w:rsidP="002546C6">
            <w:pPr>
              <w:rPr>
                <w:rFonts w:ascii="Arial" w:eastAsia="Times New Roman" w:hAnsi="Arial" w:cs="Arial"/>
                <w:b/>
                <w:bCs/>
                <w:sz w:val="16"/>
                <w:szCs w:val="16"/>
              </w:rPr>
            </w:pPr>
            <w:r w:rsidRPr="00202779">
              <w:rPr>
                <w:rFonts w:ascii="Arial" w:hAnsi="Arial" w:cs="Arial"/>
                <w:b/>
                <w:bCs/>
                <w:sz w:val="16"/>
                <w:szCs w:val="16"/>
              </w:rPr>
              <w:t>Consensus</w:t>
            </w:r>
          </w:p>
        </w:tc>
      </w:tr>
      <w:tr w:rsidR="00202779" w:rsidRPr="00202779" w14:paraId="47848C50" w14:textId="77777777" w:rsidTr="22EED720">
        <w:trPr>
          <w:trHeight w:val="432"/>
        </w:trPr>
        <w:tc>
          <w:tcPr>
            <w:tcW w:w="5040" w:type="dxa"/>
            <w:hideMark/>
          </w:tcPr>
          <w:p w14:paraId="4AA01CCC"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Confounding:</w:t>
            </w:r>
          </w:p>
          <w:p w14:paraId="7B7D90C1"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Baseline confounding occurs when one or more prognostic variables (factors that predict the outcome of interest) also predicts the intervention received at baseline.</w:t>
            </w:r>
          </w:p>
        </w:tc>
        <w:tc>
          <w:tcPr>
            <w:tcW w:w="4315" w:type="dxa"/>
            <w:hideMark/>
          </w:tcPr>
          <w:p w14:paraId="1B27235E" w14:textId="23CFC7E5" w:rsidR="00196E3A" w:rsidRPr="00202779" w:rsidRDefault="61F027E4" w:rsidP="00196E3A">
            <w:pPr>
              <w:rPr>
                <w:rFonts w:ascii="Arial" w:eastAsia="Times New Roman" w:hAnsi="Arial" w:cs="Arial"/>
                <w:sz w:val="16"/>
                <w:szCs w:val="16"/>
              </w:rPr>
            </w:pPr>
            <w:r w:rsidRPr="00202779">
              <w:rPr>
                <w:rFonts w:ascii="Arial" w:hAnsi="Arial" w:cs="Arial"/>
                <w:sz w:val="16"/>
                <w:szCs w:val="16"/>
              </w:rPr>
              <w:t xml:space="preserve">Serious risk. Analysis performed by GFI score, not by </w:t>
            </w:r>
            <w:r w:rsidR="00843062" w:rsidRPr="00202779">
              <w:rPr>
                <w:rFonts w:ascii="Arial" w:hAnsi="Arial" w:cs="Arial"/>
                <w:sz w:val="16"/>
                <w:szCs w:val="16"/>
              </w:rPr>
              <w:t>presence</w:t>
            </w:r>
            <w:r w:rsidRPr="00202779">
              <w:rPr>
                <w:rFonts w:ascii="Arial" w:hAnsi="Arial" w:cs="Arial"/>
                <w:sz w:val="16"/>
                <w:szCs w:val="16"/>
              </w:rPr>
              <w:t xml:space="preserve"> of frailty</w:t>
            </w:r>
            <w:r w:rsidR="00196E3A" w:rsidRPr="00202779">
              <w:rPr>
                <w:rFonts w:ascii="Arial" w:hAnsi="Arial" w:cs="Arial"/>
                <w:sz w:val="16"/>
                <w:szCs w:val="16"/>
              </w:rPr>
              <w:t>.</w:t>
            </w:r>
          </w:p>
        </w:tc>
      </w:tr>
      <w:tr w:rsidR="00202779" w:rsidRPr="00202779" w14:paraId="4144EEE3" w14:textId="77777777" w:rsidTr="22EED720">
        <w:trPr>
          <w:trHeight w:val="432"/>
        </w:trPr>
        <w:tc>
          <w:tcPr>
            <w:tcW w:w="5040" w:type="dxa"/>
            <w:hideMark/>
          </w:tcPr>
          <w:p w14:paraId="4307B79F" w14:textId="0777B299"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in selection of participants into the study:</w:t>
            </w:r>
          </w:p>
          <w:p w14:paraId="1A1C3172" w14:textId="160B4E82"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When exclusion of some eligible participants, or the initial follow-up time of some participants, or some outcome events is related to both intervention and outcome, there will be an association between interventions and outcome even if the effects of the interventions are identical.</w:t>
            </w:r>
          </w:p>
        </w:tc>
        <w:tc>
          <w:tcPr>
            <w:tcW w:w="4315" w:type="dxa"/>
            <w:hideMark/>
          </w:tcPr>
          <w:p w14:paraId="46A19E5B" w14:textId="77777777" w:rsidR="00196E3A" w:rsidRPr="00202779" w:rsidRDefault="00196E3A" w:rsidP="00196E3A">
            <w:pPr>
              <w:rPr>
                <w:rFonts w:ascii="Arial" w:hAnsi="Arial" w:cs="Arial"/>
                <w:sz w:val="16"/>
                <w:szCs w:val="16"/>
              </w:rPr>
            </w:pPr>
            <w:r w:rsidRPr="00202779">
              <w:rPr>
                <w:rFonts w:ascii="Arial" w:hAnsi="Arial" w:cs="Arial"/>
                <w:sz w:val="16"/>
                <w:szCs w:val="16"/>
              </w:rPr>
              <w:t>Low Risk. Vascular surgery patients were all included consecutively.</w:t>
            </w:r>
          </w:p>
        </w:tc>
      </w:tr>
      <w:tr w:rsidR="00202779" w:rsidRPr="00202779" w14:paraId="2522B183" w14:textId="77777777" w:rsidTr="22EED720">
        <w:trPr>
          <w:trHeight w:val="432"/>
        </w:trPr>
        <w:tc>
          <w:tcPr>
            <w:tcW w:w="5040" w:type="dxa"/>
            <w:hideMark/>
          </w:tcPr>
          <w:p w14:paraId="0C8D4E8A"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classification of interventions:</w:t>
            </w:r>
          </w:p>
          <w:p w14:paraId="240AAFF8" w14:textId="4ACF8A2C"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sz w:val="16"/>
                <w:szCs w:val="16"/>
              </w:rPr>
              <w:t>Bias introduced by either differential or non-differential misclassification of intervention status. 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p>
        </w:tc>
        <w:tc>
          <w:tcPr>
            <w:tcW w:w="4315" w:type="dxa"/>
            <w:hideMark/>
          </w:tcPr>
          <w:p w14:paraId="490D7A89"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Low Risk. The</w:t>
            </w:r>
            <w:r w:rsidRPr="00202779">
              <w:rPr>
                <w:rFonts w:ascii="Arial" w:eastAsia="Arial" w:hAnsi="Arial" w:cs="Arial"/>
                <w:sz w:val="16"/>
                <w:szCs w:val="16"/>
              </w:rPr>
              <w:t xml:space="preserve"> Groningen Frailty Index</w:t>
            </w:r>
            <w:r w:rsidRPr="00202779">
              <w:rPr>
                <w:rFonts w:ascii="Arial" w:hAnsi="Arial" w:cs="Arial"/>
                <w:sz w:val="16"/>
                <w:szCs w:val="16"/>
              </w:rPr>
              <w:t xml:space="preserve"> was properly administered.</w:t>
            </w:r>
          </w:p>
        </w:tc>
      </w:tr>
      <w:tr w:rsidR="00202779" w:rsidRPr="00202779" w14:paraId="0FD526BB" w14:textId="77777777" w:rsidTr="22EED720">
        <w:trPr>
          <w:trHeight w:val="432"/>
        </w:trPr>
        <w:tc>
          <w:tcPr>
            <w:tcW w:w="5040" w:type="dxa"/>
            <w:hideMark/>
          </w:tcPr>
          <w:p w14:paraId="3F00BCF7"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due to deviations from intended interventions:</w:t>
            </w:r>
          </w:p>
          <w:p w14:paraId="1A5E296C" w14:textId="401CD438"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there are systematic differences between experimental intervention and comparator groups in the care provided, which represent a deviation from the intended intervention(s). Assessment of bias in this domain will depend on the type of effect of interest (either the effect of assignment to intervention or the effect of starting and adhering to intervention).</w:t>
            </w:r>
          </w:p>
        </w:tc>
        <w:tc>
          <w:tcPr>
            <w:tcW w:w="4315" w:type="dxa"/>
            <w:hideMark/>
          </w:tcPr>
          <w:p w14:paraId="2967D7F9" w14:textId="77777777"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Low Risk. </w:t>
            </w:r>
            <w:r w:rsidRPr="00202779">
              <w:rPr>
                <w:rFonts w:ascii="Arial" w:eastAsia="Arial" w:hAnsi="Arial" w:cs="Arial"/>
                <w:sz w:val="16"/>
                <w:szCs w:val="16"/>
              </w:rPr>
              <w:t xml:space="preserve">There were no systematic processes affecting the designation of frailty versus </w:t>
            </w:r>
            <w:proofErr w:type="spellStart"/>
            <w:r w:rsidRPr="00202779">
              <w:rPr>
                <w:rFonts w:ascii="Arial" w:eastAsia="Arial" w:hAnsi="Arial" w:cs="Arial"/>
                <w:sz w:val="16"/>
                <w:szCs w:val="16"/>
              </w:rPr>
              <w:t>nonfrailty</w:t>
            </w:r>
            <w:proofErr w:type="spellEnd"/>
            <w:r w:rsidRPr="00202779">
              <w:rPr>
                <w:rFonts w:ascii="Arial" w:eastAsia="Arial" w:hAnsi="Arial" w:cs="Arial"/>
                <w:sz w:val="16"/>
                <w:szCs w:val="16"/>
              </w:rPr>
              <w:t>.</w:t>
            </w:r>
            <w:r w:rsidRPr="00202779">
              <w:rPr>
                <w:rFonts w:ascii="Arial" w:hAnsi="Arial" w:cs="Arial"/>
                <w:sz w:val="16"/>
                <w:szCs w:val="16"/>
              </w:rPr>
              <w:t xml:space="preserve"> </w:t>
            </w:r>
          </w:p>
        </w:tc>
      </w:tr>
      <w:tr w:rsidR="00202779" w:rsidRPr="00202779" w14:paraId="3B7F1711" w14:textId="77777777" w:rsidTr="22EED720">
        <w:trPr>
          <w:trHeight w:val="432"/>
        </w:trPr>
        <w:tc>
          <w:tcPr>
            <w:tcW w:w="5040" w:type="dxa"/>
            <w:hideMark/>
          </w:tcPr>
          <w:p w14:paraId="7F3B7B0B" w14:textId="2D0651EB" w:rsidR="00196E3A" w:rsidRPr="00202779" w:rsidRDefault="00196E3A" w:rsidP="00196E3A">
            <w:pPr>
              <w:rPr>
                <w:rFonts w:ascii="Arial" w:eastAsia="Times New Roman" w:hAnsi="Arial" w:cs="Arial"/>
                <w:sz w:val="16"/>
                <w:szCs w:val="16"/>
              </w:rPr>
            </w:pPr>
            <w:r w:rsidRPr="00202779">
              <w:rPr>
                <w:rFonts w:ascii="Arial" w:eastAsia="Times New Roman" w:hAnsi="Arial" w:cs="Arial"/>
                <w:b/>
                <w:bCs/>
                <w:sz w:val="16"/>
                <w:szCs w:val="16"/>
              </w:rPr>
              <w:t>Bias due to missing data:</w:t>
            </w:r>
          </w:p>
          <w:p w14:paraId="27EC4E28" w14:textId="66817B96"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that arises when later follow-up is missing for individuals initially included and followed (such as differential loss to follow-up that is affected by prognostic factors); bias due to exclusion of individuals with missing information about intervention status or other variables such as confounders.</w:t>
            </w:r>
          </w:p>
        </w:tc>
        <w:tc>
          <w:tcPr>
            <w:tcW w:w="4315" w:type="dxa"/>
            <w:hideMark/>
          </w:tcPr>
          <w:p w14:paraId="2F7F236F" w14:textId="106F13D2" w:rsidR="00196E3A" w:rsidRPr="00202779" w:rsidRDefault="00196E3A" w:rsidP="002546C6">
            <w:pPr>
              <w:rPr>
                <w:rFonts w:ascii="Arial" w:eastAsia="Times New Roman" w:hAnsi="Arial" w:cs="Arial"/>
                <w:sz w:val="16"/>
                <w:szCs w:val="16"/>
              </w:rPr>
            </w:pPr>
            <w:r w:rsidRPr="00202779">
              <w:rPr>
                <w:rFonts w:ascii="Arial" w:hAnsi="Arial" w:cs="Arial"/>
                <w:sz w:val="16"/>
                <w:szCs w:val="16"/>
              </w:rPr>
              <w:t xml:space="preserve">Serious Risk. Delirium was measured for three nursing shifts, but it is unclear whether or not these shifts were consecutive, or on which postoperative day screening for delirium began. In addition, it is unclear what the duration of delirium screening was. </w:t>
            </w:r>
          </w:p>
        </w:tc>
      </w:tr>
      <w:tr w:rsidR="00202779" w:rsidRPr="00202779" w14:paraId="3E7128F9" w14:textId="77777777" w:rsidTr="22EED720">
        <w:trPr>
          <w:trHeight w:val="432"/>
        </w:trPr>
        <w:tc>
          <w:tcPr>
            <w:tcW w:w="5040" w:type="dxa"/>
            <w:hideMark/>
          </w:tcPr>
          <w:p w14:paraId="15A4B46E"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measurement of outcomes:</w:t>
            </w:r>
          </w:p>
          <w:p w14:paraId="6AAA9DD9" w14:textId="77777777"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to intervention status or effects.</w:t>
            </w:r>
          </w:p>
        </w:tc>
        <w:tc>
          <w:tcPr>
            <w:tcW w:w="4315" w:type="dxa"/>
            <w:hideMark/>
          </w:tcPr>
          <w:p w14:paraId="2E768F62" w14:textId="1C61EB8F" w:rsidR="00196E3A" w:rsidRPr="00202779" w:rsidRDefault="00196E3A" w:rsidP="00196E3A">
            <w:pPr>
              <w:rPr>
                <w:rFonts w:ascii="Arial" w:hAnsi="Arial" w:cs="Arial"/>
                <w:sz w:val="16"/>
                <w:szCs w:val="16"/>
              </w:rPr>
            </w:pPr>
            <w:r w:rsidRPr="00202779">
              <w:rPr>
                <w:rFonts w:ascii="Arial" w:hAnsi="Arial" w:cs="Arial"/>
                <w:sz w:val="16"/>
                <w:szCs w:val="16"/>
              </w:rPr>
              <w:t xml:space="preserve">Serious Risk. "During admission, all patients were observed by nurses trained for this study during three shifts. When POD was highly suspected, the ward doctor was informed and further assessment was done by using the delirium observation screening scale (DOS)." This method involves a </w:t>
            </w:r>
            <w:r w:rsidR="002546C6" w:rsidRPr="00202779">
              <w:rPr>
                <w:rFonts w:ascii="Arial" w:hAnsi="Arial" w:cs="Arial"/>
                <w:sz w:val="16"/>
                <w:szCs w:val="16"/>
              </w:rPr>
              <w:t>“</w:t>
            </w:r>
            <w:r w:rsidRPr="00202779">
              <w:rPr>
                <w:rFonts w:ascii="Arial" w:hAnsi="Arial" w:cs="Arial"/>
                <w:sz w:val="16"/>
                <w:szCs w:val="16"/>
              </w:rPr>
              <w:t>filtering</w:t>
            </w:r>
            <w:r w:rsidR="002546C6" w:rsidRPr="00202779">
              <w:rPr>
                <w:rFonts w:ascii="Arial" w:hAnsi="Arial" w:cs="Arial"/>
                <w:sz w:val="16"/>
                <w:szCs w:val="16"/>
              </w:rPr>
              <w:t>”</w:t>
            </w:r>
            <w:r w:rsidRPr="00202779">
              <w:rPr>
                <w:rFonts w:ascii="Arial" w:hAnsi="Arial" w:cs="Arial"/>
                <w:sz w:val="16"/>
                <w:szCs w:val="16"/>
              </w:rPr>
              <w:t xml:space="preserve"> step which could significantly underestimate the incidence of delirium.</w:t>
            </w:r>
          </w:p>
          <w:p w14:paraId="15677E9E" w14:textId="77777777" w:rsidR="00196E3A" w:rsidRPr="00202779" w:rsidRDefault="00196E3A" w:rsidP="00196E3A">
            <w:pPr>
              <w:rPr>
                <w:rFonts w:ascii="Arial" w:eastAsia="Times New Roman" w:hAnsi="Arial" w:cs="Arial"/>
                <w:sz w:val="16"/>
                <w:szCs w:val="16"/>
              </w:rPr>
            </w:pPr>
          </w:p>
        </w:tc>
      </w:tr>
      <w:tr w:rsidR="00202779" w:rsidRPr="00202779" w14:paraId="26F0B9E8" w14:textId="77777777" w:rsidTr="22EED720">
        <w:trPr>
          <w:trHeight w:val="432"/>
        </w:trPr>
        <w:tc>
          <w:tcPr>
            <w:tcW w:w="5040" w:type="dxa"/>
            <w:hideMark/>
          </w:tcPr>
          <w:p w14:paraId="163DAD6E" w14:textId="77777777"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Bias in selection of the reported result:</w:t>
            </w:r>
          </w:p>
          <w:p w14:paraId="573307B0" w14:textId="7396A0DE" w:rsidR="00196E3A" w:rsidRPr="00202779" w:rsidRDefault="00196E3A" w:rsidP="00196E3A">
            <w:pPr>
              <w:rPr>
                <w:rFonts w:ascii="Arial" w:eastAsia="Times New Roman" w:hAnsi="Arial" w:cs="Arial"/>
                <w:sz w:val="16"/>
                <w:szCs w:val="16"/>
              </w:rPr>
            </w:pPr>
            <w:r w:rsidRPr="00202779">
              <w:rPr>
                <w:rFonts w:ascii="Arial" w:eastAsia="Times New Roman" w:hAnsi="Arial" w:cs="Arial"/>
                <w:sz w:val="16"/>
                <w:szCs w:val="16"/>
              </w:rPr>
              <w:t>Selective reporting of results in a way that depends on the findings and prevents the estimate from being included in a meta-analysis (or other synthesis).</w:t>
            </w:r>
          </w:p>
        </w:tc>
        <w:tc>
          <w:tcPr>
            <w:tcW w:w="4315" w:type="dxa"/>
            <w:hideMark/>
          </w:tcPr>
          <w:p w14:paraId="5BBAC3A7" w14:textId="74A64F45" w:rsidR="00196E3A" w:rsidRPr="00202779" w:rsidRDefault="00196E3A" w:rsidP="00196E3A">
            <w:pPr>
              <w:rPr>
                <w:rFonts w:ascii="Arial" w:eastAsia="Times New Roman" w:hAnsi="Arial" w:cs="Arial"/>
                <w:sz w:val="16"/>
                <w:szCs w:val="16"/>
              </w:rPr>
            </w:pPr>
            <w:r w:rsidRPr="00202779">
              <w:rPr>
                <w:rFonts w:ascii="Arial" w:hAnsi="Arial" w:cs="Arial"/>
                <w:sz w:val="16"/>
                <w:szCs w:val="16"/>
              </w:rPr>
              <w:t xml:space="preserve">Low Risk: </w:t>
            </w:r>
            <w:r w:rsidR="002546C6" w:rsidRPr="00202779">
              <w:rPr>
                <w:rFonts w:ascii="Arial" w:hAnsi="Arial" w:cs="Arial"/>
                <w:sz w:val="16"/>
                <w:szCs w:val="16"/>
              </w:rPr>
              <w:t>T</w:t>
            </w:r>
            <w:r w:rsidRPr="00202779">
              <w:rPr>
                <w:rFonts w:ascii="Arial" w:hAnsi="Arial" w:cs="Arial"/>
                <w:sz w:val="16"/>
                <w:szCs w:val="16"/>
              </w:rPr>
              <w:t>here is no evidence of bias.</w:t>
            </w:r>
          </w:p>
        </w:tc>
      </w:tr>
      <w:tr w:rsidR="00202779" w:rsidRPr="00202779" w14:paraId="69EE67B3" w14:textId="77777777" w:rsidTr="22EED720">
        <w:trPr>
          <w:trHeight w:val="54"/>
        </w:trPr>
        <w:tc>
          <w:tcPr>
            <w:tcW w:w="5040" w:type="dxa"/>
            <w:hideMark/>
          </w:tcPr>
          <w:p w14:paraId="7C18C3C2" w14:textId="2C549339" w:rsidR="00196E3A" w:rsidRPr="00202779" w:rsidRDefault="00196E3A" w:rsidP="00196E3A">
            <w:pPr>
              <w:rPr>
                <w:rFonts w:ascii="Arial" w:eastAsia="Times New Roman" w:hAnsi="Arial" w:cs="Arial"/>
                <w:b/>
                <w:bCs/>
                <w:sz w:val="16"/>
                <w:szCs w:val="16"/>
              </w:rPr>
            </w:pPr>
            <w:r w:rsidRPr="00202779">
              <w:rPr>
                <w:rFonts w:ascii="Arial" w:eastAsia="Times New Roman" w:hAnsi="Arial" w:cs="Arial"/>
                <w:b/>
                <w:bCs/>
                <w:sz w:val="16"/>
                <w:szCs w:val="16"/>
              </w:rPr>
              <w:t>Overall risk of bias judgement</w:t>
            </w:r>
          </w:p>
        </w:tc>
        <w:tc>
          <w:tcPr>
            <w:tcW w:w="4315" w:type="dxa"/>
            <w:hideMark/>
          </w:tcPr>
          <w:p w14:paraId="5D1AD872" w14:textId="5D615F48" w:rsidR="00196E3A" w:rsidRPr="00202779" w:rsidRDefault="00196E3A" w:rsidP="002546C6">
            <w:pPr>
              <w:rPr>
                <w:rFonts w:ascii="Arial" w:hAnsi="Arial" w:cs="Arial"/>
                <w:sz w:val="16"/>
                <w:szCs w:val="16"/>
              </w:rPr>
            </w:pPr>
            <w:r w:rsidRPr="00202779">
              <w:rPr>
                <w:rFonts w:ascii="Arial" w:hAnsi="Arial" w:cs="Arial"/>
                <w:sz w:val="16"/>
                <w:szCs w:val="16"/>
              </w:rPr>
              <w:t xml:space="preserve">Serious Risk: Due to </w:t>
            </w:r>
            <w:r w:rsidR="21386879" w:rsidRPr="00202779">
              <w:rPr>
                <w:rFonts w:ascii="Arial" w:hAnsi="Arial" w:cs="Arial"/>
                <w:sz w:val="16"/>
                <w:szCs w:val="16"/>
              </w:rPr>
              <w:t xml:space="preserve">confounding, </w:t>
            </w:r>
            <w:r w:rsidRPr="00202779">
              <w:rPr>
                <w:rFonts w:ascii="Arial" w:hAnsi="Arial" w:cs="Arial"/>
                <w:sz w:val="16"/>
                <w:szCs w:val="16"/>
              </w:rPr>
              <w:t>Missing Data and Measurement of Outcomes.</w:t>
            </w:r>
          </w:p>
        </w:tc>
      </w:tr>
    </w:tbl>
    <w:p w14:paraId="7A0D3982" w14:textId="77777777" w:rsidR="001B151D" w:rsidRPr="00202779" w:rsidRDefault="001B151D" w:rsidP="00464D4C">
      <w:pPr>
        <w:spacing w:after="0" w:line="360" w:lineRule="auto"/>
        <w:rPr>
          <w:rFonts w:ascii="Arial" w:hAnsi="Arial" w:cs="Arial"/>
          <w:b/>
          <w:bCs/>
          <w:sz w:val="24"/>
          <w:szCs w:val="24"/>
        </w:rPr>
      </w:pPr>
    </w:p>
    <w:p w14:paraId="68641740" w14:textId="77777777" w:rsidR="007D7946" w:rsidRPr="00202779" w:rsidRDefault="007D7946" w:rsidP="00464D4C">
      <w:pPr>
        <w:spacing w:after="0" w:line="360" w:lineRule="auto"/>
        <w:rPr>
          <w:rFonts w:ascii="Arial" w:hAnsi="Arial" w:cs="Arial"/>
          <w:b/>
          <w:bCs/>
          <w:sz w:val="24"/>
          <w:szCs w:val="24"/>
        </w:rPr>
      </w:pPr>
    </w:p>
    <w:p w14:paraId="62DCE929" w14:textId="77777777" w:rsidR="007D7946" w:rsidRPr="00202779" w:rsidRDefault="007D7946" w:rsidP="00464D4C">
      <w:pPr>
        <w:spacing w:after="0" w:line="360" w:lineRule="auto"/>
        <w:rPr>
          <w:rFonts w:ascii="Arial" w:hAnsi="Arial" w:cs="Arial"/>
          <w:b/>
          <w:bCs/>
          <w:sz w:val="24"/>
          <w:szCs w:val="24"/>
        </w:rPr>
      </w:pPr>
    </w:p>
    <w:p w14:paraId="4FE9ADD9" w14:textId="77777777" w:rsidR="00196E3A" w:rsidRDefault="00196E3A">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52BF4382" w14:textId="77777777" w:rsidR="00464D4C" w:rsidRDefault="00464D4C" w:rsidP="00464D4C">
      <w:pPr>
        <w:spacing w:after="0" w:line="360" w:lineRule="auto"/>
        <w:rPr>
          <w:rFonts w:ascii="Arial" w:hAnsi="Arial" w:cs="Arial"/>
          <w:b/>
          <w:bCs/>
          <w:color w:val="000000" w:themeColor="text1"/>
          <w:sz w:val="24"/>
          <w:szCs w:val="24"/>
        </w:rPr>
      </w:pPr>
      <w:r w:rsidRPr="00D34691">
        <w:rPr>
          <w:rFonts w:ascii="Arial" w:hAnsi="Arial" w:cs="Arial"/>
          <w:b/>
          <w:bCs/>
          <w:color w:val="000000" w:themeColor="text1"/>
          <w:sz w:val="24"/>
          <w:szCs w:val="24"/>
        </w:rPr>
        <w:lastRenderedPageBreak/>
        <w:t>Supplemental Figures</w:t>
      </w:r>
    </w:p>
    <w:p w14:paraId="0E8DBEBA" w14:textId="77777777" w:rsidR="00464D4C" w:rsidRPr="00D34691" w:rsidRDefault="00464D4C" w:rsidP="00464D4C">
      <w:pPr>
        <w:spacing w:after="0" w:line="360" w:lineRule="auto"/>
        <w:rPr>
          <w:rFonts w:ascii="Arial" w:hAnsi="Arial" w:cs="Arial"/>
          <w:b/>
          <w:bCs/>
          <w:color w:val="000000" w:themeColor="text1"/>
          <w:sz w:val="24"/>
          <w:szCs w:val="24"/>
        </w:rPr>
      </w:pPr>
    </w:p>
    <w:p w14:paraId="6EDA99A5" w14:textId="6D8E327E" w:rsidR="00464D4C" w:rsidRDefault="00464D4C" w:rsidP="00464D4C">
      <w:pPr>
        <w:spacing w:after="0" w:line="360" w:lineRule="auto"/>
        <w:rPr>
          <w:rFonts w:ascii="Arial" w:hAnsi="Arial" w:cs="Arial"/>
          <w:color w:val="000000" w:themeColor="text1"/>
          <w:sz w:val="24"/>
          <w:szCs w:val="24"/>
        </w:rPr>
      </w:pPr>
      <w:r>
        <w:rPr>
          <w:rFonts w:ascii="Arial" w:hAnsi="Arial" w:cs="Arial"/>
          <w:color w:val="000000" w:themeColor="text1"/>
          <w:sz w:val="24"/>
          <w:szCs w:val="24"/>
        </w:rPr>
        <w:t>Supplemental Figure 1</w:t>
      </w:r>
      <w:r w:rsidR="002546C6">
        <w:rPr>
          <w:rFonts w:ascii="Arial" w:hAnsi="Arial" w:cs="Arial"/>
          <w:color w:val="000000" w:themeColor="text1"/>
          <w:sz w:val="24"/>
          <w:szCs w:val="24"/>
        </w:rPr>
        <w:t>.</w:t>
      </w:r>
      <w:r>
        <w:rPr>
          <w:rFonts w:ascii="Arial" w:hAnsi="Arial" w:cs="Arial"/>
          <w:color w:val="000000" w:themeColor="text1"/>
          <w:sz w:val="24"/>
          <w:szCs w:val="24"/>
        </w:rPr>
        <w:t xml:space="preserve"> Funnel Plot for Frail versus </w:t>
      </w:r>
      <w:proofErr w:type="spellStart"/>
      <w:r>
        <w:rPr>
          <w:rFonts w:ascii="Arial" w:hAnsi="Arial" w:cs="Arial"/>
          <w:color w:val="000000" w:themeColor="text1"/>
          <w:sz w:val="24"/>
          <w:szCs w:val="24"/>
        </w:rPr>
        <w:t>Nonfrail</w:t>
      </w:r>
      <w:proofErr w:type="spellEnd"/>
      <w:r w:rsidR="002546C6">
        <w:rPr>
          <w:rFonts w:ascii="Arial" w:hAnsi="Arial" w:cs="Arial"/>
          <w:color w:val="000000" w:themeColor="text1"/>
          <w:sz w:val="24"/>
          <w:szCs w:val="24"/>
        </w:rPr>
        <w:t>.</w:t>
      </w:r>
    </w:p>
    <w:p w14:paraId="534531FF" w14:textId="77777777" w:rsidR="00464D4C" w:rsidRPr="006807F6" w:rsidRDefault="00464D4C" w:rsidP="00464D4C">
      <w:pPr>
        <w:spacing w:after="0" w:line="360" w:lineRule="auto"/>
        <w:rPr>
          <w:rFonts w:ascii="Arial" w:hAnsi="Arial" w:cs="Arial"/>
          <w:color w:val="000000" w:themeColor="text1"/>
          <w:sz w:val="24"/>
          <w:szCs w:val="24"/>
        </w:rPr>
      </w:pPr>
    </w:p>
    <w:p w14:paraId="209BE293" w14:textId="174A8B53" w:rsidR="00464D4C" w:rsidRDefault="00560809" w:rsidP="00464D4C">
      <w:pPr>
        <w:spacing w:after="0" w:line="360" w:lineRule="auto"/>
        <w:rPr>
          <w:rFonts w:ascii="Arial" w:hAnsi="Arial" w:cs="Arial"/>
          <w:b/>
          <w:bCs/>
          <w:color w:val="000000" w:themeColor="text1"/>
          <w:sz w:val="24"/>
          <w:szCs w:val="24"/>
        </w:rPr>
      </w:pPr>
      <w:r>
        <w:rPr>
          <w:noProof/>
        </w:rPr>
        <w:drawing>
          <wp:inline distT="0" distB="0" distL="0" distR="0" wp14:anchorId="21CF9A77" wp14:editId="6F6E0E41">
            <wp:extent cx="5943600" cy="3343275"/>
            <wp:effectExtent l="0" t="0" r="0"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74FDA33" w14:textId="77777777" w:rsidR="00464D4C" w:rsidRDefault="00464D4C" w:rsidP="00464D4C">
      <w:pPr>
        <w:spacing w:after="0" w:line="360" w:lineRule="auto"/>
        <w:rPr>
          <w:rFonts w:ascii="Arial" w:hAnsi="Arial" w:cs="Arial"/>
          <w:b/>
          <w:bCs/>
          <w:color w:val="000000" w:themeColor="text1"/>
          <w:sz w:val="24"/>
          <w:szCs w:val="24"/>
        </w:rPr>
      </w:pPr>
    </w:p>
    <w:p w14:paraId="6D72A43A" w14:textId="77777777" w:rsidR="00464D4C" w:rsidRDefault="00464D4C" w:rsidP="00464D4C">
      <w:pPr>
        <w:spacing w:after="0" w:line="360" w:lineRule="auto"/>
        <w:rPr>
          <w:rFonts w:ascii="Arial" w:hAnsi="Arial" w:cs="Arial"/>
          <w:b/>
          <w:bCs/>
          <w:color w:val="000000" w:themeColor="text1"/>
          <w:sz w:val="24"/>
          <w:szCs w:val="24"/>
        </w:rPr>
      </w:pPr>
    </w:p>
    <w:p w14:paraId="62132CC5" w14:textId="77777777" w:rsidR="00464D4C" w:rsidRDefault="00464D4C" w:rsidP="00464D4C">
      <w:pPr>
        <w:spacing w:after="0" w:line="360" w:lineRule="auto"/>
        <w:rPr>
          <w:rFonts w:ascii="Arial" w:hAnsi="Arial" w:cs="Arial"/>
          <w:b/>
          <w:bCs/>
          <w:color w:val="000000" w:themeColor="text1"/>
          <w:sz w:val="24"/>
          <w:szCs w:val="24"/>
        </w:rPr>
      </w:pPr>
    </w:p>
    <w:p w14:paraId="14A96A65" w14:textId="77777777" w:rsidR="00464D4C" w:rsidRDefault="00464D4C" w:rsidP="00464D4C">
      <w:pPr>
        <w:spacing w:after="0" w:line="360" w:lineRule="auto"/>
        <w:rPr>
          <w:rFonts w:ascii="Arial" w:hAnsi="Arial" w:cs="Arial"/>
          <w:b/>
          <w:bCs/>
          <w:color w:val="000000" w:themeColor="text1"/>
          <w:sz w:val="24"/>
          <w:szCs w:val="24"/>
        </w:rPr>
      </w:pPr>
    </w:p>
    <w:p w14:paraId="42635C97" w14:textId="77777777" w:rsidR="00464D4C" w:rsidRDefault="00464D4C" w:rsidP="00464D4C">
      <w:pPr>
        <w:spacing w:after="0" w:line="360" w:lineRule="auto"/>
        <w:rPr>
          <w:rFonts w:ascii="Arial" w:hAnsi="Arial" w:cs="Arial"/>
          <w:b/>
          <w:bCs/>
          <w:color w:val="000000" w:themeColor="text1"/>
          <w:sz w:val="24"/>
          <w:szCs w:val="24"/>
        </w:rPr>
      </w:pPr>
    </w:p>
    <w:p w14:paraId="78E3D3A9" w14:textId="77777777" w:rsidR="00464D4C" w:rsidRDefault="00464D4C" w:rsidP="00464D4C">
      <w:pPr>
        <w:spacing w:after="0" w:line="360" w:lineRule="auto"/>
        <w:rPr>
          <w:rFonts w:ascii="Arial" w:hAnsi="Arial" w:cs="Arial"/>
          <w:b/>
          <w:bCs/>
          <w:color w:val="000000" w:themeColor="text1"/>
          <w:sz w:val="24"/>
          <w:szCs w:val="24"/>
        </w:rPr>
      </w:pPr>
    </w:p>
    <w:p w14:paraId="573BED2F" w14:textId="77777777" w:rsidR="00464D4C" w:rsidRDefault="00464D4C" w:rsidP="00464D4C">
      <w:pPr>
        <w:spacing w:after="0" w:line="360" w:lineRule="auto"/>
        <w:rPr>
          <w:rFonts w:ascii="Arial" w:hAnsi="Arial" w:cs="Arial"/>
          <w:b/>
          <w:bCs/>
          <w:color w:val="000000" w:themeColor="text1"/>
          <w:sz w:val="24"/>
          <w:szCs w:val="24"/>
        </w:rPr>
      </w:pPr>
    </w:p>
    <w:p w14:paraId="31070868" w14:textId="77777777" w:rsidR="00464D4C" w:rsidRDefault="00464D4C" w:rsidP="00464D4C">
      <w:pPr>
        <w:spacing w:after="0" w:line="360" w:lineRule="auto"/>
        <w:rPr>
          <w:rFonts w:ascii="Arial" w:hAnsi="Arial" w:cs="Arial"/>
          <w:b/>
          <w:bCs/>
          <w:color w:val="000000" w:themeColor="text1"/>
          <w:sz w:val="24"/>
          <w:szCs w:val="24"/>
        </w:rPr>
      </w:pPr>
    </w:p>
    <w:p w14:paraId="75DA3992" w14:textId="77777777" w:rsidR="00464D4C" w:rsidRDefault="00464D4C" w:rsidP="00464D4C">
      <w:pPr>
        <w:spacing w:after="0" w:line="360" w:lineRule="auto"/>
        <w:rPr>
          <w:rFonts w:ascii="Arial" w:hAnsi="Arial" w:cs="Arial"/>
          <w:b/>
          <w:bCs/>
          <w:color w:val="000000" w:themeColor="text1"/>
          <w:sz w:val="24"/>
          <w:szCs w:val="24"/>
        </w:rPr>
      </w:pPr>
    </w:p>
    <w:p w14:paraId="4FDF944B" w14:textId="77777777" w:rsidR="00464D4C" w:rsidRPr="00E5615A" w:rsidRDefault="00464D4C" w:rsidP="00464D4C">
      <w:pPr>
        <w:rPr>
          <w:rFonts w:ascii="Arial" w:hAnsi="Arial" w:cs="Arial"/>
        </w:rPr>
      </w:pPr>
    </w:p>
    <w:p w14:paraId="0C430BB8" w14:textId="77777777" w:rsidR="00560809" w:rsidRDefault="00560809" w:rsidP="00464D4C">
      <w:pPr>
        <w:rPr>
          <w:rFonts w:ascii="Arial" w:hAnsi="Arial" w:cs="Arial"/>
          <w:sz w:val="24"/>
          <w:szCs w:val="24"/>
        </w:rPr>
      </w:pPr>
    </w:p>
    <w:p w14:paraId="47E6EC34" w14:textId="77777777" w:rsidR="00560809" w:rsidRDefault="00560809" w:rsidP="00464D4C">
      <w:pPr>
        <w:rPr>
          <w:rFonts w:ascii="Arial" w:hAnsi="Arial" w:cs="Arial"/>
          <w:sz w:val="24"/>
          <w:szCs w:val="24"/>
        </w:rPr>
      </w:pPr>
    </w:p>
    <w:p w14:paraId="053E5D9D" w14:textId="77777777" w:rsidR="00560809" w:rsidRDefault="00560809" w:rsidP="00464D4C">
      <w:pPr>
        <w:rPr>
          <w:rFonts w:ascii="Arial" w:hAnsi="Arial" w:cs="Arial"/>
          <w:sz w:val="24"/>
          <w:szCs w:val="24"/>
        </w:rPr>
      </w:pPr>
    </w:p>
    <w:p w14:paraId="64BEE7A9" w14:textId="77777777" w:rsidR="00560809" w:rsidRDefault="00560809" w:rsidP="00464D4C">
      <w:pPr>
        <w:rPr>
          <w:rFonts w:ascii="Arial" w:hAnsi="Arial" w:cs="Arial"/>
          <w:sz w:val="24"/>
          <w:szCs w:val="24"/>
        </w:rPr>
      </w:pPr>
    </w:p>
    <w:p w14:paraId="4F48DDA2" w14:textId="449A0BAE" w:rsidR="00464D4C" w:rsidRDefault="00464D4C" w:rsidP="00464D4C">
      <w:pPr>
        <w:rPr>
          <w:rFonts w:ascii="Arial" w:hAnsi="Arial" w:cs="Arial"/>
          <w:sz w:val="24"/>
          <w:szCs w:val="24"/>
        </w:rPr>
      </w:pPr>
      <w:r w:rsidRPr="75271936">
        <w:rPr>
          <w:rFonts w:ascii="Arial" w:hAnsi="Arial" w:cs="Arial"/>
          <w:sz w:val="24"/>
          <w:szCs w:val="24"/>
        </w:rPr>
        <w:lastRenderedPageBreak/>
        <w:t>Supplemental Figure 2</w:t>
      </w:r>
      <w:r w:rsidR="00D06125">
        <w:rPr>
          <w:rFonts w:ascii="Arial" w:hAnsi="Arial" w:cs="Arial"/>
          <w:sz w:val="24"/>
          <w:szCs w:val="24"/>
        </w:rPr>
        <w:t>.</w:t>
      </w:r>
      <w:r w:rsidRPr="75271936">
        <w:rPr>
          <w:rFonts w:ascii="Arial" w:hAnsi="Arial" w:cs="Arial"/>
          <w:sz w:val="24"/>
          <w:szCs w:val="24"/>
        </w:rPr>
        <w:t xml:space="preserve"> Random-Effect Forest </w:t>
      </w:r>
      <w:r w:rsidR="00D06125" w:rsidRPr="75271936">
        <w:rPr>
          <w:rFonts w:ascii="Arial" w:hAnsi="Arial" w:cs="Arial"/>
          <w:sz w:val="24"/>
          <w:szCs w:val="24"/>
        </w:rPr>
        <w:t xml:space="preserve">plot for prefrail vs </w:t>
      </w:r>
      <w:proofErr w:type="spellStart"/>
      <w:r w:rsidR="00D06125" w:rsidRPr="75271936">
        <w:rPr>
          <w:rFonts w:ascii="Arial" w:hAnsi="Arial" w:cs="Arial"/>
          <w:sz w:val="24"/>
          <w:szCs w:val="24"/>
        </w:rPr>
        <w:t>nonfrail</w:t>
      </w:r>
      <w:proofErr w:type="spellEnd"/>
      <w:r w:rsidR="00D06125">
        <w:rPr>
          <w:rFonts w:ascii="Arial" w:hAnsi="Arial" w:cs="Arial"/>
          <w:sz w:val="24"/>
          <w:szCs w:val="24"/>
        </w:rPr>
        <w:t>.</w:t>
      </w:r>
    </w:p>
    <w:p w14:paraId="396B6845" w14:textId="77777777" w:rsidR="00464D4C" w:rsidRDefault="00464D4C" w:rsidP="00464D4C">
      <w:pPr>
        <w:rPr>
          <w:rFonts w:ascii="Arial" w:hAnsi="Arial" w:cs="Arial"/>
        </w:rPr>
      </w:pPr>
      <w:r>
        <w:rPr>
          <w:noProof/>
        </w:rPr>
        <w:drawing>
          <wp:anchor distT="0" distB="0" distL="114300" distR="114300" simplePos="0" relativeHeight="251658240" behindDoc="0" locked="0" layoutInCell="1" allowOverlap="1" wp14:anchorId="443AA77E" wp14:editId="19385DC6">
            <wp:simplePos x="0" y="0"/>
            <wp:positionH relativeFrom="column">
              <wp:posOffset>-914400</wp:posOffset>
            </wp:positionH>
            <wp:positionV relativeFrom="paragraph">
              <wp:posOffset>271780</wp:posOffset>
            </wp:positionV>
            <wp:extent cx="7834630" cy="4714875"/>
            <wp:effectExtent l="0" t="0" r="0" b="9525"/>
            <wp:wrapSquare wrapText="bothSides"/>
            <wp:docPr id="590987128" name="Picture 59098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987128"/>
                    <pic:cNvPicPr/>
                  </pic:nvPicPr>
                  <pic:blipFill>
                    <a:blip r:embed="rId10">
                      <a:extLst>
                        <a:ext uri="{28A0092B-C50C-407E-A947-70E740481C1C}">
                          <a14:useLocalDpi xmlns:a14="http://schemas.microsoft.com/office/drawing/2010/main" val="0"/>
                        </a:ext>
                      </a:extLst>
                    </a:blip>
                    <a:stretch>
                      <a:fillRect/>
                    </a:stretch>
                  </pic:blipFill>
                  <pic:spPr>
                    <a:xfrm>
                      <a:off x="0" y="0"/>
                      <a:ext cx="7834630" cy="4714875"/>
                    </a:xfrm>
                    <a:prstGeom prst="rect">
                      <a:avLst/>
                    </a:prstGeom>
                  </pic:spPr>
                </pic:pic>
              </a:graphicData>
            </a:graphic>
            <wp14:sizeRelH relativeFrom="margin">
              <wp14:pctWidth>0</wp14:pctWidth>
            </wp14:sizeRelH>
            <wp14:sizeRelV relativeFrom="margin">
              <wp14:pctHeight>0</wp14:pctHeight>
            </wp14:sizeRelV>
          </wp:anchor>
        </w:drawing>
      </w:r>
    </w:p>
    <w:p w14:paraId="688BDF6D" w14:textId="77777777" w:rsidR="00464D4C" w:rsidRPr="00E5615A" w:rsidRDefault="00464D4C" w:rsidP="00464D4C">
      <w:pPr>
        <w:rPr>
          <w:rFonts w:ascii="Arial" w:hAnsi="Arial" w:cs="Arial"/>
        </w:rPr>
      </w:pPr>
    </w:p>
    <w:p w14:paraId="590759EC" w14:textId="77777777" w:rsidR="00464D4C" w:rsidRPr="00E5615A" w:rsidRDefault="00464D4C" w:rsidP="00464D4C">
      <w:pPr>
        <w:rPr>
          <w:rFonts w:ascii="Arial" w:hAnsi="Arial" w:cs="Arial"/>
        </w:rPr>
      </w:pPr>
    </w:p>
    <w:p w14:paraId="0A11A035" w14:textId="77777777" w:rsidR="00464D4C" w:rsidRPr="00E5615A" w:rsidRDefault="00464D4C" w:rsidP="00464D4C">
      <w:pPr>
        <w:rPr>
          <w:rFonts w:ascii="Arial" w:hAnsi="Arial" w:cs="Arial"/>
        </w:rPr>
      </w:pPr>
    </w:p>
    <w:p w14:paraId="613BD330" w14:textId="77777777" w:rsidR="00464D4C" w:rsidRDefault="00464D4C" w:rsidP="00464D4C">
      <w:pPr>
        <w:rPr>
          <w:rFonts w:ascii="Arial" w:hAnsi="Arial" w:cs="Arial"/>
          <w:sz w:val="24"/>
          <w:szCs w:val="24"/>
        </w:rPr>
      </w:pPr>
    </w:p>
    <w:p w14:paraId="4F21D2A5" w14:textId="77777777" w:rsidR="00464D4C" w:rsidRDefault="00464D4C" w:rsidP="00464D4C">
      <w:pPr>
        <w:rPr>
          <w:rFonts w:ascii="Arial" w:hAnsi="Arial" w:cs="Arial"/>
          <w:sz w:val="24"/>
          <w:szCs w:val="24"/>
        </w:rPr>
      </w:pPr>
    </w:p>
    <w:p w14:paraId="5F9AE798" w14:textId="77777777" w:rsidR="00464D4C" w:rsidRDefault="00464D4C" w:rsidP="00464D4C">
      <w:pPr>
        <w:rPr>
          <w:rFonts w:ascii="Arial" w:hAnsi="Arial" w:cs="Arial"/>
          <w:sz w:val="24"/>
          <w:szCs w:val="24"/>
        </w:rPr>
      </w:pPr>
    </w:p>
    <w:p w14:paraId="54B3A263" w14:textId="77777777" w:rsidR="00464D4C" w:rsidRDefault="00464D4C" w:rsidP="00464D4C">
      <w:pPr>
        <w:rPr>
          <w:rFonts w:ascii="Arial" w:hAnsi="Arial" w:cs="Arial"/>
          <w:sz w:val="24"/>
          <w:szCs w:val="24"/>
        </w:rPr>
      </w:pPr>
    </w:p>
    <w:p w14:paraId="0A698696" w14:textId="77777777" w:rsidR="00464D4C" w:rsidRDefault="00464D4C" w:rsidP="00464D4C">
      <w:pPr>
        <w:rPr>
          <w:rFonts w:ascii="Arial" w:hAnsi="Arial" w:cs="Arial"/>
          <w:sz w:val="24"/>
          <w:szCs w:val="24"/>
        </w:rPr>
      </w:pPr>
    </w:p>
    <w:p w14:paraId="0D5CDB12" w14:textId="77777777" w:rsidR="00464D4C" w:rsidRDefault="00464D4C" w:rsidP="00464D4C">
      <w:pPr>
        <w:rPr>
          <w:rFonts w:ascii="Arial" w:hAnsi="Arial" w:cs="Arial"/>
          <w:sz w:val="24"/>
          <w:szCs w:val="24"/>
        </w:rPr>
      </w:pPr>
    </w:p>
    <w:p w14:paraId="3E4D0C51" w14:textId="77777777" w:rsidR="00464D4C" w:rsidRDefault="00464D4C" w:rsidP="00464D4C">
      <w:pPr>
        <w:rPr>
          <w:rFonts w:ascii="Arial" w:hAnsi="Arial" w:cs="Arial"/>
          <w:sz w:val="24"/>
          <w:szCs w:val="24"/>
        </w:rPr>
      </w:pPr>
    </w:p>
    <w:p w14:paraId="2CDE63E8" w14:textId="77777777" w:rsidR="00464D4C" w:rsidRDefault="00464D4C" w:rsidP="00464D4C">
      <w:pPr>
        <w:rPr>
          <w:rFonts w:ascii="Arial" w:hAnsi="Arial" w:cs="Arial"/>
          <w:sz w:val="24"/>
          <w:szCs w:val="24"/>
        </w:rPr>
      </w:pPr>
    </w:p>
    <w:p w14:paraId="6AAB8502" w14:textId="77254C33" w:rsidR="00464D4C" w:rsidRPr="00021CD5" w:rsidRDefault="00464D4C" w:rsidP="00464D4C">
      <w:pPr>
        <w:rPr>
          <w:rFonts w:ascii="Arial" w:hAnsi="Arial" w:cs="Arial"/>
          <w:sz w:val="24"/>
          <w:szCs w:val="24"/>
        </w:rPr>
      </w:pPr>
      <w:r>
        <w:rPr>
          <w:noProof/>
        </w:rPr>
        <w:drawing>
          <wp:anchor distT="0" distB="0" distL="114300" distR="114300" simplePos="0" relativeHeight="251659264" behindDoc="0" locked="0" layoutInCell="1" allowOverlap="1" wp14:anchorId="227235F8" wp14:editId="128D380C">
            <wp:simplePos x="0" y="0"/>
            <wp:positionH relativeFrom="column">
              <wp:posOffset>-838200</wp:posOffset>
            </wp:positionH>
            <wp:positionV relativeFrom="paragraph">
              <wp:posOffset>290195</wp:posOffset>
            </wp:positionV>
            <wp:extent cx="7664450" cy="4972050"/>
            <wp:effectExtent l="0" t="0" r="0" b="0"/>
            <wp:wrapSquare wrapText="bothSides"/>
            <wp:docPr id="88332674" name="Picture 8833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32674"/>
                    <pic:cNvPicPr/>
                  </pic:nvPicPr>
                  <pic:blipFill>
                    <a:blip r:embed="rId11">
                      <a:extLst>
                        <a:ext uri="{28A0092B-C50C-407E-A947-70E740481C1C}">
                          <a14:useLocalDpi xmlns:a14="http://schemas.microsoft.com/office/drawing/2010/main" val="0"/>
                        </a:ext>
                      </a:extLst>
                    </a:blip>
                    <a:stretch>
                      <a:fillRect/>
                    </a:stretch>
                  </pic:blipFill>
                  <pic:spPr>
                    <a:xfrm>
                      <a:off x="0" y="0"/>
                      <a:ext cx="7664450" cy="4972050"/>
                    </a:xfrm>
                    <a:prstGeom prst="rect">
                      <a:avLst/>
                    </a:prstGeom>
                  </pic:spPr>
                </pic:pic>
              </a:graphicData>
            </a:graphic>
            <wp14:sizeRelH relativeFrom="margin">
              <wp14:pctWidth>0</wp14:pctWidth>
            </wp14:sizeRelH>
            <wp14:sizeRelV relativeFrom="margin">
              <wp14:pctHeight>0</wp14:pctHeight>
            </wp14:sizeRelV>
          </wp:anchor>
        </w:drawing>
      </w:r>
      <w:r w:rsidRPr="75271936">
        <w:rPr>
          <w:rFonts w:ascii="Arial" w:hAnsi="Arial" w:cs="Arial"/>
          <w:sz w:val="24"/>
          <w:szCs w:val="24"/>
        </w:rPr>
        <w:t>Supplemental Figure 3</w:t>
      </w:r>
      <w:r w:rsidR="00D06125">
        <w:rPr>
          <w:rFonts w:ascii="Arial" w:hAnsi="Arial" w:cs="Arial"/>
          <w:sz w:val="24"/>
          <w:szCs w:val="24"/>
        </w:rPr>
        <w:t>.</w:t>
      </w:r>
      <w:r w:rsidRPr="75271936">
        <w:rPr>
          <w:rFonts w:ascii="Arial" w:hAnsi="Arial" w:cs="Arial"/>
          <w:sz w:val="24"/>
          <w:szCs w:val="24"/>
        </w:rPr>
        <w:t xml:space="preserve"> Random-Effect Forest </w:t>
      </w:r>
      <w:r w:rsidR="00D06125" w:rsidRPr="75271936">
        <w:rPr>
          <w:rFonts w:ascii="Arial" w:hAnsi="Arial" w:cs="Arial"/>
          <w:sz w:val="24"/>
          <w:szCs w:val="24"/>
        </w:rPr>
        <w:t xml:space="preserve">plot for frail vs (prefrail + </w:t>
      </w:r>
      <w:proofErr w:type="spellStart"/>
      <w:r w:rsidR="00D06125" w:rsidRPr="75271936">
        <w:rPr>
          <w:rFonts w:ascii="Arial" w:hAnsi="Arial" w:cs="Arial"/>
          <w:sz w:val="24"/>
          <w:szCs w:val="24"/>
        </w:rPr>
        <w:t>nonfrail</w:t>
      </w:r>
      <w:proofErr w:type="spellEnd"/>
      <w:r w:rsidRPr="75271936">
        <w:rPr>
          <w:rFonts w:ascii="Arial" w:hAnsi="Arial" w:cs="Arial"/>
          <w:sz w:val="24"/>
          <w:szCs w:val="24"/>
        </w:rPr>
        <w:t>)</w:t>
      </w:r>
      <w:r w:rsidR="00D06125">
        <w:rPr>
          <w:rFonts w:ascii="Arial" w:hAnsi="Arial" w:cs="Arial"/>
          <w:sz w:val="24"/>
          <w:szCs w:val="24"/>
        </w:rPr>
        <w:t>.</w:t>
      </w:r>
    </w:p>
    <w:p w14:paraId="511A93BD" w14:textId="77777777" w:rsidR="00464D4C" w:rsidRPr="00E5615A" w:rsidRDefault="00464D4C" w:rsidP="00464D4C"/>
    <w:p w14:paraId="03A296BA" w14:textId="77777777" w:rsidR="00464D4C" w:rsidRDefault="00464D4C" w:rsidP="00464D4C">
      <w:pPr>
        <w:rPr>
          <w:rFonts w:ascii="Arial" w:hAnsi="Arial" w:cs="Arial"/>
        </w:rPr>
      </w:pPr>
    </w:p>
    <w:p w14:paraId="0F7D019D" w14:textId="77777777" w:rsidR="00464D4C" w:rsidRDefault="00464D4C" w:rsidP="00464D4C">
      <w:pPr>
        <w:rPr>
          <w:rFonts w:ascii="Arial" w:hAnsi="Arial" w:cs="Arial"/>
        </w:rPr>
      </w:pPr>
    </w:p>
    <w:p w14:paraId="49B3A5AC" w14:textId="77777777" w:rsidR="00464D4C" w:rsidRDefault="00464D4C" w:rsidP="00464D4C">
      <w:pPr>
        <w:rPr>
          <w:rFonts w:ascii="Arial" w:hAnsi="Arial" w:cs="Arial"/>
        </w:rPr>
      </w:pPr>
    </w:p>
    <w:p w14:paraId="0BE795D3" w14:textId="77777777" w:rsidR="00464D4C" w:rsidRDefault="00464D4C" w:rsidP="00464D4C">
      <w:pPr>
        <w:rPr>
          <w:rFonts w:ascii="Arial" w:hAnsi="Arial" w:cs="Arial"/>
        </w:rPr>
      </w:pPr>
    </w:p>
    <w:p w14:paraId="4E6B6710" w14:textId="77777777" w:rsidR="00464D4C" w:rsidRDefault="00464D4C" w:rsidP="00464D4C">
      <w:pPr>
        <w:rPr>
          <w:rFonts w:ascii="Arial" w:hAnsi="Arial" w:cs="Arial"/>
        </w:rPr>
      </w:pPr>
    </w:p>
    <w:p w14:paraId="095DBF7C" w14:textId="77777777" w:rsidR="00464D4C" w:rsidRDefault="00464D4C" w:rsidP="00464D4C">
      <w:pPr>
        <w:rPr>
          <w:rFonts w:ascii="Arial" w:hAnsi="Arial" w:cs="Arial"/>
        </w:rPr>
      </w:pPr>
    </w:p>
    <w:p w14:paraId="6C87B663" w14:textId="77777777" w:rsidR="00464D4C" w:rsidRDefault="00464D4C" w:rsidP="00464D4C">
      <w:pPr>
        <w:rPr>
          <w:rFonts w:ascii="Arial" w:hAnsi="Arial" w:cs="Arial"/>
        </w:rPr>
      </w:pPr>
    </w:p>
    <w:p w14:paraId="2D6CD29A" w14:textId="77777777" w:rsidR="00715C2A" w:rsidRDefault="00715C2A"/>
    <w:sectPr w:rsidR="00715C2A" w:rsidSect="002546C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530C" w14:textId="77777777" w:rsidR="001E50A9" w:rsidRDefault="001E50A9">
      <w:pPr>
        <w:spacing w:after="0" w:line="240" w:lineRule="auto"/>
      </w:pPr>
      <w:r>
        <w:separator/>
      </w:r>
    </w:p>
  </w:endnote>
  <w:endnote w:type="continuationSeparator" w:id="0">
    <w:p w14:paraId="3D323485" w14:textId="77777777" w:rsidR="001E50A9" w:rsidRDefault="001E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348F" w14:textId="77777777" w:rsidR="001E50A9" w:rsidRDefault="001E50A9">
      <w:pPr>
        <w:spacing w:after="0" w:line="240" w:lineRule="auto"/>
      </w:pPr>
      <w:r>
        <w:separator/>
      </w:r>
    </w:p>
  </w:footnote>
  <w:footnote w:type="continuationSeparator" w:id="0">
    <w:p w14:paraId="604C96E7" w14:textId="77777777" w:rsidR="001E50A9" w:rsidRDefault="001E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626549"/>
      <w:docPartObj>
        <w:docPartGallery w:val="Page Numbers (Top of Page)"/>
        <w:docPartUnique/>
      </w:docPartObj>
    </w:sdtPr>
    <w:sdtEndPr>
      <w:rPr>
        <w:noProof/>
      </w:rPr>
    </w:sdtEndPr>
    <w:sdtContent>
      <w:p w14:paraId="73A957D1" w14:textId="77777777" w:rsidR="002546C6" w:rsidRDefault="002546C6">
        <w:pPr>
          <w:pStyle w:val="Header"/>
          <w:jc w:val="right"/>
        </w:pPr>
        <w:r>
          <w:fldChar w:fldCharType="begin"/>
        </w:r>
        <w:r>
          <w:instrText xml:space="preserve"> PAGE   \* MERGEFORMAT </w:instrText>
        </w:r>
        <w:r>
          <w:fldChar w:fldCharType="separate"/>
        </w:r>
        <w:r w:rsidR="00D06125">
          <w:rPr>
            <w:noProof/>
          </w:rPr>
          <w:t>12</w:t>
        </w:r>
        <w:r>
          <w:rPr>
            <w:noProof/>
          </w:rPr>
          <w:fldChar w:fldCharType="end"/>
        </w:r>
      </w:p>
    </w:sdtContent>
  </w:sdt>
  <w:p w14:paraId="429AEB68" w14:textId="77777777" w:rsidR="002546C6" w:rsidRDefault="00254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4C"/>
    <w:rsid w:val="000A2735"/>
    <w:rsid w:val="000A27D1"/>
    <w:rsid w:val="001226FE"/>
    <w:rsid w:val="001375F0"/>
    <w:rsid w:val="00196E3A"/>
    <w:rsid w:val="001B151D"/>
    <w:rsid w:val="001E50A9"/>
    <w:rsid w:val="00202779"/>
    <w:rsid w:val="00230F89"/>
    <w:rsid w:val="002546C6"/>
    <w:rsid w:val="00360A9E"/>
    <w:rsid w:val="00464D4C"/>
    <w:rsid w:val="004F1276"/>
    <w:rsid w:val="00560809"/>
    <w:rsid w:val="006826BE"/>
    <w:rsid w:val="00715C2A"/>
    <w:rsid w:val="00797FB3"/>
    <w:rsid w:val="007D7946"/>
    <w:rsid w:val="007E5C89"/>
    <w:rsid w:val="00836681"/>
    <w:rsid w:val="00843062"/>
    <w:rsid w:val="008507CC"/>
    <w:rsid w:val="008B72FF"/>
    <w:rsid w:val="00AD178E"/>
    <w:rsid w:val="00B4166B"/>
    <w:rsid w:val="00B60C14"/>
    <w:rsid w:val="00C20368"/>
    <w:rsid w:val="00C44958"/>
    <w:rsid w:val="00D06125"/>
    <w:rsid w:val="00E305F9"/>
    <w:rsid w:val="00E541F9"/>
    <w:rsid w:val="00EA01B0"/>
    <w:rsid w:val="00F12EB4"/>
    <w:rsid w:val="00F63F82"/>
    <w:rsid w:val="00FD36A2"/>
    <w:rsid w:val="03E5483F"/>
    <w:rsid w:val="058118A0"/>
    <w:rsid w:val="09E39CEB"/>
    <w:rsid w:val="10A4700B"/>
    <w:rsid w:val="128B4C90"/>
    <w:rsid w:val="14260BAB"/>
    <w:rsid w:val="1485716A"/>
    <w:rsid w:val="163BA6AD"/>
    <w:rsid w:val="17A16B23"/>
    <w:rsid w:val="1AAB7876"/>
    <w:rsid w:val="1DA23D6B"/>
    <w:rsid w:val="201F140E"/>
    <w:rsid w:val="21386879"/>
    <w:rsid w:val="22EED720"/>
    <w:rsid w:val="2328B012"/>
    <w:rsid w:val="233731AB"/>
    <w:rsid w:val="2C864F76"/>
    <w:rsid w:val="30F2B9E2"/>
    <w:rsid w:val="3140983C"/>
    <w:rsid w:val="3484D71E"/>
    <w:rsid w:val="35DBFC81"/>
    <w:rsid w:val="3BD99E64"/>
    <w:rsid w:val="3D756EC5"/>
    <w:rsid w:val="3F113F26"/>
    <w:rsid w:val="41B66E07"/>
    <w:rsid w:val="43B52D50"/>
    <w:rsid w:val="450041E5"/>
    <w:rsid w:val="4969BB71"/>
    <w:rsid w:val="4B058BD2"/>
    <w:rsid w:val="4C4DC72F"/>
    <w:rsid w:val="4D0247A3"/>
    <w:rsid w:val="52B45D93"/>
    <w:rsid w:val="52DD4CCE"/>
    <w:rsid w:val="591AF3F7"/>
    <w:rsid w:val="5D921A93"/>
    <w:rsid w:val="61157094"/>
    <w:rsid w:val="61F027E4"/>
    <w:rsid w:val="637F7E41"/>
    <w:rsid w:val="6462BAB7"/>
    <w:rsid w:val="64A65D81"/>
    <w:rsid w:val="650BB867"/>
    <w:rsid w:val="669C2A03"/>
    <w:rsid w:val="6BBC2509"/>
    <w:rsid w:val="6BFDA99F"/>
    <w:rsid w:val="6F6E0E41"/>
    <w:rsid w:val="71DDBF28"/>
    <w:rsid w:val="722B668D"/>
    <w:rsid w:val="73C736EE"/>
    <w:rsid w:val="757A0355"/>
    <w:rsid w:val="79C58B9A"/>
    <w:rsid w:val="7D09C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D428"/>
  <w15:chartTrackingRefBased/>
  <w15:docId w15:val="{24915017-BD2B-4518-867F-349044B9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4C"/>
  </w:style>
  <w:style w:type="table" w:customStyle="1" w:styleId="TableGrid1">
    <w:name w:val="Table Grid1"/>
    <w:basedOn w:val="TableNormal"/>
    <w:next w:val="TableGrid"/>
    <w:uiPriority w:val="39"/>
    <w:rsid w:val="00464D4C"/>
    <w:pPr>
      <w:spacing w:after="0" w:line="240" w:lineRule="auto"/>
    </w:pPr>
    <w:rPr>
      <w:rFonts w:ascii="Calibri" w:eastAsia="SimSun" w:hAnsi="Calibri" w:cs="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D4C"/>
    <w:rPr>
      <w:sz w:val="16"/>
      <w:szCs w:val="16"/>
    </w:rPr>
  </w:style>
  <w:style w:type="paragraph" w:styleId="CommentText">
    <w:name w:val="annotation text"/>
    <w:basedOn w:val="Normal"/>
    <w:link w:val="CommentTextChar"/>
    <w:uiPriority w:val="99"/>
    <w:semiHidden/>
    <w:unhideWhenUsed/>
    <w:rsid w:val="00464D4C"/>
    <w:pPr>
      <w:spacing w:line="240" w:lineRule="auto"/>
    </w:pPr>
    <w:rPr>
      <w:sz w:val="20"/>
      <w:szCs w:val="20"/>
    </w:rPr>
  </w:style>
  <w:style w:type="character" w:customStyle="1" w:styleId="CommentTextChar">
    <w:name w:val="Comment Text Char"/>
    <w:basedOn w:val="DefaultParagraphFont"/>
    <w:link w:val="CommentText"/>
    <w:uiPriority w:val="99"/>
    <w:semiHidden/>
    <w:rsid w:val="00464D4C"/>
    <w:rPr>
      <w:sz w:val="20"/>
      <w:szCs w:val="20"/>
    </w:rPr>
  </w:style>
  <w:style w:type="table" w:styleId="TableGrid">
    <w:name w:val="Table Grid"/>
    <w:basedOn w:val="TableNormal"/>
    <w:uiPriority w:val="39"/>
    <w:rsid w:val="0046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46C6"/>
    <w:rPr>
      <w:b/>
      <w:bCs/>
    </w:rPr>
  </w:style>
  <w:style w:type="character" w:customStyle="1" w:styleId="CommentSubjectChar">
    <w:name w:val="Comment Subject Char"/>
    <w:basedOn w:val="CommentTextChar"/>
    <w:link w:val="CommentSubject"/>
    <w:uiPriority w:val="99"/>
    <w:semiHidden/>
    <w:rsid w:val="002546C6"/>
    <w:rPr>
      <w:b/>
      <w:bCs/>
      <w:sz w:val="20"/>
      <w:szCs w:val="20"/>
    </w:rPr>
  </w:style>
  <w:style w:type="paragraph" w:styleId="Revision">
    <w:name w:val="Revision"/>
    <w:hidden/>
    <w:uiPriority w:val="99"/>
    <w:semiHidden/>
    <w:rsid w:val="002546C6"/>
    <w:pPr>
      <w:spacing w:after="0" w:line="240" w:lineRule="auto"/>
    </w:pPr>
  </w:style>
  <w:style w:type="table" w:styleId="ListTable2-Accent3">
    <w:name w:val="List Table 2 Accent 3"/>
    <w:basedOn w:val="TableNormal"/>
    <w:uiPriority w:val="47"/>
    <w:rsid w:val="0084306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0B2E7DAED7D47BC4802C0D987670B" ma:contentTypeVersion="4" ma:contentTypeDescription="Create a new document." ma:contentTypeScope="" ma:versionID="3b9e944f0c483279b3e29cd710c65bdd">
  <xsd:schema xmlns:xsd="http://www.w3.org/2001/XMLSchema" xmlns:xs="http://www.w3.org/2001/XMLSchema" xmlns:p="http://schemas.microsoft.com/office/2006/metadata/properties" xmlns:ns2="56fbf188-0a67-4a98-8e64-9618354d464a" targetNamespace="http://schemas.microsoft.com/office/2006/metadata/properties" ma:root="true" ma:fieldsID="48e83a31a2c2151a2585e8c6fa5cf6bd" ns2:_="">
    <xsd:import namespace="56fbf188-0a67-4a98-8e64-9618354d4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f188-0a67-4a98-8e64-9618354d4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34DED-1EC0-4E97-ADBA-4E1726384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DC087-68B6-486E-B1B0-EFD2ADA9B1A3}">
  <ds:schemaRefs>
    <ds:schemaRef ds:uri="http://schemas.microsoft.com/sharepoint/v3/contenttype/forms"/>
  </ds:schemaRefs>
</ds:datastoreItem>
</file>

<file path=customXml/itemProps3.xml><?xml version="1.0" encoding="utf-8"?>
<ds:datastoreItem xmlns:ds="http://schemas.openxmlformats.org/officeDocument/2006/customXml" ds:itemID="{4BF0C627-8CF0-45A0-A7BB-451AF1E9F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f188-0a67-4a98-8e64-9618354d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Sevier</dc:creator>
  <cp:keywords/>
  <dc:description/>
  <cp:lastModifiedBy>Ullman, Naomi</cp:lastModifiedBy>
  <cp:revision>2</cp:revision>
  <dcterms:created xsi:type="dcterms:W3CDTF">2021-05-18T13:25:00Z</dcterms:created>
  <dcterms:modified xsi:type="dcterms:W3CDTF">2021-05-18T13:25:00Z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0x010100C890B2E7DAED7D47BC4802C0D987670B</vt:lpwstr>
  </property>
</Properties>
</file>