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78C9" w14:textId="77777777" w:rsidR="00530F40" w:rsidRPr="00AD0D22" w:rsidRDefault="00530F40" w:rsidP="00530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D22">
        <w:rPr>
          <w:rFonts w:ascii="Times New Roman" w:hAnsi="Times New Roman" w:cs="Times New Roman"/>
          <w:b/>
          <w:sz w:val="24"/>
          <w:szCs w:val="24"/>
        </w:rPr>
        <w:t>Supplemental Methods</w:t>
      </w:r>
    </w:p>
    <w:p w14:paraId="0EE6A71E" w14:textId="77777777" w:rsidR="00530F40" w:rsidRDefault="00530F40" w:rsidP="00530F40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Duke Perioperative Optimization of Senior Health</w:t>
      </w:r>
      <w:r w:rsidRPr="009459DD">
        <w:rPr>
          <w:rFonts w:ascii="Times New Roman" w:hAnsi="Times New Roman" w:cs="Times New Roman"/>
          <w:i/>
          <w:sz w:val="24"/>
          <w:szCs w:val="24"/>
        </w:rPr>
        <w:t xml:space="preserve"> Clinic</w:t>
      </w:r>
      <w:r w:rsidRPr="00AD0D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D82">
        <w:rPr>
          <w:rFonts w:ascii="Times New Roman" w:hAnsi="Times New Roman" w:cs="Times New Roman"/>
          <w:iCs/>
          <w:sz w:val="24"/>
          <w:szCs w:val="24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is </w:t>
      </w:r>
      <w:r w:rsidRPr="00361D82">
        <w:rPr>
          <w:rFonts w:ascii="Times New Roman" w:hAnsi="Times New Roman" w:cs="Times New Roman"/>
          <w:iCs/>
          <w:sz w:val="24"/>
          <w:szCs w:val="24"/>
        </w:rPr>
        <w:t>clinic provides multidisciplinary preoperative assessment and postoperative geriatrician follow-up to improve outcomes for older adults undergoing elective surgery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61D82">
        <w:rPr>
          <w:rFonts w:ascii="Times New Roman" w:hAnsi="Times New Roman" w:cs="Times New Roman"/>
          <w:sz w:val="24"/>
          <w:szCs w:val="24"/>
        </w:rPr>
        <w:t xml:space="preserve">The preoperative assessment team </w:t>
      </w:r>
      <w:r>
        <w:rPr>
          <w:rFonts w:ascii="Times New Roman" w:hAnsi="Times New Roman" w:cs="Times New Roman"/>
          <w:sz w:val="24"/>
          <w:szCs w:val="24"/>
        </w:rPr>
        <w:t xml:space="preserve">at this clinic </w:t>
      </w:r>
      <w:r w:rsidRPr="00361D82">
        <w:rPr>
          <w:rFonts w:ascii="Times New Roman" w:hAnsi="Times New Roman" w:cs="Times New Roman"/>
          <w:sz w:val="24"/>
          <w:szCs w:val="24"/>
        </w:rPr>
        <w:t xml:space="preserve">includes a geriatrician, geriatric resource nurse, social worker, program administrator, and nurse practitioner from the Preoperative </w:t>
      </w:r>
      <w:r>
        <w:rPr>
          <w:rFonts w:ascii="Times New Roman" w:hAnsi="Times New Roman" w:cs="Times New Roman"/>
          <w:sz w:val="24"/>
          <w:szCs w:val="24"/>
        </w:rPr>
        <w:t>Anesthe</w:t>
      </w:r>
      <w:r w:rsidRPr="00361D82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Testing</w:t>
      </w:r>
      <w:r w:rsidRPr="00361D82">
        <w:rPr>
          <w:rFonts w:ascii="Times New Roman" w:hAnsi="Times New Roman" w:cs="Times New Roman"/>
          <w:sz w:val="24"/>
          <w:szCs w:val="24"/>
        </w:rPr>
        <w:t xml:space="preserve"> clinic, and includes a comprehensive preoperative geriatric evaluation. The team actively engages patients and their families in preoperative risk assessment and modification, focusing on specific “care points” considered crucial for optimizing care: cognition, medications, comorbidities, mobility, functional status, nutrition, hydration, pain, and advanced care planning. To facilitate implementation of </w:t>
      </w:r>
      <w:r>
        <w:rPr>
          <w:rFonts w:ascii="Times New Roman" w:hAnsi="Times New Roman" w:cs="Times New Roman"/>
          <w:sz w:val="24"/>
          <w:szCs w:val="24"/>
        </w:rPr>
        <w:t>preoperative</w:t>
      </w:r>
      <w:r w:rsidRPr="00361D82">
        <w:rPr>
          <w:rFonts w:ascii="Times New Roman" w:hAnsi="Times New Roman" w:cs="Times New Roman"/>
          <w:sz w:val="24"/>
          <w:szCs w:val="24"/>
        </w:rPr>
        <w:t xml:space="preserve"> clinic recommendations, the inpatient geriatrics team follows these patients after surgery and assists with managing medications, chronic conditions, pain, and common complications including delirium.</w:t>
      </w:r>
    </w:p>
    <w:p w14:paraId="41A5D32F" w14:textId="77777777" w:rsidR="00530F40" w:rsidRDefault="00530F40" w:rsidP="00530F40">
      <w:pPr>
        <w:rPr>
          <w:rFonts w:ascii="Times New Roman" w:hAnsi="Times New Roman" w:cs="Times New Roman"/>
          <w:sz w:val="24"/>
          <w:szCs w:val="24"/>
        </w:rPr>
      </w:pPr>
    </w:p>
    <w:p w14:paraId="11A38F23" w14:textId="77777777" w:rsidR="00530F40" w:rsidRDefault="00530F40" w:rsidP="00530F4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8339E">
        <w:rPr>
          <w:rFonts w:ascii="Times New Roman" w:hAnsi="Times New Roman" w:cs="Times New Roman"/>
          <w:i/>
          <w:sz w:val="24"/>
          <w:szCs w:val="24"/>
        </w:rPr>
        <w:t>Intraoperative Pharmacology</w:t>
      </w:r>
    </w:p>
    <w:p w14:paraId="4AB6FC1E" w14:textId="77777777" w:rsidR="00530F40" w:rsidRDefault="00530F40" w:rsidP="00530F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39E">
        <w:rPr>
          <w:rFonts w:ascii="Times New Roman" w:hAnsi="Times New Roman" w:cs="Times New Roman"/>
          <w:sz w:val="24"/>
          <w:szCs w:val="24"/>
        </w:rPr>
        <w:t xml:space="preserve">Since the two main intravenous </w:t>
      </w:r>
      <w:r>
        <w:rPr>
          <w:rFonts w:ascii="Times New Roman" w:hAnsi="Times New Roman" w:cs="Times New Roman"/>
          <w:sz w:val="24"/>
          <w:szCs w:val="24"/>
        </w:rPr>
        <w:t xml:space="preserve">medium and long acting </w:t>
      </w:r>
      <w:r w:rsidRPr="0058339E">
        <w:rPr>
          <w:rFonts w:ascii="Times New Roman" w:hAnsi="Times New Roman" w:cs="Times New Roman"/>
          <w:sz w:val="24"/>
          <w:szCs w:val="24"/>
        </w:rPr>
        <w:t xml:space="preserve">opioids </w:t>
      </w:r>
      <w:r>
        <w:rPr>
          <w:rFonts w:ascii="Times New Roman" w:hAnsi="Times New Roman" w:cs="Times New Roman"/>
          <w:sz w:val="24"/>
          <w:szCs w:val="24"/>
        </w:rPr>
        <w:t xml:space="preserve">administered in both patient cohorts were fentanyl and hydromorphone, the intravenous doses of these two drugs were converted into oral morphine equivalents and combined to give a total dose of medium and long acting intraoperative opioid administered (in oral morphine equivalents). </w:t>
      </w:r>
    </w:p>
    <w:p w14:paraId="637E084C" w14:textId="77777777" w:rsidR="00530F40" w:rsidRDefault="00530F40" w:rsidP="00465762"/>
    <w:p w14:paraId="2FD3478F" w14:textId="77777777" w:rsidR="00530F40" w:rsidRDefault="00530F40" w:rsidP="00465762"/>
    <w:p w14:paraId="0E54229C" w14:textId="77777777" w:rsidR="00530F40" w:rsidRDefault="00530F40" w:rsidP="00465762"/>
    <w:p w14:paraId="4B5D3FE4" w14:textId="77777777" w:rsidR="00530F40" w:rsidRDefault="00530F40">
      <w:r>
        <w:br w:type="page"/>
      </w:r>
    </w:p>
    <w:p w14:paraId="259EB1D0" w14:textId="68F2F2E6" w:rsidR="00465762" w:rsidRPr="00530F40" w:rsidRDefault="00465762" w:rsidP="00465762">
      <w:pPr>
        <w:rPr>
          <w:rFonts w:ascii="Times New Roman" w:hAnsi="Times New Roman" w:cs="Times New Roman"/>
          <w:sz w:val="24"/>
          <w:szCs w:val="24"/>
        </w:rPr>
      </w:pPr>
      <w:r w:rsidRPr="00530F40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1. Cohort description by Low DARS status, where Low DARS </w:t>
      </w:r>
      <w:proofErr w:type="gramStart"/>
      <w:r w:rsidRPr="00530F40">
        <w:rPr>
          <w:rFonts w:ascii="Times New Roman" w:hAnsi="Times New Roman" w:cs="Times New Roman"/>
          <w:sz w:val="24"/>
          <w:szCs w:val="24"/>
        </w:rPr>
        <w:t>is defined</w:t>
      </w:r>
      <w:proofErr w:type="gramEnd"/>
      <w:r w:rsidRPr="00530F40">
        <w:rPr>
          <w:rFonts w:ascii="Times New Roman" w:hAnsi="Times New Roman" w:cs="Times New Roman"/>
          <w:sz w:val="24"/>
          <w:szCs w:val="24"/>
        </w:rPr>
        <w:t xml:space="preserve"> at the average cut point. Factors summarized as count (</w:t>
      </w:r>
      <w:proofErr w:type="gramStart"/>
      <w:r w:rsidRPr="00530F40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530F40">
        <w:rPr>
          <w:rFonts w:ascii="Times New Roman" w:hAnsi="Times New Roman" w:cs="Times New Roman"/>
          <w:sz w:val="24"/>
          <w:szCs w:val="24"/>
        </w:rPr>
        <w:t>) for categorical variables and mean (SD) or median [Q1, Q3] for numeric variables.</w:t>
      </w:r>
    </w:p>
    <w:tbl>
      <w:tblPr>
        <w:tblW w:w="88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520"/>
        <w:gridCol w:w="2529"/>
        <w:gridCol w:w="1345"/>
      </w:tblGrid>
      <w:tr w:rsidR="002C754F" w14:paraId="6D6B5E88" w14:textId="27DBB8CE" w:rsidTr="002C754F">
        <w:trPr>
          <w:cantSplit/>
          <w:trHeight w:val="488"/>
          <w:tblHeader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41845F6" w14:textId="77777777" w:rsidR="002C754F" w:rsidRDefault="002C754F" w:rsidP="00380CD2">
            <w:pPr>
              <w:keepNext/>
              <w:adjustRightInd w:val="0"/>
              <w:spacing w:before="19" w:after="19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240E08F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Non-Low DARS                                        (N=96)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DF3A0E5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Low DARS                                        (N=43)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7B65" w14:textId="06F7CBD6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P values</w:t>
            </w:r>
          </w:p>
        </w:tc>
      </w:tr>
      <w:tr w:rsidR="002C754F" w14:paraId="3512220D" w14:textId="3E83B340" w:rsidTr="002C754F">
        <w:trPr>
          <w:cantSplit/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167FE4" w14:textId="77777777" w:rsidR="002C754F" w:rsidRDefault="002C754F" w:rsidP="00380CD2">
            <w:pPr>
              <w:keepNext/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352AAA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B2979F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064C2" w14:textId="0E1CC070" w:rsidR="002C754F" w:rsidRPr="00256015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0.015</w:t>
            </w:r>
            <w:r w:rsidR="00256015">
              <w:rPr>
                <w:color w:val="000000"/>
                <w:vertAlign w:val="superscript"/>
              </w:rPr>
              <w:t>1</w:t>
            </w:r>
          </w:p>
        </w:tc>
      </w:tr>
      <w:tr w:rsidR="002C754F" w14:paraId="0FE7E6E2" w14:textId="21A63D65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B12511" w14:textId="77777777" w:rsidR="002C754F" w:rsidRDefault="002C754F" w:rsidP="00380CD2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Duke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E7B693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41 (42.7%)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53DE20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28 (65.1%)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1A25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5187AF7B" w14:textId="438DB7BC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912E30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Mt Sinai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A5C938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55 (57.3%)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2544C2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15 (34.9%)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8D47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048360A7" w14:textId="450EA3E6" w:rsidTr="002C754F">
        <w:trPr>
          <w:cantSplit/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63D7C6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59BBD1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73 (6)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87288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74 (7)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296DA" w14:textId="000F369F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0.255</w:t>
            </w:r>
            <w:r w:rsidR="00256015">
              <w:rPr>
                <w:color w:val="000000"/>
                <w:vertAlign w:val="superscript"/>
              </w:rPr>
              <w:t>2</w:t>
            </w:r>
          </w:p>
        </w:tc>
      </w:tr>
      <w:tr w:rsidR="002C754F" w14:paraId="7A8C2555" w14:textId="27522368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1F86BD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Gender (Male)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80D09C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46 (47.9%)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CFC33E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14 (32.6%)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50A13" w14:textId="62AF327F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0.091</w:t>
            </w:r>
            <w:r w:rsidR="00256015">
              <w:rPr>
                <w:color w:val="000000"/>
                <w:vertAlign w:val="superscript"/>
              </w:rPr>
              <w:t>1</w:t>
            </w:r>
          </w:p>
        </w:tc>
      </w:tr>
      <w:tr w:rsidR="002C754F" w14:paraId="669C6BB4" w14:textId="490044B5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81247D" w14:textId="0F6A945F" w:rsidR="002C754F" w:rsidRDefault="002C754F" w:rsidP="007E0AA1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BMI (kg/m</w:t>
            </w:r>
            <w:r w:rsidRPr="007E0AA1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61BDEF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29.2 (7.7)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C02A4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28.9 (8.0)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AA5F" w14:textId="76312FF1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0.863</w:t>
            </w:r>
            <w:r w:rsidR="00256015">
              <w:rPr>
                <w:color w:val="000000"/>
                <w:vertAlign w:val="superscript"/>
              </w:rPr>
              <w:t>2</w:t>
            </w:r>
          </w:p>
        </w:tc>
      </w:tr>
      <w:tr w:rsidR="002C754F" w14:paraId="06BBA2CD" w14:textId="268CD774" w:rsidTr="002C754F">
        <w:trPr>
          <w:cantSplit/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DCBDFF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ACB Score*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719EC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0 [0, 1]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E5FD08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 [0, 1]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47EC" w14:textId="5809170D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0.075</w:t>
            </w:r>
            <w:r w:rsidR="00256015">
              <w:rPr>
                <w:color w:val="000000"/>
                <w:vertAlign w:val="superscript"/>
              </w:rPr>
              <w:t>3</w:t>
            </w:r>
          </w:p>
        </w:tc>
      </w:tr>
      <w:tr w:rsidR="002C754F" w14:paraId="4E49CA20" w14:textId="17FDE6DA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6151EF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ASA Status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913842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280E2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02EE" w14:textId="0C4581F9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0.187</w:t>
            </w:r>
            <w:r w:rsidR="00256015">
              <w:rPr>
                <w:color w:val="000000"/>
                <w:vertAlign w:val="superscript"/>
              </w:rPr>
              <w:t>3</w:t>
            </w:r>
          </w:p>
        </w:tc>
      </w:tr>
      <w:tr w:rsidR="002C754F" w14:paraId="49643B8B" w14:textId="1D130DC0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DBFC12" w14:textId="77777777" w:rsidR="002C754F" w:rsidRPr="00621C47" w:rsidRDefault="002C754F" w:rsidP="00380CD2">
            <w:pPr>
              <w:adjustRightInd w:val="0"/>
              <w:spacing w:before="19" w:after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621C47">
              <w:rPr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624590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23 (24.0%)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136514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 (11.6%)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33572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6F938263" w14:textId="39265E2F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4D28CD" w14:textId="77777777" w:rsidR="002C754F" w:rsidRPr="00621C47" w:rsidRDefault="002C754F" w:rsidP="00380CD2">
            <w:pPr>
              <w:adjustRightInd w:val="0"/>
              <w:spacing w:before="19" w:after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621C47">
              <w:rPr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231598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69 (71.9%)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0028E3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37 (86.0%)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1003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1545437A" w14:textId="3A8AFBE3" w:rsidTr="002C754F">
        <w:trPr>
          <w:cantSplit/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FDF9C4" w14:textId="77777777" w:rsidR="002C754F" w:rsidRPr="00621C47" w:rsidRDefault="002C754F" w:rsidP="00380CD2">
            <w:pPr>
              <w:adjustRightInd w:val="0"/>
              <w:spacing w:before="19" w:after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621C47">
              <w:rPr>
                <w:bCs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26399F7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 (4.2%)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2165055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 (2.3%)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012B" w14:textId="77777777" w:rsidR="002C754F" w:rsidRDefault="002C754F" w:rsidP="00380CD2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6F26EF86" w14:textId="45AF8FF5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3A5BCA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Surgery Category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E01E43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F5CDE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92D4" w14:textId="6197F370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0.183</w:t>
            </w:r>
            <w:r w:rsidR="00256015">
              <w:rPr>
                <w:color w:val="000000"/>
                <w:vertAlign w:val="superscript"/>
              </w:rPr>
              <w:t>1</w:t>
            </w:r>
          </w:p>
        </w:tc>
      </w:tr>
      <w:tr w:rsidR="002C754F" w14:paraId="7E265BBD" w14:textId="5E37B8BD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BFC8A3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General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F80F0DA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41 (42.7%)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A4BAA8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18 (41.9%)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70FE4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24892ED6" w14:textId="7BE96083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9A5773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Orthopedic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199EEF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30 (31.3%)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F30D97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20 (46.5%)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874C1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1A824F82" w14:textId="0213F100" w:rsidTr="002C754F">
        <w:trPr>
          <w:cantSplit/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D6869C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Thoracic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9F6D15B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13 (13.5%)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CA8339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 (7.0%)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13B28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30EB2748" w14:textId="7A17432C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30E1A1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Urologic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4CA831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12 (12.5%)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DD3D50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 (4.7%)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F76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79DF9D3D" w14:textId="60B907F5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4ED5BD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Procedure Length (min)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6A92AC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154 [111, 213] 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89903F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149 [108, 212]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968" w14:textId="1D63028E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0.799</w:t>
            </w:r>
            <w:r w:rsidR="00256015">
              <w:rPr>
                <w:color w:val="000000"/>
                <w:vertAlign w:val="superscript"/>
              </w:rPr>
              <w:t>3</w:t>
            </w:r>
          </w:p>
        </w:tc>
      </w:tr>
      <w:tr w:rsidR="002C754F" w14:paraId="6560D831" w14:textId="1E0847BC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2A02067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Primary Gas Used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07D0FB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E9048C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4BFAE" w14:textId="7A65C684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0.489</w:t>
            </w:r>
            <w:r w:rsidR="00256015">
              <w:rPr>
                <w:color w:val="000000"/>
                <w:vertAlign w:val="superscript"/>
              </w:rPr>
              <w:t>1</w:t>
            </w:r>
          </w:p>
        </w:tc>
      </w:tr>
      <w:tr w:rsidR="002C754F" w14:paraId="04335071" w14:textId="372A3B85" w:rsidTr="002C754F">
        <w:trPr>
          <w:cantSplit/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F52B807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</w:t>
            </w:r>
            <w:proofErr w:type="spellStart"/>
            <w:r>
              <w:rPr>
                <w:color w:val="000000"/>
              </w:rPr>
              <w:t>Desflurane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6AB16C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32 (33.3%)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253DA6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10 (23.3%)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37D4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72BABC66" w14:textId="567CAA0A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A19FF2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Isoflurane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81D6CA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37 (38.5%)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19CEF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19 (44.2%)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41C4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2D81FF50" w14:textId="580E6135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DA8F31" w14:textId="77777777" w:rsidR="002C754F" w:rsidRDefault="002C754F" w:rsidP="00380CD2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</w:t>
            </w:r>
            <w:proofErr w:type="spellStart"/>
            <w:r>
              <w:rPr>
                <w:color w:val="000000"/>
              </w:rPr>
              <w:t>Sevoflurane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B40146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27 (28.1%)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A1B64C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14 (32.6%)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400AD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2C754F" w14:paraId="44A9C083" w14:textId="268ABF32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2C67B1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Case Average </w:t>
            </w:r>
            <w:proofErr w:type="spellStart"/>
            <w:r>
              <w:rPr>
                <w:b/>
                <w:bCs/>
                <w:color w:val="000000"/>
              </w:rPr>
              <w:t>aaMAC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92E405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1.11 (0.36)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424AE4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0.80 (0.17)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AC8B" w14:textId="2D7DBA5A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&lt;0.001</w:t>
            </w:r>
            <w:r w:rsidR="00256015">
              <w:rPr>
                <w:color w:val="000000"/>
                <w:vertAlign w:val="superscript"/>
              </w:rPr>
              <w:t>2</w:t>
            </w:r>
          </w:p>
        </w:tc>
      </w:tr>
      <w:tr w:rsidR="002C754F" w14:paraId="40716F3D" w14:textId="27491FFF" w:rsidTr="002C754F">
        <w:trPr>
          <w:cantSplit/>
          <w:trHeight w:val="27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4B41E0" w14:textId="77777777" w:rsidR="002C754F" w:rsidRPr="00621C47" w:rsidRDefault="002C754F" w:rsidP="00380CD2">
            <w:pPr>
              <w:adjustRightInd w:val="0"/>
              <w:spacing w:before="19" w:after="19"/>
              <w:rPr>
                <w:b/>
                <w:color w:val="000000"/>
              </w:rPr>
            </w:pPr>
            <w:proofErr w:type="spellStart"/>
            <w:r w:rsidRPr="00621C47">
              <w:rPr>
                <w:b/>
                <w:color w:val="000000"/>
              </w:rPr>
              <w:t>aaMAC</w:t>
            </w:r>
            <w:proofErr w:type="spellEnd"/>
            <w:r w:rsidRPr="00621C47">
              <w:rPr>
                <w:b/>
                <w:color w:val="000000"/>
              </w:rPr>
              <w:t xml:space="preserve"> Hours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2AF183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3.05 (1.81)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7FFED7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2.10 (1.10)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D48C3" w14:textId="4B62E709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&lt;0.001</w:t>
            </w:r>
            <w:r w:rsidR="00256015">
              <w:rPr>
                <w:color w:val="000000"/>
                <w:vertAlign w:val="superscript"/>
              </w:rPr>
              <w:t>2</w:t>
            </w:r>
          </w:p>
        </w:tc>
      </w:tr>
      <w:tr w:rsidR="002C754F" w14:paraId="6B345A45" w14:textId="04BD337D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C53BCB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Case Average BIS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93C345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51.28 (8.29)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B716D1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41.76 (6.00)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D034C" w14:textId="2C462408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&lt;0.001</w:t>
            </w:r>
            <w:r w:rsidR="00256015">
              <w:rPr>
                <w:color w:val="000000"/>
                <w:vertAlign w:val="superscript"/>
              </w:rPr>
              <w:t>2</w:t>
            </w:r>
          </w:p>
        </w:tc>
      </w:tr>
      <w:tr w:rsidR="002C754F" w14:paraId="42E02756" w14:textId="16245FFD" w:rsidTr="002C754F">
        <w:trPr>
          <w:cantSplit/>
          <w:trHeight w:val="26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277FB7B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Case Average BIS &lt;45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F7859C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22 (22.9%)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CD890A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28 (65.1%)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3D89" w14:textId="19E0FFA1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&lt;0.001</w:t>
            </w:r>
            <w:r w:rsidR="00256015">
              <w:rPr>
                <w:color w:val="000000"/>
                <w:vertAlign w:val="superscript"/>
              </w:rPr>
              <w:t>1</w:t>
            </w:r>
          </w:p>
        </w:tc>
      </w:tr>
      <w:tr w:rsidR="002C754F" w14:paraId="4154C1B1" w14:textId="21DC7555" w:rsidTr="002C754F">
        <w:trPr>
          <w:cantSplit/>
          <w:trHeight w:val="21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51F678" w14:textId="77777777" w:rsidR="002C754F" w:rsidRDefault="002C754F" w:rsidP="00380CD2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692678" w14:textId="417805F4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35.512 [31.488, 41.895]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F5B15E" w14:textId="77777777" w:rsidR="002C754F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25.528 [22.234, 26.614]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F913" w14:textId="67BB8A38" w:rsidR="002C754F" w:rsidRPr="00256015" w:rsidRDefault="002C754F" w:rsidP="00380CD2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&lt;0.001</w:t>
            </w:r>
            <w:r w:rsidR="00256015">
              <w:rPr>
                <w:color w:val="000000"/>
                <w:vertAlign w:val="superscript"/>
              </w:rPr>
              <w:t>3</w:t>
            </w:r>
          </w:p>
        </w:tc>
      </w:tr>
    </w:tbl>
    <w:p w14:paraId="78D29DB4" w14:textId="1C7219C2" w:rsidR="00256015" w:rsidRDefault="00256015" w:rsidP="00465762">
      <w:proofErr w:type="gramStart"/>
      <w:r>
        <w:t>p-value</w:t>
      </w:r>
      <w:proofErr w:type="gramEnd"/>
      <w:r>
        <w:t xml:space="preserve"> key: 1 Chi-square test, 2 t-test, 3 Wilcoxon rank sum test</w:t>
      </w:r>
    </w:p>
    <w:p w14:paraId="6B976A8E" w14:textId="20B2722B" w:rsidR="00465762" w:rsidRDefault="00465762" w:rsidP="00465762">
      <w:r>
        <w:t xml:space="preserve"> *ACB score not available for </w:t>
      </w:r>
      <w:proofErr w:type="gramStart"/>
      <w:r>
        <w:t>2</w:t>
      </w:r>
      <w:proofErr w:type="gramEnd"/>
      <w:r>
        <w:t xml:space="preserve"> patients with Low DARS.</w:t>
      </w:r>
    </w:p>
    <w:p w14:paraId="2ADFBFD3" w14:textId="77777777" w:rsidR="00465762" w:rsidRDefault="00465762" w:rsidP="00465762">
      <w:pPr>
        <w:spacing w:after="0"/>
      </w:pPr>
    </w:p>
    <w:p w14:paraId="64CECD67" w14:textId="77777777" w:rsidR="00465762" w:rsidRDefault="00465762" w:rsidP="00465762">
      <w:pPr>
        <w:spacing w:after="0"/>
      </w:pPr>
    </w:p>
    <w:p w14:paraId="6CAADAC2" w14:textId="77777777" w:rsidR="00465762" w:rsidRDefault="00465762" w:rsidP="00465762">
      <w:pPr>
        <w:rPr>
          <w:sz w:val="24"/>
        </w:rPr>
      </w:pPr>
      <w:r>
        <w:rPr>
          <w:sz w:val="24"/>
        </w:rPr>
        <w:br w:type="page"/>
      </w:r>
    </w:p>
    <w:p w14:paraId="137A8055" w14:textId="6189D8AF" w:rsidR="006D694E" w:rsidRDefault="00465762" w:rsidP="006D694E">
      <w:pPr>
        <w:spacing w:after="0"/>
        <w:rPr>
          <w:sz w:val="24"/>
        </w:rPr>
      </w:pPr>
      <w:r w:rsidRPr="00086E03">
        <w:rPr>
          <w:sz w:val="24"/>
        </w:rPr>
        <w:lastRenderedPageBreak/>
        <w:t xml:space="preserve">Supplemental table </w:t>
      </w:r>
      <w:r>
        <w:rPr>
          <w:sz w:val="24"/>
        </w:rPr>
        <w:t>2</w:t>
      </w:r>
      <w:r w:rsidRPr="00086E03">
        <w:rPr>
          <w:sz w:val="24"/>
        </w:rPr>
        <w:t xml:space="preserve">. </w:t>
      </w:r>
      <w:r w:rsidR="006D694E" w:rsidRPr="00086E03">
        <w:rPr>
          <w:sz w:val="24"/>
        </w:rPr>
        <w:t xml:space="preserve">Full Model details for results presented in </w:t>
      </w:r>
      <w:r w:rsidR="006D694E">
        <w:rPr>
          <w:sz w:val="24"/>
        </w:rPr>
        <w:t>Table</w:t>
      </w:r>
      <w:r w:rsidR="006D694E" w:rsidRPr="00086E03">
        <w:rPr>
          <w:sz w:val="24"/>
        </w:rPr>
        <w:t xml:space="preserve"> 2</w:t>
      </w:r>
      <w:r w:rsidR="006D694E">
        <w:rPr>
          <w:sz w:val="24"/>
        </w:rPr>
        <w:t xml:space="preserve"> of the main paper</w:t>
      </w:r>
      <w:r w:rsidR="006D694E" w:rsidRPr="00086E03">
        <w:rPr>
          <w:sz w:val="24"/>
        </w:rPr>
        <w:t>.  Cell values are OR (95% CI) and p-values from logistic regression models, row section headers for each model list the model fit statistics for comparison.</w:t>
      </w:r>
    </w:p>
    <w:p w14:paraId="004AAD23" w14:textId="77777777" w:rsidR="006D694E" w:rsidRPr="00086E03" w:rsidRDefault="006D694E" w:rsidP="006D694E">
      <w:pPr>
        <w:spacing w:after="0"/>
        <w:rPr>
          <w:sz w:val="24"/>
        </w:rPr>
      </w:pPr>
    </w:p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3335"/>
        <w:gridCol w:w="1800"/>
        <w:gridCol w:w="900"/>
        <w:gridCol w:w="1800"/>
        <w:gridCol w:w="900"/>
        <w:gridCol w:w="1800"/>
        <w:gridCol w:w="900"/>
      </w:tblGrid>
      <w:tr w:rsidR="006D694E" w14:paraId="284B402D" w14:textId="77777777" w:rsidTr="00380CD2">
        <w:trPr>
          <w:trHeight w:val="260"/>
          <w:jc w:val="center"/>
        </w:trPr>
        <w:tc>
          <w:tcPr>
            <w:tcW w:w="3335" w:type="dxa"/>
          </w:tcPr>
          <w:p w14:paraId="5D9A0BA1" w14:textId="77777777" w:rsidR="006D694E" w:rsidRDefault="006D694E" w:rsidP="00380CD2">
            <w:r>
              <w:t>Model</w:t>
            </w:r>
          </w:p>
        </w:tc>
        <w:tc>
          <w:tcPr>
            <w:tcW w:w="2700" w:type="dxa"/>
            <w:gridSpan w:val="2"/>
            <w:vAlign w:val="bottom"/>
          </w:tcPr>
          <w:p w14:paraId="79BCF5A7" w14:textId="77777777" w:rsidR="006D694E" w:rsidRDefault="006D694E" w:rsidP="00380CD2">
            <w:pPr>
              <w:jc w:val="center"/>
            </w:pPr>
            <w:r>
              <w:t>Conservative DARS</w:t>
            </w:r>
          </w:p>
        </w:tc>
        <w:tc>
          <w:tcPr>
            <w:tcW w:w="2700" w:type="dxa"/>
            <w:gridSpan w:val="2"/>
            <w:vAlign w:val="bottom"/>
          </w:tcPr>
          <w:p w14:paraId="61290386" w14:textId="77777777" w:rsidR="006D694E" w:rsidRDefault="006D694E" w:rsidP="00380CD2">
            <w:pPr>
              <w:jc w:val="center"/>
            </w:pPr>
            <w:r>
              <w:t>Average DARS</w:t>
            </w:r>
          </w:p>
        </w:tc>
        <w:tc>
          <w:tcPr>
            <w:tcW w:w="2700" w:type="dxa"/>
            <w:gridSpan w:val="2"/>
            <w:vAlign w:val="bottom"/>
          </w:tcPr>
          <w:p w14:paraId="7D790F42" w14:textId="77777777" w:rsidR="006D694E" w:rsidRDefault="006D694E" w:rsidP="00380CD2">
            <w:pPr>
              <w:jc w:val="center"/>
            </w:pPr>
            <w:r>
              <w:t>Liberal DARS</w:t>
            </w:r>
          </w:p>
        </w:tc>
      </w:tr>
      <w:tr w:rsidR="006D694E" w14:paraId="0091D46D" w14:textId="77777777" w:rsidTr="00380CD2">
        <w:trPr>
          <w:trHeight w:val="242"/>
          <w:jc w:val="center"/>
        </w:trPr>
        <w:tc>
          <w:tcPr>
            <w:tcW w:w="3335" w:type="dxa"/>
          </w:tcPr>
          <w:p w14:paraId="69E9D915" w14:textId="77777777" w:rsidR="006D694E" w:rsidRDefault="006D694E" w:rsidP="00380CD2"/>
        </w:tc>
        <w:tc>
          <w:tcPr>
            <w:tcW w:w="1800" w:type="dxa"/>
            <w:vAlign w:val="bottom"/>
          </w:tcPr>
          <w:p w14:paraId="4B39F98F" w14:textId="77777777" w:rsidR="006D694E" w:rsidRDefault="006D694E" w:rsidP="00380CD2">
            <w:pPr>
              <w:jc w:val="center"/>
            </w:pPr>
            <w:r>
              <w:t>OR (95% CI)</w:t>
            </w:r>
          </w:p>
        </w:tc>
        <w:tc>
          <w:tcPr>
            <w:tcW w:w="900" w:type="dxa"/>
            <w:vAlign w:val="bottom"/>
          </w:tcPr>
          <w:p w14:paraId="0A27B141" w14:textId="77777777" w:rsidR="006D694E" w:rsidRDefault="006D694E" w:rsidP="00380CD2">
            <w:pPr>
              <w:jc w:val="center"/>
            </w:pPr>
            <w:r>
              <w:t>p-value</w:t>
            </w:r>
          </w:p>
        </w:tc>
        <w:tc>
          <w:tcPr>
            <w:tcW w:w="1800" w:type="dxa"/>
            <w:vAlign w:val="bottom"/>
          </w:tcPr>
          <w:p w14:paraId="2FC7B6F9" w14:textId="77777777" w:rsidR="006D694E" w:rsidRDefault="006D694E" w:rsidP="00380CD2">
            <w:pPr>
              <w:jc w:val="center"/>
            </w:pPr>
            <w:r>
              <w:t>OR (95% CI)</w:t>
            </w:r>
          </w:p>
        </w:tc>
        <w:tc>
          <w:tcPr>
            <w:tcW w:w="900" w:type="dxa"/>
            <w:vAlign w:val="bottom"/>
          </w:tcPr>
          <w:p w14:paraId="1BC33651" w14:textId="77777777" w:rsidR="006D694E" w:rsidRDefault="006D694E" w:rsidP="00380CD2">
            <w:pPr>
              <w:jc w:val="center"/>
            </w:pPr>
            <w:r>
              <w:t>p-value</w:t>
            </w:r>
          </w:p>
        </w:tc>
        <w:tc>
          <w:tcPr>
            <w:tcW w:w="1800" w:type="dxa"/>
            <w:vAlign w:val="bottom"/>
          </w:tcPr>
          <w:p w14:paraId="2B077C52" w14:textId="77777777" w:rsidR="006D694E" w:rsidRDefault="006D694E" w:rsidP="00380CD2">
            <w:pPr>
              <w:jc w:val="center"/>
            </w:pPr>
            <w:r>
              <w:t>OR (95% CI)</w:t>
            </w:r>
          </w:p>
        </w:tc>
        <w:tc>
          <w:tcPr>
            <w:tcW w:w="900" w:type="dxa"/>
            <w:vAlign w:val="bottom"/>
          </w:tcPr>
          <w:p w14:paraId="593926C9" w14:textId="77777777" w:rsidR="006D694E" w:rsidRDefault="006D694E" w:rsidP="00380CD2">
            <w:pPr>
              <w:jc w:val="center"/>
            </w:pPr>
            <w:r>
              <w:t>p-value</w:t>
            </w:r>
          </w:p>
        </w:tc>
      </w:tr>
      <w:tr w:rsidR="006D694E" w14:paraId="7E8B9FE7" w14:textId="77777777" w:rsidTr="00380CD2">
        <w:trPr>
          <w:trHeight w:val="198"/>
          <w:jc w:val="center"/>
        </w:trPr>
        <w:tc>
          <w:tcPr>
            <w:tcW w:w="3335" w:type="dxa"/>
            <w:shd w:val="clear" w:color="auto" w:fill="F2F2F2" w:themeFill="background1" w:themeFillShade="F2"/>
          </w:tcPr>
          <w:p w14:paraId="758F002F" w14:textId="77777777" w:rsidR="006D694E" w:rsidRPr="00AD377C" w:rsidRDefault="006D694E" w:rsidP="00380CD2">
            <w:r>
              <w:t>1. DARS + Site (R</w:t>
            </w:r>
            <w:r>
              <w:rPr>
                <w:vertAlign w:val="superscript"/>
              </w:rPr>
              <w:t>2</w:t>
            </w:r>
            <w:r>
              <w:t>/C-Index)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0A06F9D3" w14:textId="77777777" w:rsidR="006D694E" w:rsidRDefault="006D694E" w:rsidP="00380CD2">
            <w:pPr>
              <w:jc w:val="center"/>
            </w:pPr>
            <w:r>
              <w:t>0.150/0.701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48AABE23" w14:textId="77777777" w:rsidR="006D694E" w:rsidRDefault="006D694E" w:rsidP="00380CD2">
            <w:pPr>
              <w:jc w:val="center"/>
            </w:pPr>
            <w:r>
              <w:t>0.156/0.702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594D1E2E" w14:textId="77777777" w:rsidR="006D694E" w:rsidRDefault="006D694E" w:rsidP="00380CD2">
            <w:pPr>
              <w:jc w:val="center"/>
            </w:pPr>
            <w:r>
              <w:t>0.119/0.683</w:t>
            </w:r>
          </w:p>
        </w:tc>
      </w:tr>
      <w:tr w:rsidR="006D694E" w14:paraId="383991A3" w14:textId="77777777" w:rsidTr="00380CD2">
        <w:trPr>
          <w:trHeight w:val="198"/>
          <w:jc w:val="center"/>
        </w:trPr>
        <w:tc>
          <w:tcPr>
            <w:tcW w:w="3335" w:type="dxa"/>
          </w:tcPr>
          <w:p w14:paraId="4D824EEA" w14:textId="77777777" w:rsidR="006D694E" w:rsidRDefault="006D694E" w:rsidP="00380CD2">
            <w:pPr>
              <w:jc w:val="right"/>
            </w:pPr>
            <w:r>
              <w:t>DARS</w:t>
            </w:r>
          </w:p>
        </w:tc>
        <w:tc>
          <w:tcPr>
            <w:tcW w:w="1800" w:type="dxa"/>
            <w:vAlign w:val="bottom"/>
          </w:tcPr>
          <w:p w14:paraId="1B1A335D" w14:textId="77777777" w:rsidR="006D694E" w:rsidRDefault="006D694E" w:rsidP="00380CD2">
            <w:pPr>
              <w:jc w:val="center"/>
            </w:pPr>
            <w:r>
              <w:t>4.64 (1.92, 11.39)</w:t>
            </w:r>
          </w:p>
        </w:tc>
        <w:tc>
          <w:tcPr>
            <w:tcW w:w="900" w:type="dxa"/>
            <w:vAlign w:val="bottom"/>
          </w:tcPr>
          <w:p w14:paraId="57312DC8" w14:textId="77777777" w:rsidR="006D694E" w:rsidRDefault="006D694E" w:rsidP="00380CD2">
            <w:pPr>
              <w:jc w:val="center"/>
            </w:pPr>
            <w:r>
              <w:t>0.001</w:t>
            </w:r>
          </w:p>
        </w:tc>
        <w:tc>
          <w:tcPr>
            <w:tcW w:w="1800" w:type="dxa"/>
            <w:vAlign w:val="bottom"/>
          </w:tcPr>
          <w:p w14:paraId="14B637F0" w14:textId="77777777" w:rsidR="006D694E" w:rsidRDefault="006D694E" w:rsidP="00380CD2">
            <w:pPr>
              <w:jc w:val="center"/>
            </w:pPr>
            <w:r>
              <w:t>4.30 (1.89, 10.01)</w:t>
            </w:r>
          </w:p>
        </w:tc>
        <w:tc>
          <w:tcPr>
            <w:tcW w:w="900" w:type="dxa"/>
            <w:vAlign w:val="bottom"/>
          </w:tcPr>
          <w:p w14:paraId="2D8CA358" w14:textId="77777777" w:rsidR="006D694E" w:rsidRDefault="006D694E" w:rsidP="00380CD2">
            <w:pPr>
              <w:jc w:val="center"/>
            </w:pPr>
            <w:r>
              <w:t>0.001</w:t>
            </w:r>
          </w:p>
        </w:tc>
        <w:tc>
          <w:tcPr>
            <w:tcW w:w="1800" w:type="dxa"/>
            <w:vAlign w:val="bottom"/>
          </w:tcPr>
          <w:p w14:paraId="07632071" w14:textId="77777777" w:rsidR="006D694E" w:rsidRDefault="006D694E" w:rsidP="00380CD2">
            <w:pPr>
              <w:jc w:val="center"/>
            </w:pPr>
            <w:r>
              <w:t>3.24 (1.46, 7.40)</w:t>
            </w:r>
          </w:p>
        </w:tc>
        <w:tc>
          <w:tcPr>
            <w:tcW w:w="900" w:type="dxa"/>
            <w:vAlign w:val="bottom"/>
          </w:tcPr>
          <w:p w14:paraId="00E04EBE" w14:textId="77777777" w:rsidR="006D694E" w:rsidRDefault="006D694E" w:rsidP="00380CD2">
            <w:pPr>
              <w:jc w:val="center"/>
            </w:pPr>
            <w:r>
              <w:t>0.004</w:t>
            </w:r>
          </w:p>
        </w:tc>
      </w:tr>
      <w:tr w:rsidR="006D694E" w14:paraId="778601B7" w14:textId="77777777" w:rsidTr="00380CD2">
        <w:trPr>
          <w:trHeight w:val="198"/>
          <w:jc w:val="center"/>
        </w:trPr>
        <w:tc>
          <w:tcPr>
            <w:tcW w:w="3335" w:type="dxa"/>
          </w:tcPr>
          <w:p w14:paraId="1394E00D" w14:textId="77777777" w:rsidR="006D694E" w:rsidRDefault="006D694E" w:rsidP="00380CD2">
            <w:pPr>
              <w:jc w:val="right"/>
            </w:pPr>
            <w:r>
              <w:t>Site (Duke vs Mt S)</w:t>
            </w:r>
          </w:p>
        </w:tc>
        <w:tc>
          <w:tcPr>
            <w:tcW w:w="1800" w:type="dxa"/>
            <w:vAlign w:val="bottom"/>
          </w:tcPr>
          <w:p w14:paraId="51641CC0" w14:textId="77777777" w:rsidR="006D694E" w:rsidRDefault="006D694E" w:rsidP="00380CD2">
            <w:pPr>
              <w:jc w:val="center"/>
            </w:pPr>
            <w:r>
              <w:t>1.91 (0.85, 4.45)</w:t>
            </w:r>
          </w:p>
        </w:tc>
        <w:tc>
          <w:tcPr>
            <w:tcW w:w="900" w:type="dxa"/>
            <w:vAlign w:val="bottom"/>
          </w:tcPr>
          <w:p w14:paraId="08AFDD47" w14:textId="77777777" w:rsidR="006D694E" w:rsidRDefault="006D694E" w:rsidP="00380CD2">
            <w:pPr>
              <w:jc w:val="center"/>
            </w:pPr>
            <w:r>
              <w:t>0.123</w:t>
            </w:r>
          </w:p>
        </w:tc>
        <w:tc>
          <w:tcPr>
            <w:tcW w:w="1800" w:type="dxa"/>
            <w:vAlign w:val="bottom"/>
          </w:tcPr>
          <w:p w14:paraId="5DC89301" w14:textId="77777777" w:rsidR="006D694E" w:rsidRDefault="006D694E" w:rsidP="00380CD2">
            <w:pPr>
              <w:jc w:val="center"/>
            </w:pPr>
            <w:r>
              <w:t>1.59 (0.69, 3.72)</w:t>
            </w:r>
          </w:p>
        </w:tc>
        <w:tc>
          <w:tcPr>
            <w:tcW w:w="900" w:type="dxa"/>
            <w:vAlign w:val="bottom"/>
          </w:tcPr>
          <w:p w14:paraId="72BC7FA0" w14:textId="77777777" w:rsidR="006D694E" w:rsidRDefault="006D694E" w:rsidP="00380CD2">
            <w:pPr>
              <w:jc w:val="center"/>
            </w:pPr>
            <w:r>
              <w:t>0.276</w:t>
            </w:r>
          </w:p>
        </w:tc>
        <w:tc>
          <w:tcPr>
            <w:tcW w:w="1800" w:type="dxa"/>
            <w:vAlign w:val="bottom"/>
          </w:tcPr>
          <w:p w14:paraId="44791D67" w14:textId="77777777" w:rsidR="006D694E" w:rsidRDefault="006D694E" w:rsidP="00380CD2">
            <w:pPr>
              <w:jc w:val="center"/>
            </w:pPr>
            <w:r>
              <w:t>1.71 (0.76, 3.94)</w:t>
            </w:r>
          </w:p>
        </w:tc>
        <w:tc>
          <w:tcPr>
            <w:tcW w:w="900" w:type="dxa"/>
            <w:vAlign w:val="bottom"/>
          </w:tcPr>
          <w:p w14:paraId="7569D10E" w14:textId="77777777" w:rsidR="006D694E" w:rsidRDefault="006D694E" w:rsidP="00380CD2">
            <w:pPr>
              <w:jc w:val="center"/>
            </w:pPr>
            <w:r>
              <w:t>0.199</w:t>
            </w:r>
          </w:p>
        </w:tc>
      </w:tr>
      <w:tr w:rsidR="006D694E" w14:paraId="3FD376EC" w14:textId="77777777" w:rsidTr="00380CD2">
        <w:trPr>
          <w:trHeight w:val="198"/>
          <w:jc w:val="center"/>
        </w:trPr>
        <w:tc>
          <w:tcPr>
            <w:tcW w:w="3335" w:type="dxa"/>
            <w:shd w:val="clear" w:color="auto" w:fill="F2F2F2" w:themeFill="background1" w:themeFillShade="F2"/>
          </w:tcPr>
          <w:p w14:paraId="6AFCBE97" w14:textId="77777777" w:rsidR="006D694E" w:rsidRDefault="006D694E" w:rsidP="00380CD2">
            <w:r>
              <w:t>2. DARS + Site + Risk Factors (R</w:t>
            </w:r>
            <w:r>
              <w:rPr>
                <w:vertAlign w:val="superscript"/>
              </w:rPr>
              <w:t>2</w:t>
            </w:r>
            <w:r>
              <w:t>/C-Index)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7D28A375" w14:textId="77777777" w:rsidR="006D694E" w:rsidRDefault="006D694E" w:rsidP="00380CD2">
            <w:pPr>
              <w:jc w:val="center"/>
            </w:pPr>
            <w:r>
              <w:t>0.245/0.734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1B13C268" w14:textId="77777777" w:rsidR="006D694E" w:rsidRDefault="006D694E" w:rsidP="00380CD2">
            <w:pPr>
              <w:jc w:val="center"/>
            </w:pPr>
            <w:r>
              <w:t>0.259/0.746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6015CFD8" w14:textId="77777777" w:rsidR="006D694E" w:rsidRDefault="006D694E" w:rsidP="00380CD2">
            <w:pPr>
              <w:jc w:val="center"/>
            </w:pPr>
            <w:r>
              <w:t>0.235/0.732</w:t>
            </w:r>
          </w:p>
        </w:tc>
      </w:tr>
      <w:tr w:rsidR="006D694E" w14:paraId="14420BC6" w14:textId="77777777" w:rsidTr="00380CD2">
        <w:trPr>
          <w:trHeight w:val="187"/>
          <w:jc w:val="center"/>
        </w:trPr>
        <w:tc>
          <w:tcPr>
            <w:tcW w:w="3335" w:type="dxa"/>
          </w:tcPr>
          <w:p w14:paraId="2E861354" w14:textId="77777777" w:rsidR="006D694E" w:rsidRDefault="006D694E" w:rsidP="00380CD2">
            <w:pPr>
              <w:jc w:val="right"/>
            </w:pPr>
            <w:r>
              <w:t>DARS</w:t>
            </w:r>
          </w:p>
        </w:tc>
        <w:tc>
          <w:tcPr>
            <w:tcW w:w="1800" w:type="dxa"/>
            <w:vAlign w:val="bottom"/>
          </w:tcPr>
          <w:p w14:paraId="68A03DF4" w14:textId="77777777" w:rsidR="006D694E" w:rsidRDefault="006D694E" w:rsidP="00380CD2">
            <w:pPr>
              <w:jc w:val="center"/>
            </w:pPr>
            <w:r>
              <w:t>3.74 (1.52, 9.32)</w:t>
            </w:r>
          </w:p>
        </w:tc>
        <w:tc>
          <w:tcPr>
            <w:tcW w:w="900" w:type="dxa"/>
            <w:vAlign w:val="bottom"/>
          </w:tcPr>
          <w:p w14:paraId="66759B92" w14:textId="77777777" w:rsidR="006D694E" w:rsidRDefault="006D694E" w:rsidP="00380CD2">
            <w:pPr>
              <w:jc w:val="center"/>
            </w:pPr>
            <w:r>
              <w:t>0.005</w:t>
            </w:r>
          </w:p>
        </w:tc>
        <w:tc>
          <w:tcPr>
            <w:tcW w:w="1800" w:type="dxa"/>
            <w:vAlign w:val="bottom"/>
          </w:tcPr>
          <w:p w14:paraId="48DE1963" w14:textId="77777777" w:rsidR="006D694E" w:rsidRDefault="006D694E" w:rsidP="00380CD2">
            <w:pPr>
              <w:jc w:val="center"/>
            </w:pPr>
            <w:r>
              <w:t>3.79 (1.63, 9.10)</w:t>
            </w:r>
          </w:p>
        </w:tc>
        <w:tc>
          <w:tcPr>
            <w:tcW w:w="900" w:type="dxa"/>
            <w:vAlign w:val="bottom"/>
          </w:tcPr>
          <w:p w14:paraId="0B80D3A5" w14:textId="77777777" w:rsidR="006D694E" w:rsidRDefault="006D694E" w:rsidP="00380CD2">
            <w:pPr>
              <w:jc w:val="center"/>
            </w:pPr>
            <w:r>
              <w:t>0.003</w:t>
            </w:r>
          </w:p>
        </w:tc>
        <w:tc>
          <w:tcPr>
            <w:tcW w:w="1800" w:type="dxa"/>
            <w:vAlign w:val="bottom"/>
          </w:tcPr>
          <w:p w14:paraId="68440AE6" w14:textId="77777777" w:rsidR="006D694E" w:rsidRDefault="006D694E" w:rsidP="00380CD2">
            <w:pPr>
              <w:jc w:val="center"/>
            </w:pPr>
            <w:r>
              <w:t>3.16 (1.37, 7.55)</w:t>
            </w:r>
          </w:p>
        </w:tc>
        <w:tc>
          <w:tcPr>
            <w:tcW w:w="900" w:type="dxa"/>
            <w:vAlign w:val="bottom"/>
          </w:tcPr>
          <w:p w14:paraId="15630EF8" w14:textId="77777777" w:rsidR="006D694E" w:rsidRDefault="006D694E" w:rsidP="00380CD2">
            <w:pPr>
              <w:jc w:val="center"/>
            </w:pPr>
            <w:r>
              <w:t>0.009</w:t>
            </w:r>
          </w:p>
        </w:tc>
      </w:tr>
      <w:tr w:rsidR="006D694E" w14:paraId="58467DD5" w14:textId="77777777" w:rsidTr="00380CD2">
        <w:trPr>
          <w:trHeight w:val="198"/>
          <w:jc w:val="center"/>
        </w:trPr>
        <w:tc>
          <w:tcPr>
            <w:tcW w:w="3335" w:type="dxa"/>
          </w:tcPr>
          <w:p w14:paraId="44CA6FF0" w14:textId="77777777" w:rsidR="006D694E" w:rsidRDefault="006D694E" w:rsidP="00380CD2">
            <w:pPr>
              <w:jc w:val="right"/>
            </w:pPr>
            <w:r>
              <w:t>Age</w:t>
            </w:r>
          </w:p>
        </w:tc>
        <w:tc>
          <w:tcPr>
            <w:tcW w:w="1800" w:type="dxa"/>
            <w:vAlign w:val="bottom"/>
          </w:tcPr>
          <w:p w14:paraId="25352F31" w14:textId="77777777" w:rsidR="006D694E" w:rsidRDefault="006D694E" w:rsidP="00380CD2">
            <w:pPr>
              <w:jc w:val="center"/>
            </w:pPr>
            <w:r>
              <w:t>1.04 (0.97, 1.11)</w:t>
            </w:r>
          </w:p>
        </w:tc>
        <w:tc>
          <w:tcPr>
            <w:tcW w:w="900" w:type="dxa"/>
            <w:vAlign w:val="bottom"/>
          </w:tcPr>
          <w:p w14:paraId="04603EF3" w14:textId="77777777" w:rsidR="006D694E" w:rsidRDefault="006D694E" w:rsidP="00380CD2">
            <w:pPr>
              <w:jc w:val="center"/>
            </w:pPr>
            <w:r>
              <w:t>0.258</w:t>
            </w:r>
          </w:p>
        </w:tc>
        <w:tc>
          <w:tcPr>
            <w:tcW w:w="1800" w:type="dxa"/>
            <w:vAlign w:val="bottom"/>
          </w:tcPr>
          <w:p w14:paraId="7B5BA313" w14:textId="77777777" w:rsidR="006D694E" w:rsidRDefault="006D694E" w:rsidP="00380CD2">
            <w:pPr>
              <w:jc w:val="center"/>
            </w:pPr>
            <w:r>
              <w:t>1.04 (0.97, 1.11)</w:t>
            </w:r>
          </w:p>
        </w:tc>
        <w:tc>
          <w:tcPr>
            <w:tcW w:w="900" w:type="dxa"/>
            <w:vAlign w:val="bottom"/>
          </w:tcPr>
          <w:p w14:paraId="058C15F4" w14:textId="77777777" w:rsidR="006D694E" w:rsidRDefault="006D694E" w:rsidP="00380CD2">
            <w:pPr>
              <w:jc w:val="center"/>
            </w:pPr>
            <w:r>
              <w:t>0.278</w:t>
            </w:r>
          </w:p>
        </w:tc>
        <w:tc>
          <w:tcPr>
            <w:tcW w:w="1800" w:type="dxa"/>
            <w:vAlign w:val="bottom"/>
          </w:tcPr>
          <w:p w14:paraId="6A32E377" w14:textId="77777777" w:rsidR="006D694E" w:rsidRDefault="006D694E" w:rsidP="00380CD2">
            <w:pPr>
              <w:jc w:val="center"/>
            </w:pPr>
            <w:r>
              <w:t>1.04 (0.97, 1.11)</w:t>
            </w:r>
          </w:p>
        </w:tc>
        <w:tc>
          <w:tcPr>
            <w:tcW w:w="900" w:type="dxa"/>
            <w:vAlign w:val="bottom"/>
          </w:tcPr>
          <w:p w14:paraId="3D4D446A" w14:textId="77777777" w:rsidR="006D694E" w:rsidRDefault="006D694E" w:rsidP="00380CD2">
            <w:pPr>
              <w:jc w:val="center"/>
            </w:pPr>
            <w:r>
              <w:t>0.298</w:t>
            </w:r>
          </w:p>
        </w:tc>
      </w:tr>
      <w:tr w:rsidR="006D694E" w14:paraId="58651801" w14:textId="77777777" w:rsidTr="00380CD2">
        <w:trPr>
          <w:trHeight w:val="187"/>
          <w:jc w:val="center"/>
        </w:trPr>
        <w:tc>
          <w:tcPr>
            <w:tcW w:w="3335" w:type="dxa"/>
          </w:tcPr>
          <w:p w14:paraId="235640BA" w14:textId="77777777" w:rsidR="006D694E" w:rsidRDefault="006D694E" w:rsidP="00380CD2">
            <w:pPr>
              <w:jc w:val="right"/>
            </w:pPr>
            <w:r>
              <w:t>ACB Score</w:t>
            </w:r>
          </w:p>
        </w:tc>
        <w:tc>
          <w:tcPr>
            <w:tcW w:w="1800" w:type="dxa"/>
            <w:vAlign w:val="bottom"/>
          </w:tcPr>
          <w:p w14:paraId="3EFDEC13" w14:textId="77777777" w:rsidR="006D694E" w:rsidRDefault="006D694E" w:rsidP="00380CD2">
            <w:pPr>
              <w:jc w:val="center"/>
            </w:pPr>
            <w:r>
              <w:t>1.30 (0.99, 1.73)</w:t>
            </w:r>
          </w:p>
        </w:tc>
        <w:tc>
          <w:tcPr>
            <w:tcW w:w="900" w:type="dxa"/>
            <w:vAlign w:val="bottom"/>
          </w:tcPr>
          <w:p w14:paraId="2E5659D6" w14:textId="77777777" w:rsidR="006D694E" w:rsidRDefault="006D694E" w:rsidP="00380CD2">
            <w:pPr>
              <w:jc w:val="center"/>
            </w:pPr>
            <w:r>
              <w:t>0.074</w:t>
            </w:r>
          </w:p>
        </w:tc>
        <w:tc>
          <w:tcPr>
            <w:tcW w:w="1800" w:type="dxa"/>
            <w:vAlign w:val="bottom"/>
          </w:tcPr>
          <w:p w14:paraId="41C144C7" w14:textId="77777777" w:rsidR="006D694E" w:rsidRDefault="006D694E" w:rsidP="00380CD2">
            <w:pPr>
              <w:jc w:val="center"/>
            </w:pPr>
            <w:r>
              <w:t>1.25 (0.95, 1.69)</w:t>
            </w:r>
          </w:p>
        </w:tc>
        <w:tc>
          <w:tcPr>
            <w:tcW w:w="900" w:type="dxa"/>
            <w:vAlign w:val="bottom"/>
          </w:tcPr>
          <w:p w14:paraId="2E785E8F" w14:textId="77777777" w:rsidR="006D694E" w:rsidRDefault="006D694E" w:rsidP="00380CD2">
            <w:pPr>
              <w:jc w:val="center"/>
            </w:pPr>
            <w:r>
              <w:t>0.130</w:t>
            </w:r>
          </w:p>
        </w:tc>
        <w:tc>
          <w:tcPr>
            <w:tcW w:w="1800" w:type="dxa"/>
            <w:vAlign w:val="bottom"/>
          </w:tcPr>
          <w:p w14:paraId="5AD06CBD" w14:textId="77777777" w:rsidR="006D694E" w:rsidRDefault="006D694E" w:rsidP="00380CD2">
            <w:pPr>
              <w:jc w:val="center"/>
            </w:pPr>
            <w:r>
              <w:t>1.29 (0.98, 1.73)</w:t>
            </w:r>
          </w:p>
        </w:tc>
        <w:tc>
          <w:tcPr>
            <w:tcW w:w="900" w:type="dxa"/>
            <w:vAlign w:val="bottom"/>
          </w:tcPr>
          <w:p w14:paraId="08E871DE" w14:textId="77777777" w:rsidR="006D694E" w:rsidRDefault="006D694E" w:rsidP="00380CD2">
            <w:pPr>
              <w:jc w:val="center"/>
            </w:pPr>
            <w:r>
              <w:t>0.089</w:t>
            </w:r>
          </w:p>
        </w:tc>
      </w:tr>
      <w:tr w:rsidR="006D694E" w14:paraId="68C482CD" w14:textId="77777777" w:rsidTr="00380CD2">
        <w:trPr>
          <w:trHeight w:val="187"/>
          <w:jc w:val="center"/>
        </w:trPr>
        <w:tc>
          <w:tcPr>
            <w:tcW w:w="3335" w:type="dxa"/>
          </w:tcPr>
          <w:p w14:paraId="3956CDB5" w14:textId="77777777" w:rsidR="006D694E" w:rsidRDefault="006D694E" w:rsidP="00380CD2">
            <w:pPr>
              <w:jc w:val="right"/>
            </w:pPr>
            <w:r>
              <w:t>Procedure Duration</w:t>
            </w:r>
          </w:p>
        </w:tc>
        <w:tc>
          <w:tcPr>
            <w:tcW w:w="1800" w:type="dxa"/>
            <w:vAlign w:val="bottom"/>
          </w:tcPr>
          <w:p w14:paraId="521E6F72" w14:textId="77777777" w:rsidR="006D694E" w:rsidRDefault="006D694E" w:rsidP="00380CD2">
            <w:pPr>
              <w:jc w:val="center"/>
            </w:pPr>
            <w:r>
              <w:t>1.01 (1.00, 1.01)</w:t>
            </w:r>
          </w:p>
        </w:tc>
        <w:tc>
          <w:tcPr>
            <w:tcW w:w="900" w:type="dxa"/>
            <w:vAlign w:val="bottom"/>
          </w:tcPr>
          <w:p w14:paraId="74A64852" w14:textId="77777777" w:rsidR="006D694E" w:rsidRDefault="006D694E" w:rsidP="00380CD2">
            <w:pPr>
              <w:jc w:val="center"/>
            </w:pPr>
            <w:r>
              <w:t>0.027</w:t>
            </w:r>
          </w:p>
        </w:tc>
        <w:tc>
          <w:tcPr>
            <w:tcW w:w="1800" w:type="dxa"/>
            <w:vAlign w:val="bottom"/>
          </w:tcPr>
          <w:p w14:paraId="2A315ED0" w14:textId="77777777" w:rsidR="006D694E" w:rsidRDefault="006D694E" w:rsidP="00380CD2">
            <w:pPr>
              <w:jc w:val="center"/>
            </w:pPr>
            <w:r>
              <w:t>1.01 (1.00, 1.01)</w:t>
            </w:r>
          </w:p>
        </w:tc>
        <w:tc>
          <w:tcPr>
            <w:tcW w:w="900" w:type="dxa"/>
            <w:vAlign w:val="bottom"/>
          </w:tcPr>
          <w:p w14:paraId="430F1021" w14:textId="77777777" w:rsidR="006D694E" w:rsidRDefault="006D694E" w:rsidP="00380CD2">
            <w:pPr>
              <w:jc w:val="center"/>
            </w:pPr>
            <w:r>
              <w:t>0.021</w:t>
            </w:r>
          </w:p>
        </w:tc>
        <w:tc>
          <w:tcPr>
            <w:tcW w:w="1800" w:type="dxa"/>
            <w:vAlign w:val="bottom"/>
          </w:tcPr>
          <w:p w14:paraId="33EA8F2A" w14:textId="77777777" w:rsidR="006D694E" w:rsidRDefault="006D694E" w:rsidP="00380CD2">
            <w:pPr>
              <w:jc w:val="center"/>
            </w:pPr>
            <w:r>
              <w:t>1.01 (1.00, 1.01)</w:t>
            </w:r>
          </w:p>
        </w:tc>
        <w:tc>
          <w:tcPr>
            <w:tcW w:w="900" w:type="dxa"/>
            <w:vAlign w:val="bottom"/>
          </w:tcPr>
          <w:p w14:paraId="48831B8B" w14:textId="77777777" w:rsidR="006D694E" w:rsidRDefault="006D694E" w:rsidP="00380CD2">
            <w:pPr>
              <w:jc w:val="center"/>
            </w:pPr>
            <w:r>
              <w:t>0.013</w:t>
            </w:r>
          </w:p>
        </w:tc>
      </w:tr>
      <w:tr w:rsidR="006D694E" w14:paraId="0C797AF8" w14:textId="77777777" w:rsidTr="00380CD2">
        <w:trPr>
          <w:trHeight w:val="187"/>
          <w:jc w:val="center"/>
        </w:trPr>
        <w:tc>
          <w:tcPr>
            <w:tcW w:w="3335" w:type="dxa"/>
          </w:tcPr>
          <w:p w14:paraId="55DAF479" w14:textId="77777777" w:rsidR="006D694E" w:rsidRDefault="006D694E" w:rsidP="00380CD2">
            <w:pPr>
              <w:jc w:val="right"/>
            </w:pPr>
            <w:r>
              <w:t>Gender (M v F)</w:t>
            </w:r>
          </w:p>
        </w:tc>
        <w:tc>
          <w:tcPr>
            <w:tcW w:w="1800" w:type="dxa"/>
            <w:vAlign w:val="bottom"/>
          </w:tcPr>
          <w:p w14:paraId="4BE1A56A" w14:textId="77777777" w:rsidR="006D694E" w:rsidRDefault="006D694E" w:rsidP="00380CD2">
            <w:pPr>
              <w:jc w:val="center"/>
            </w:pPr>
            <w:r>
              <w:t>0.82 (0.34, 1.93)</w:t>
            </w:r>
          </w:p>
        </w:tc>
        <w:tc>
          <w:tcPr>
            <w:tcW w:w="900" w:type="dxa"/>
            <w:vAlign w:val="bottom"/>
          </w:tcPr>
          <w:p w14:paraId="2A93BD15" w14:textId="77777777" w:rsidR="006D694E" w:rsidRDefault="006D694E" w:rsidP="00380CD2">
            <w:pPr>
              <w:jc w:val="center"/>
            </w:pPr>
            <w:r>
              <w:t>0.657</w:t>
            </w:r>
          </w:p>
        </w:tc>
        <w:tc>
          <w:tcPr>
            <w:tcW w:w="1800" w:type="dxa"/>
            <w:vAlign w:val="bottom"/>
          </w:tcPr>
          <w:p w14:paraId="00C9A5DA" w14:textId="77777777" w:rsidR="006D694E" w:rsidRDefault="006D694E" w:rsidP="00380CD2">
            <w:pPr>
              <w:jc w:val="center"/>
            </w:pPr>
            <w:r>
              <w:t>0.88 (0.36, 2.09)</w:t>
            </w:r>
          </w:p>
        </w:tc>
        <w:tc>
          <w:tcPr>
            <w:tcW w:w="900" w:type="dxa"/>
            <w:vAlign w:val="bottom"/>
          </w:tcPr>
          <w:p w14:paraId="52EC39CB" w14:textId="77777777" w:rsidR="006D694E" w:rsidRDefault="006D694E" w:rsidP="00380CD2">
            <w:pPr>
              <w:jc w:val="center"/>
            </w:pPr>
            <w:r>
              <w:t>0.772</w:t>
            </w:r>
          </w:p>
        </w:tc>
        <w:tc>
          <w:tcPr>
            <w:tcW w:w="1800" w:type="dxa"/>
            <w:vAlign w:val="bottom"/>
          </w:tcPr>
          <w:p w14:paraId="4B71F0EC" w14:textId="77777777" w:rsidR="006D694E" w:rsidRDefault="006D694E" w:rsidP="00380CD2">
            <w:pPr>
              <w:jc w:val="center"/>
            </w:pPr>
            <w:r>
              <w:t>0.88 (0.37, 2.08)</w:t>
            </w:r>
          </w:p>
        </w:tc>
        <w:tc>
          <w:tcPr>
            <w:tcW w:w="900" w:type="dxa"/>
            <w:vAlign w:val="bottom"/>
          </w:tcPr>
          <w:p w14:paraId="6D345A4F" w14:textId="77777777" w:rsidR="006D694E" w:rsidRDefault="006D694E" w:rsidP="00380CD2">
            <w:pPr>
              <w:jc w:val="center"/>
            </w:pPr>
            <w:r>
              <w:t>0.777</w:t>
            </w:r>
          </w:p>
        </w:tc>
      </w:tr>
      <w:tr w:rsidR="006D694E" w14:paraId="7ADC7C3A" w14:textId="77777777" w:rsidTr="00380CD2">
        <w:trPr>
          <w:trHeight w:val="187"/>
          <w:jc w:val="center"/>
        </w:trPr>
        <w:tc>
          <w:tcPr>
            <w:tcW w:w="3335" w:type="dxa"/>
          </w:tcPr>
          <w:p w14:paraId="2B6F2FB9" w14:textId="77777777" w:rsidR="006D694E" w:rsidRDefault="006D694E" w:rsidP="00380CD2">
            <w:pPr>
              <w:jc w:val="right"/>
            </w:pPr>
            <w:r>
              <w:t>ASA</w:t>
            </w:r>
          </w:p>
        </w:tc>
        <w:tc>
          <w:tcPr>
            <w:tcW w:w="1800" w:type="dxa"/>
            <w:vAlign w:val="bottom"/>
          </w:tcPr>
          <w:p w14:paraId="63868573" w14:textId="77777777" w:rsidR="006D694E" w:rsidRDefault="006D694E" w:rsidP="00380CD2">
            <w:pPr>
              <w:jc w:val="center"/>
            </w:pPr>
            <w:r>
              <w:t>0.75 (0.28, 2.00)</w:t>
            </w:r>
          </w:p>
        </w:tc>
        <w:tc>
          <w:tcPr>
            <w:tcW w:w="900" w:type="dxa"/>
            <w:vAlign w:val="bottom"/>
          </w:tcPr>
          <w:p w14:paraId="3ABA844A" w14:textId="77777777" w:rsidR="006D694E" w:rsidRDefault="006D694E" w:rsidP="00380CD2">
            <w:pPr>
              <w:jc w:val="center"/>
            </w:pPr>
            <w:r>
              <w:t>0.571</w:t>
            </w:r>
          </w:p>
        </w:tc>
        <w:tc>
          <w:tcPr>
            <w:tcW w:w="1800" w:type="dxa"/>
            <w:vAlign w:val="bottom"/>
          </w:tcPr>
          <w:p w14:paraId="2071D9DC" w14:textId="77777777" w:rsidR="006D694E" w:rsidRDefault="006D694E" w:rsidP="00380CD2">
            <w:pPr>
              <w:jc w:val="center"/>
            </w:pPr>
            <w:r>
              <w:t>0.73 (0.27, 1.98)</w:t>
            </w:r>
          </w:p>
        </w:tc>
        <w:tc>
          <w:tcPr>
            <w:tcW w:w="900" w:type="dxa"/>
            <w:vAlign w:val="bottom"/>
          </w:tcPr>
          <w:p w14:paraId="4ABF91A1" w14:textId="77777777" w:rsidR="006D694E" w:rsidRDefault="006D694E" w:rsidP="00380CD2">
            <w:pPr>
              <w:jc w:val="center"/>
            </w:pPr>
            <w:r>
              <w:t>0.538</w:t>
            </w:r>
          </w:p>
        </w:tc>
        <w:tc>
          <w:tcPr>
            <w:tcW w:w="1800" w:type="dxa"/>
            <w:vAlign w:val="bottom"/>
          </w:tcPr>
          <w:p w14:paraId="3242BCFC" w14:textId="77777777" w:rsidR="006D694E" w:rsidRDefault="006D694E" w:rsidP="00380CD2">
            <w:pPr>
              <w:jc w:val="center"/>
            </w:pPr>
            <w:r>
              <w:t>0.73 (0.27, 1.98)</w:t>
            </w:r>
          </w:p>
        </w:tc>
        <w:tc>
          <w:tcPr>
            <w:tcW w:w="900" w:type="dxa"/>
            <w:vAlign w:val="bottom"/>
          </w:tcPr>
          <w:p w14:paraId="4558CDD0" w14:textId="77777777" w:rsidR="006D694E" w:rsidRDefault="006D694E" w:rsidP="00380CD2">
            <w:pPr>
              <w:jc w:val="center"/>
            </w:pPr>
            <w:r>
              <w:t>0.540</w:t>
            </w:r>
          </w:p>
        </w:tc>
      </w:tr>
      <w:tr w:rsidR="006D694E" w14:paraId="17679005" w14:textId="77777777" w:rsidTr="00380CD2">
        <w:trPr>
          <w:trHeight w:val="187"/>
          <w:jc w:val="center"/>
        </w:trPr>
        <w:tc>
          <w:tcPr>
            <w:tcW w:w="3335" w:type="dxa"/>
          </w:tcPr>
          <w:p w14:paraId="7796AAD6" w14:textId="77777777" w:rsidR="006D694E" w:rsidRDefault="006D694E" w:rsidP="00380CD2">
            <w:pPr>
              <w:jc w:val="right"/>
            </w:pPr>
            <w:r>
              <w:t>Site (Duke vs Mt S)</w:t>
            </w:r>
          </w:p>
        </w:tc>
        <w:tc>
          <w:tcPr>
            <w:tcW w:w="1800" w:type="dxa"/>
            <w:vAlign w:val="bottom"/>
          </w:tcPr>
          <w:p w14:paraId="6A24D7FD" w14:textId="77777777" w:rsidR="006D694E" w:rsidRDefault="006D694E" w:rsidP="00380CD2">
            <w:pPr>
              <w:jc w:val="center"/>
            </w:pPr>
            <w:r>
              <w:t>1.76 (0.74, 4.32)</w:t>
            </w:r>
          </w:p>
        </w:tc>
        <w:tc>
          <w:tcPr>
            <w:tcW w:w="900" w:type="dxa"/>
            <w:vAlign w:val="bottom"/>
          </w:tcPr>
          <w:p w14:paraId="227EF5AE" w14:textId="77777777" w:rsidR="006D694E" w:rsidRDefault="006D694E" w:rsidP="00380CD2">
            <w:pPr>
              <w:jc w:val="center"/>
            </w:pPr>
            <w:r>
              <w:t>0.217</w:t>
            </w:r>
          </w:p>
        </w:tc>
        <w:tc>
          <w:tcPr>
            <w:tcW w:w="1800" w:type="dxa"/>
            <w:vAlign w:val="bottom"/>
          </w:tcPr>
          <w:p w14:paraId="7BA3D5D8" w14:textId="77777777" w:rsidR="006D694E" w:rsidRDefault="006D694E" w:rsidP="00380CD2">
            <w:pPr>
              <w:jc w:val="center"/>
            </w:pPr>
            <w:r>
              <w:t>1.58 (0.65, 3.88)</w:t>
            </w:r>
          </w:p>
        </w:tc>
        <w:tc>
          <w:tcPr>
            <w:tcW w:w="900" w:type="dxa"/>
            <w:vAlign w:val="bottom"/>
          </w:tcPr>
          <w:p w14:paraId="574FC42A" w14:textId="77777777" w:rsidR="006D694E" w:rsidRDefault="006D694E" w:rsidP="00380CD2">
            <w:pPr>
              <w:jc w:val="center"/>
            </w:pPr>
            <w:r>
              <w:t>0.324</w:t>
            </w:r>
          </w:p>
        </w:tc>
        <w:tc>
          <w:tcPr>
            <w:tcW w:w="1800" w:type="dxa"/>
            <w:vAlign w:val="bottom"/>
          </w:tcPr>
          <w:p w14:paraId="2A257379" w14:textId="77777777" w:rsidR="006D694E" w:rsidRDefault="006D694E" w:rsidP="00380CD2">
            <w:pPr>
              <w:jc w:val="center"/>
            </w:pPr>
            <w:r>
              <w:t>1.66 (0.70, 4.05)</w:t>
            </w:r>
          </w:p>
        </w:tc>
        <w:tc>
          <w:tcPr>
            <w:tcW w:w="900" w:type="dxa"/>
            <w:vAlign w:val="bottom"/>
          </w:tcPr>
          <w:p w14:paraId="79CBB83A" w14:textId="77777777" w:rsidR="006D694E" w:rsidRDefault="006D694E" w:rsidP="00380CD2">
            <w:pPr>
              <w:jc w:val="center"/>
            </w:pPr>
            <w:r>
              <w:t>0.265</w:t>
            </w:r>
          </w:p>
        </w:tc>
      </w:tr>
      <w:tr w:rsidR="006D694E" w14:paraId="1F2DCFC3" w14:textId="77777777" w:rsidTr="00380CD2">
        <w:trPr>
          <w:trHeight w:val="187"/>
          <w:jc w:val="center"/>
        </w:trPr>
        <w:tc>
          <w:tcPr>
            <w:tcW w:w="3335" w:type="dxa"/>
            <w:shd w:val="clear" w:color="auto" w:fill="F2F2F2" w:themeFill="background1" w:themeFillShade="F2"/>
          </w:tcPr>
          <w:p w14:paraId="7B0CC889" w14:textId="77777777" w:rsidR="006D694E" w:rsidRDefault="006D694E" w:rsidP="00380CD2">
            <w:r>
              <w:t>3. DARS + Site + Medications (R</w:t>
            </w:r>
            <w:r>
              <w:rPr>
                <w:vertAlign w:val="superscript"/>
              </w:rPr>
              <w:t>2</w:t>
            </w:r>
            <w:r>
              <w:t>/C-Index)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34761CDE" w14:textId="77777777" w:rsidR="006D694E" w:rsidRDefault="006D694E" w:rsidP="00380CD2">
            <w:pPr>
              <w:jc w:val="center"/>
            </w:pPr>
            <w:r>
              <w:t>0.295/0.754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323E361C" w14:textId="77777777" w:rsidR="006D694E" w:rsidRDefault="006D694E" w:rsidP="00380CD2">
            <w:pPr>
              <w:jc w:val="center"/>
            </w:pPr>
            <w:r>
              <w:t>0.300/0.764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bottom"/>
          </w:tcPr>
          <w:p w14:paraId="17AE9243" w14:textId="77777777" w:rsidR="006D694E" w:rsidRDefault="006D694E" w:rsidP="00380CD2">
            <w:pPr>
              <w:jc w:val="center"/>
            </w:pPr>
            <w:r>
              <w:t>0.267/0.746</w:t>
            </w:r>
          </w:p>
        </w:tc>
      </w:tr>
      <w:tr w:rsidR="006D694E" w14:paraId="14CF9C2D" w14:textId="77777777" w:rsidTr="00380CD2">
        <w:trPr>
          <w:trHeight w:val="187"/>
          <w:jc w:val="center"/>
        </w:trPr>
        <w:tc>
          <w:tcPr>
            <w:tcW w:w="3335" w:type="dxa"/>
          </w:tcPr>
          <w:p w14:paraId="3B8820E4" w14:textId="77777777" w:rsidR="006D694E" w:rsidRDefault="006D694E" w:rsidP="00380CD2">
            <w:pPr>
              <w:jc w:val="right"/>
            </w:pPr>
            <w:r>
              <w:t>DARS</w:t>
            </w:r>
          </w:p>
        </w:tc>
        <w:tc>
          <w:tcPr>
            <w:tcW w:w="1800" w:type="dxa"/>
            <w:vAlign w:val="bottom"/>
          </w:tcPr>
          <w:p w14:paraId="70629561" w14:textId="77777777" w:rsidR="006D694E" w:rsidRDefault="006D694E" w:rsidP="00380CD2">
            <w:pPr>
              <w:jc w:val="center"/>
            </w:pPr>
            <w:r>
              <w:t>4.57 (1.84, 11.58)</w:t>
            </w:r>
          </w:p>
        </w:tc>
        <w:tc>
          <w:tcPr>
            <w:tcW w:w="900" w:type="dxa"/>
            <w:vAlign w:val="bottom"/>
          </w:tcPr>
          <w:p w14:paraId="1109A02E" w14:textId="77777777" w:rsidR="006D694E" w:rsidRDefault="006D694E" w:rsidP="00380CD2">
            <w:pPr>
              <w:jc w:val="center"/>
            </w:pPr>
            <w:r>
              <w:t>0.002</w:t>
            </w:r>
          </w:p>
        </w:tc>
        <w:tc>
          <w:tcPr>
            <w:tcW w:w="1800" w:type="dxa"/>
            <w:vAlign w:val="bottom"/>
          </w:tcPr>
          <w:p w14:paraId="3952B497" w14:textId="77777777" w:rsidR="006D694E" w:rsidRDefault="006D694E" w:rsidP="00380CD2">
            <w:pPr>
              <w:jc w:val="center"/>
            </w:pPr>
            <w:r>
              <w:t>4.21 (1.80, 10.16)</w:t>
            </w:r>
          </w:p>
        </w:tc>
        <w:tc>
          <w:tcPr>
            <w:tcW w:w="900" w:type="dxa"/>
            <w:vAlign w:val="bottom"/>
          </w:tcPr>
          <w:p w14:paraId="34E6E151" w14:textId="77777777" w:rsidR="006D694E" w:rsidRDefault="006D694E" w:rsidP="00380CD2">
            <w:pPr>
              <w:jc w:val="center"/>
            </w:pPr>
            <w:r>
              <w:t>0.002</w:t>
            </w:r>
          </w:p>
        </w:tc>
        <w:tc>
          <w:tcPr>
            <w:tcW w:w="1800" w:type="dxa"/>
            <w:vAlign w:val="bottom"/>
          </w:tcPr>
          <w:p w14:paraId="185EBFD0" w14:textId="77777777" w:rsidR="006D694E" w:rsidRDefault="006D694E" w:rsidP="00380CD2">
            <w:pPr>
              <w:jc w:val="center"/>
            </w:pPr>
            <w:r>
              <w:t>3.44 (1.47, 8.34)</w:t>
            </w:r>
          </w:p>
        </w:tc>
        <w:tc>
          <w:tcPr>
            <w:tcW w:w="900" w:type="dxa"/>
            <w:vAlign w:val="bottom"/>
          </w:tcPr>
          <w:p w14:paraId="05F14ACF" w14:textId="77777777" w:rsidR="006D694E" w:rsidRDefault="006D694E" w:rsidP="00380CD2">
            <w:pPr>
              <w:jc w:val="center"/>
            </w:pPr>
            <w:r>
              <w:t>0.006</w:t>
            </w:r>
          </w:p>
        </w:tc>
      </w:tr>
      <w:tr w:rsidR="006D694E" w14:paraId="17EA3A17" w14:textId="77777777" w:rsidTr="00380CD2">
        <w:trPr>
          <w:trHeight w:val="187"/>
          <w:jc w:val="center"/>
        </w:trPr>
        <w:tc>
          <w:tcPr>
            <w:tcW w:w="3335" w:type="dxa"/>
          </w:tcPr>
          <w:p w14:paraId="7BA72DEE" w14:textId="77777777" w:rsidR="006D694E" w:rsidRDefault="006D694E" w:rsidP="00380CD2">
            <w:pPr>
              <w:jc w:val="right"/>
            </w:pPr>
            <w:r>
              <w:t>Opioids</w:t>
            </w:r>
          </w:p>
        </w:tc>
        <w:tc>
          <w:tcPr>
            <w:tcW w:w="1800" w:type="dxa"/>
            <w:vAlign w:val="bottom"/>
          </w:tcPr>
          <w:p w14:paraId="5799FD85" w14:textId="77777777" w:rsidR="006D694E" w:rsidRDefault="006D694E" w:rsidP="00380CD2">
            <w:pPr>
              <w:jc w:val="center"/>
            </w:pPr>
            <w:r>
              <w:t>1.00 (0.98, 1.02)</w:t>
            </w:r>
          </w:p>
        </w:tc>
        <w:tc>
          <w:tcPr>
            <w:tcW w:w="900" w:type="dxa"/>
            <w:vAlign w:val="bottom"/>
          </w:tcPr>
          <w:p w14:paraId="499FAD1C" w14:textId="77777777" w:rsidR="006D694E" w:rsidRDefault="006D694E" w:rsidP="00380CD2">
            <w:pPr>
              <w:jc w:val="center"/>
            </w:pPr>
            <w:r>
              <w:t>0.917</w:t>
            </w:r>
          </w:p>
        </w:tc>
        <w:tc>
          <w:tcPr>
            <w:tcW w:w="1800" w:type="dxa"/>
            <w:vAlign w:val="bottom"/>
          </w:tcPr>
          <w:p w14:paraId="0DC0E431" w14:textId="77777777" w:rsidR="006D694E" w:rsidRDefault="006D694E" w:rsidP="00380CD2">
            <w:pPr>
              <w:jc w:val="center"/>
            </w:pPr>
            <w:r>
              <w:t>1.00 (0.98, 1.03)</w:t>
            </w:r>
          </w:p>
        </w:tc>
        <w:tc>
          <w:tcPr>
            <w:tcW w:w="900" w:type="dxa"/>
            <w:vAlign w:val="bottom"/>
          </w:tcPr>
          <w:p w14:paraId="3BFED72F" w14:textId="77777777" w:rsidR="006D694E" w:rsidRDefault="006D694E" w:rsidP="00380CD2">
            <w:pPr>
              <w:jc w:val="center"/>
            </w:pPr>
            <w:r>
              <w:t>0.735</w:t>
            </w:r>
          </w:p>
        </w:tc>
        <w:tc>
          <w:tcPr>
            <w:tcW w:w="1800" w:type="dxa"/>
            <w:vAlign w:val="bottom"/>
          </w:tcPr>
          <w:p w14:paraId="3A92066F" w14:textId="77777777" w:rsidR="006D694E" w:rsidRDefault="006D694E" w:rsidP="00380CD2">
            <w:pPr>
              <w:jc w:val="center"/>
            </w:pPr>
            <w:r>
              <w:t>1.00 (0.98, 1.03)</w:t>
            </w:r>
          </w:p>
        </w:tc>
        <w:tc>
          <w:tcPr>
            <w:tcW w:w="900" w:type="dxa"/>
            <w:vAlign w:val="bottom"/>
          </w:tcPr>
          <w:p w14:paraId="0F0D9A6E" w14:textId="77777777" w:rsidR="006D694E" w:rsidRDefault="006D694E" w:rsidP="00380CD2">
            <w:pPr>
              <w:jc w:val="center"/>
            </w:pPr>
            <w:r>
              <w:t>0.716</w:t>
            </w:r>
          </w:p>
        </w:tc>
      </w:tr>
      <w:tr w:rsidR="006D694E" w14:paraId="03D39F5A" w14:textId="77777777" w:rsidTr="00380CD2">
        <w:trPr>
          <w:trHeight w:val="187"/>
          <w:jc w:val="center"/>
        </w:trPr>
        <w:tc>
          <w:tcPr>
            <w:tcW w:w="3335" w:type="dxa"/>
          </w:tcPr>
          <w:p w14:paraId="0FC34CD0" w14:textId="77777777" w:rsidR="006D694E" w:rsidRDefault="006D694E" w:rsidP="00380CD2">
            <w:pPr>
              <w:jc w:val="right"/>
            </w:pPr>
            <w:r>
              <w:t>Midazolam</w:t>
            </w:r>
          </w:p>
        </w:tc>
        <w:tc>
          <w:tcPr>
            <w:tcW w:w="1800" w:type="dxa"/>
            <w:vAlign w:val="bottom"/>
          </w:tcPr>
          <w:p w14:paraId="526693D7" w14:textId="77777777" w:rsidR="006D694E" w:rsidRDefault="006D694E" w:rsidP="00380CD2">
            <w:pPr>
              <w:jc w:val="center"/>
            </w:pPr>
            <w:r>
              <w:t>0.71 (0.38, 1.24)</w:t>
            </w:r>
          </w:p>
        </w:tc>
        <w:tc>
          <w:tcPr>
            <w:tcW w:w="900" w:type="dxa"/>
            <w:vAlign w:val="bottom"/>
          </w:tcPr>
          <w:p w14:paraId="4442757F" w14:textId="77777777" w:rsidR="006D694E" w:rsidRDefault="006D694E" w:rsidP="00380CD2">
            <w:pPr>
              <w:jc w:val="center"/>
            </w:pPr>
            <w:r>
              <w:t>0.262</w:t>
            </w:r>
          </w:p>
        </w:tc>
        <w:tc>
          <w:tcPr>
            <w:tcW w:w="1800" w:type="dxa"/>
            <w:vAlign w:val="bottom"/>
          </w:tcPr>
          <w:p w14:paraId="44A27389" w14:textId="77777777" w:rsidR="006D694E" w:rsidRDefault="006D694E" w:rsidP="00380CD2">
            <w:pPr>
              <w:jc w:val="center"/>
            </w:pPr>
            <w:r>
              <w:t>0.68 (0.35, 1.21)</w:t>
            </w:r>
          </w:p>
        </w:tc>
        <w:tc>
          <w:tcPr>
            <w:tcW w:w="900" w:type="dxa"/>
            <w:vAlign w:val="bottom"/>
          </w:tcPr>
          <w:p w14:paraId="273725EA" w14:textId="77777777" w:rsidR="006D694E" w:rsidRDefault="006D694E" w:rsidP="00380CD2">
            <w:pPr>
              <w:jc w:val="center"/>
            </w:pPr>
            <w:r>
              <w:t>0.216</w:t>
            </w:r>
          </w:p>
        </w:tc>
        <w:tc>
          <w:tcPr>
            <w:tcW w:w="1800" w:type="dxa"/>
            <w:vAlign w:val="bottom"/>
          </w:tcPr>
          <w:p w14:paraId="09B63F01" w14:textId="77777777" w:rsidR="006D694E" w:rsidRDefault="006D694E" w:rsidP="00380CD2">
            <w:pPr>
              <w:jc w:val="center"/>
            </w:pPr>
            <w:r>
              <w:t>0.66 (0.35, 1.16)</w:t>
            </w:r>
          </w:p>
        </w:tc>
        <w:tc>
          <w:tcPr>
            <w:tcW w:w="900" w:type="dxa"/>
            <w:vAlign w:val="bottom"/>
          </w:tcPr>
          <w:p w14:paraId="2F9BB74C" w14:textId="77777777" w:rsidR="006D694E" w:rsidRDefault="006D694E" w:rsidP="00380CD2">
            <w:pPr>
              <w:jc w:val="center"/>
            </w:pPr>
            <w:r>
              <w:t>0.178</w:t>
            </w:r>
          </w:p>
        </w:tc>
      </w:tr>
      <w:tr w:rsidR="006D694E" w14:paraId="253D168E" w14:textId="77777777" w:rsidTr="00380CD2">
        <w:trPr>
          <w:trHeight w:val="187"/>
          <w:jc w:val="center"/>
        </w:trPr>
        <w:tc>
          <w:tcPr>
            <w:tcW w:w="3335" w:type="dxa"/>
          </w:tcPr>
          <w:p w14:paraId="6894F0C5" w14:textId="77777777" w:rsidR="006D694E" w:rsidRDefault="006D694E" w:rsidP="00380CD2">
            <w:pPr>
              <w:jc w:val="right"/>
            </w:pPr>
            <w:proofErr w:type="spellStart"/>
            <w:r>
              <w:t>Propofol</w:t>
            </w:r>
            <w:proofErr w:type="spellEnd"/>
          </w:p>
        </w:tc>
        <w:tc>
          <w:tcPr>
            <w:tcW w:w="1800" w:type="dxa"/>
            <w:vAlign w:val="bottom"/>
          </w:tcPr>
          <w:p w14:paraId="34E5B4CC" w14:textId="77777777" w:rsidR="006D694E" w:rsidRDefault="006D694E" w:rsidP="00380CD2">
            <w:pPr>
              <w:jc w:val="center"/>
            </w:pPr>
            <w:r>
              <w:t>1.00 (1.00, 1.00)</w:t>
            </w:r>
          </w:p>
        </w:tc>
        <w:tc>
          <w:tcPr>
            <w:tcW w:w="900" w:type="dxa"/>
            <w:vAlign w:val="bottom"/>
          </w:tcPr>
          <w:p w14:paraId="6B55B9EB" w14:textId="77777777" w:rsidR="006D694E" w:rsidRDefault="006D694E" w:rsidP="00380CD2">
            <w:pPr>
              <w:jc w:val="center"/>
            </w:pPr>
            <w:r>
              <w:t>0.813</w:t>
            </w:r>
          </w:p>
        </w:tc>
        <w:tc>
          <w:tcPr>
            <w:tcW w:w="1800" w:type="dxa"/>
            <w:vAlign w:val="bottom"/>
          </w:tcPr>
          <w:p w14:paraId="52CA54F8" w14:textId="77777777" w:rsidR="006D694E" w:rsidRDefault="006D694E" w:rsidP="00380CD2">
            <w:pPr>
              <w:jc w:val="center"/>
            </w:pPr>
            <w:r>
              <w:t>1.00 (1.00, 1.00)</w:t>
            </w:r>
          </w:p>
        </w:tc>
        <w:tc>
          <w:tcPr>
            <w:tcW w:w="900" w:type="dxa"/>
            <w:vAlign w:val="bottom"/>
          </w:tcPr>
          <w:p w14:paraId="372A9DD0" w14:textId="77777777" w:rsidR="006D694E" w:rsidRDefault="006D694E" w:rsidP="00380CD2">
            <w:pPr>
              <w:jc w:val="center"/>
            </w:pPr>
            <w:r>
              <w:t>0.942</w:t>
            </w:r>
          </w:p>
        </w:tc>
        <w:tc>
          <w:tcPr>
            <w:tcW w:w="1800" w:type="dxa"/>
            <w:vAlign w:val="bottom"/>
          </w:tcPr>
          <w:p w14:paraId="78F507BB" w14:textId="77777777" w:rsidR="006D694E" w:rsidRDefault="006D694E" w:rsidP="00380CD2">
            <w:pPr>
              <w:jc w:val="center"/>
            </w:pPr>
            <w:r>
              <w:t>1.00 (1.00, 1.00)</w:t>
            </w:r>
          </w:p>
        </w:tc>
        <w:tc>
          <w:tcPr>
            <w:tcW w:w="900" w:type="dxa"/>
            <w:vAlign w:val="bottom"/>
          </w:tcPr>
          <w:p w14:paraId="6B368299" w14:textId="77777777" w:rsidR="006D694E" w:rsidRDefault="006D694E" w:rsidP="00380CD2">
            <w:pPr>
              <w:jc w:val="center"/>
            </w:pPr>
            <w:r>
              <w:t>0.984</w:t>
            </w:r>
          </w:p>
        </w:tc>
      </w:tr>
      <w:tr w:rsidR="006D694E" w14:paraId="068C9943" w14:textId="77777777" w:rsidTr="00380CD2">
        <w:trPr>
          <w:trHeight w:val="187"/>
          <w:jc w:val="center"/>
        </w:trPr>
        <w:tc>
          <w:tcPr>
            <w:tcW w:w="3335" w:type="dxa"/>
          </w:tcPr>
          <w:p w14:paraId="3396F983" w14:textId="77777777" w:rsidR="006D694E" w:rsidRDefault="006D694E" w:rsidP="00380CD2">
            <w:pPr>
              <w:jc w:val="right"/>
            </w:pPr>
            <w:r>
              <w:t>Ketamine</w:t>
            </w:r>
          </w:p>
        </w:tc>
        <w:tc>
          <w:tcPr>
            <w:tcW w:w="1800" w:type="dxa"/>
            <w:vAlign w:val="bottom"/>
          </w:tcPr>
          <w:p w14:paraId="41EEEBB5" w14:textId="77777777" w:rsidR="006D694E" w:rsidRDefault="006D694E" w:rsidP="00380CD2">
            <w:pPr>
              <w:jc w:val="center"/>
            </w:pPr>
            <w:r>
              <w:t>1.00 (0.99, 1.02)</w:t>
            </w:r>
          </w:p>
        </w:tc>
        <w:tc>
          <w:tcPr>
            <w:tcW w:w="900" w:type="dxa"/>
            <w:vAlign w:val="bottom"/>
          </w:tcPr>
          <w:p w14:paraId="05D565C9" w14:textId="77777777" w:rsidR="006D694E" w:rsidRDefault="006D694E" w:rsidP="00380CD2">
            <w:pPr>
              <w:jc w:val="center"/>
            </w:pPr>
            <w:r>
              <w:t>0.723</w:t>
            </w:r>
          </w:p>
        </w:tc>
        <w:tc>
          <w:tcPr>
            <w:tcW w:w="1800" w:type="dxa"/>
            <w:vAlign w:val="bottom"/>
          </w:tcPr>
          <w:p w14:paraId="66AE7A21" w14:textId="77777777" w:rsidR="006D694E" w:rsidRDefault="006D694E" w:rsidP="00380CD2">
            <w:pPr>
              <w:jc w:val="center"/>
            </w:pPr>
            <w:r>
              <w:t>1.00 (0.99, 1.02)</w:t>
            </w:r>
          </w:p>
        </w:tc>
        <w:tc>
          <w:tcPr>
            <w:tcW w:w="900" w:type="dxa"/>
            <w:vAlign w:val="bottom"/>
          </w:tcPr>
          <w:p w14:paraId="4E9020F9" w14:textId="77777777" w:rsidR="006D694E" w:rsidRDefault="006D694E" w:rsidP="00380CD2">
            <w:pPr>
              <w:jc w:val="center"/>
            </w:pPr>
            <w:r>
              <w:t>0.738</w:t>
            </w:r>
          </w:p>
        </w:tc>
        <w:tc>
          <w:tcPr>
            <w:tcW w:w="1800" w:type="dxa"/>
            <w:vAlign w:val="bottom"/>
          </w:tcPr>
          <w:p w14:paraId="0A4DDA42" w14:textId="77777777" w:rsidR="006D694E" w:rsidRDefault="006D694E" w:rsidP="00380CD2">
            <w:pPr>
              <w:jc w:val="center"/>
            </w:pPr>
            <w:r>
              <w:t>1.00 (0.99, 1.02)</w:t>
            </w:r>
          </w:p>
        </w:tc>
        <w:tc>
          <w:tcPr>
            <w:tcW w:w="900" w:type="dxa"/>
            <w:vAlign w:val="bottom"/>
          </w:tcPr>
          <w:p w14:paraId="67BADBBC" w14:textId="77777777" w:rsidR="006D694E" w:rsidRDefault="006D694E" w:rsidP="00380CD2">
            <w:pPr>
              <w:jc w:val="center"/>
            </w:pPr>
            <w:r>
              <w:t>0.675</w:t>
            </w:r>
          </w:p>
        </w:tc>
      </w:tr>
      <w:tr w:rsidR="006D694E" w14:paraId="6AB3C013" w14:textId="77777777" w:rsidTr="00380CD2">
        <w:trPr>
          <w:trHeight w:val="187"/>
          <w:jc w:val="center"/>
        </w:trPr>
        <w:tc>
          <w:tcPr>
            <w:tcW w:w="3335" w:type="dxa"/>
          </w:tcPr>
          <w:p w14:paraId="5AE04A46" w14:textId="77777777" w:rsidR="006D694E" w:rsidRDefault="006D694E" w:rsidP="00380CD2">
            <w:pPr>
              <w:jc w:val="right"/>
            </w:pPr>
            <w:r>
              <w:t>Phenylephrine</w:t>
            </w:r>
          </w:p>
        </w:tc>
        <w:tc>
          <w:tcPr>
            <w:tcW w:w="1800" w:type="dxa"/>
            <w:vAlign w:val="bottom"/>
          </w:tcPr>
          <w:p w14:paraId="698E3C57" w14:textId="77777777" w:rsidR="006D694E" w:rsidRDefault="006D694E" w:rsidP="00380CD2">
            <w:pPr>
              <w:jc w:val="center"/>
            </w:pPr>
            <w:r>
              <w:t>1.15 (1.03, 1.31)</w:t>
            </w:r>
          </w:p>
        </w:tc>
        <w:tc>
          <w:tcPr>
            <w:tcW w:w="900" w:type="dxa"/>
            <w:vAlign w:val="bottom"/>
          </w:tcPr>
          <w:p w14:paraId="10ADB870" w14:textId="77777777" w:rsidR="006D694E" w:rsidRDefault="006D694E" w:rsidP="00380CD2">
            <w:pPr>
              <w:jc w:val="center"/>
            </w:pPr>
            <w:r>
              <w:t>0.026</w:t>
            </w:r>
          </w:p>
        </w:tc>
        <w:tc>
          <w:tcPr>
            <w:tcW w:w="1800" w:type="dxa"/>
            <w:vAlign w:val="bottom"/>
          </w:tcPr>
          <w:p w14:paraId="73896A90" w14:textId="77777777" w:rsidR="006D694E" w:rsidRDefault="006D694E" w:rsidP="00380CD2">
            <w:pPr>
              <w:jc w:val="center"/>
            </w:pPr>
            <w:r>
              <w:t>1.14 (1.03, 1.30)</w:t>
            </w:r>
          </w:p>
        </w:tc>
        <w:tc>
          <w:tcPr>
            <w:tcW w:w="900" w:type="dxa"/>
            <w:vAlign w:val="bottom"/>
          </w:tcPr>
          <w:p w14:paraId="79CA1A42" w14:textId="77777777" w:rsidR="006D694E" w:rsidRDefault="006D694E" w:rsidP="00380CD2">
            <w:pPr>
              <w:jc w:val="center"/>
            </w:pPr>
            <w:r>
              <w:t>0.028</w:t>
            </w:r>
          </w:p>
        </w:tc>
        <w:tc>
          <w:tcPr>
            <w:tcW w:w="1800" w:type="dxa"/>
            <w:vAlign w:val="bottom"/>
          </w:tcPr>
          <w:p w14:paraId="595E513B" w14:textId="77777777" w:rsidR="006D694E" w:rsidRDefault="006D694E" w:rsidP="00380CD2">
            <w:pPr>
              <w:jc w:val="center"/>
            </w:pPr>
            <w:r>
              <w:t>1.15 (1.03, 1.30)</w:t>
            </w:r>
          </w:p>
        </w:tc>
        <w:tc>
          <w:tcPr>
            <w:tcW w:w="900" w:type="dxa"/>
            <w:vAlign w:val="bottom"/>
          </w:tcPr>
          <w:p w14:paraId="125F3CFF" w14:textId="77777777" w:rsidR="006D694E" w:rsidRDefault="006D694E" w:rsidP="00380CD2">
            <w:pPr>
              <w:jc w:val="center"/>
            </w:pPr>
            <w:r>
              <w:t>0.025</w:t>
            </w:r>
          </w:p>
        </w:tc>
      </w:tr>
      <w:tr w:rsidR="006D694E" w14:paraId="261127C7" w14:textId="77777777" w:rsidTr="00380CD2">
        <w:trPr>
          <w:trHeight w:val="187"/>
          <w:jc w:val="center"/>
        </w:trPr>
        <w:tc>
          <w:tcPr>
            <w:tcW w:w="3335" w:type="dxa"/>
          </w:tcPr>
          <w:p w14:paraId="0CDC9703" w14:textId="77777777" w:rsidR="006D694E" w:rsidRDefault="006D694E" w:rsidP="00380CD2">
            <w:pPr>
              <w:jc w:val="right"/>
            </w:pPr>
            <w:proofErr w:type="spellStart"/>
            <w:r>
              <w:t>Dexmedetomidine</w:t>
            </w:r>
            <w:proofErr w:type="spellEnd"/>
          </w:p>
        </w:tc>
        <w:tc>
          <w:tcPr>
            <w:tcW w:w="1800" w:type="dxa"/>
            <w:vAlign w:val="bottom"/>
          </w:tcPr>
          <w:p w14:paraId="0599F61B" w14:textId="77777777" w:rsidR="006D694E" w:rsidRDefault="006D694E" w:rsidP="00380CD2">
            <w:pPr>
              <w:jc w:val="center"/>
            </w:pPr>
            <w:r>
              <w:t>1.03 (0.97, 1.14)</w:t>
            </w:r>
          </w:p>
        </w:tc>
        <w:tc>
          <w:tcPr>
            <w:tcW w:w="900" w:type="dxa"/>
            <w:vAlign w:val="bottom"/>
          </w:tcPr>
          <w:p w14:paraId="7E831D22" w14:textId="77777777" w:rsidR="006D694E" w:rsidRDefault="006D694E" w:rsidP="00380CD2">
            <w:pPr>
              <w:jc w:val="center"/>
            </w:pPr>
            <w:r>
              <w:t>0.420</w:t>
            </w:r>
          </w:p>
        </w:tc>
        <w:tc>
          <w:tcPr>
            <w:tcW w:w="1800" w:type="dxa"/>
            <w:vAlign w:val="bottom"/>
          </w:tcPr>
          <w:p w14:paraId="07018B74" w14:textId="77777777" w:rsidR="006D694E" w:rsidRDefault="006D694E" w:rsidP="00380CD2">
            <w:pPr>
              <w:jc w:val="center"/>
            </w:pPr>
            <w:r>
              <w:t>1.04 (0.98, 1.15)</w:t>
            </w:r>
          </w:p>
        </w:tc>
        <w:tc>
          <w:tcPr>
            <w:tcW w:w="900" w:type="dxa"/>
            <w:vAlign w:val="bottom"/>
          </w:tcPr>
          <w:p w14:paraId="614F9C68" w14:textId="77777777" w:rsidR="006D694E" w:rsidRDefault="006D694E" w:rsidP="00380CD2">
            <w:pPr>
              <w:jc w:val="center"/>
            </w:pPr>
            <w:r>
              <w:t>0.355</w:t>
            </w:r>
          </w:p>
        </w:tc>
        <w:tc>
          <w:tcPr>
            <w:tcW w:w="1800" w:type="dxa"/>
            <w:vAlign w:val="bottom"/>
          </w:tcPr>
          <w:p w14:paraId="4630359F" w14:textId="77777777" w:rsidR="006D694E" w:rsidRDefault="006D694E" w:rsidP="00380CD2">
            <w:pPr>
              <w:jc w:val="center"/>
            </w:pPr>
            <w:r>
              <w:t>1.04 (0.98, 1.15)</w:t>
            </w:r>
          </w:p>
        </w:tc>
        <w:tc>
          <w:tcPr>
            <w:tcW w:w="900" w:type="dxa"/>
            <w:vAlign w:val="bottom"/>
          </w:tcPr>
          <w:p w14:paraId="4285E78F" w14:textId="77777777" w:rsidR="006D694E" w:rsidRDefault="006D694E" w:rsidP="00380CD2">
            <w:pPr>
              <w:jc w:val="center"/>
            </w:pPr>
            <w:r>
              <w:t>0.313</w:t>
            </w:r>
          </w:p>
        </w:tc>
      </w:tr>
      <w:tr w:rsidR="006D694E" w14:paraId="0B98489C" w14:textId="77777777" w:rsidTr="00380CD2">
        <w:trPr>
          <w:trHeight w:val="187"/>
          <w:jc w:val="center"/>
        </w:trPr>
        <w:tc>
          <w:tcPr>
            <w:tcW w:w="3335" w:type="dxa"/>
          </w:tcPr>
          <w:p w14:paraId="7B2FB410" w14:textId="77777777" w:rsidR="006D694E" w:rsidRDefault="006D694E" w:rsidP="00380CD2">
            <w:pPr>
              <w:jc w:val="right"/>
            </w:pPr>
            <w:r>
              <w:t>N2O use</w:t>
            </w:r>
          </w:p>
        </w:tc>
        <w:tc>
          <w:tcPr>
            <w:tcW w:w="1800" w:type="dxa"/>
            <w:vAlign w:val="bottom"/>
          </w:tcPr>
          <w:p w14:paraId="701BC18C" w14:textId="77777777" w:rsidR="006D694E" w:rsidRDefault="006D694E" w:rsidP="00380CD2">
            <w:pPr>
              <w:jc w:val="center"/>
            </w:pPr>
            <w:r>
              <w:t>0.23 (0.00, 3.43)</w:t>
            </w:r>
          </w:p>
        </w:tc>
        <w:tc>
          <w:tcPr>
            <w:tcW w:w="900" w:type="dxa"/>
            <w:vAlign w:val="bottom"/>
          </w:tcPr>
          <w:p w14:paraId="73DCFBE3" w14:textId="77777777" w:rsidR="006D694E" w:rsidRDefault="006D694E" w:rsidP="00380CD2">
            <w:pPr>
              <w:jc w:val="center"/>
            </w:pPr>
            <w:r>
              <w:t>0.446</w:t>
            </w:r>
          </w:p>
        </w:tc>
        <w:tc>
          <w:tcPr>
            <w:tcW w:w="1800" w:type="dxa"/>
            <w:vAlign w:val="bottom"/>
          </w:tcPr>
          <w:p w14:paraId="7FB8202F" w14:textId="77777777" w:rsidR="006D694E" w:rsidRDefault="006D694E" w:rsidP="00380CD2">
            <w:pPr>
              <w:jc w:val="center"/>
            </w:pPr>
            <w:r>
              <w:t>0.31 (0.00, 4.30)</w:t>
            </w:r>
          </w:p>
        </w:tc>
        <w:tc>
          <w:tcPr>
            <w:tcW w:w="900" w:type="dxa"/>
            <w:vAlign w:val="bottom"/>
          </w:tcPr>
          <w:p w14:paraId="55B79A7E" w14:textId="77777777" w:rsidR="006D694E" w:rsidRDefault="006D694E" w:rsidP="00380CD2">
            <w:pPr>
              <w:jc w:val="center"/>
            </w:pPr>
            <w:r>
              <w:t>0.531</w:t>
            </w:r>
          </w:p>
        </w:tc>
        <w:tc>
          <w:tcPr>
            <w:tcW w:w="1800" w:type="dxa"/>
            <w:vAlign w:val="bottom"/>
          </w:tcPr>
          <w:p w14:paraId="7FAEB181" w14:textId="77777777" w:rsidR="006D694E" w:rsidRDefault="006D694E" w:rsidP="00380CD2">
            <w:pPr>
              <w:jc w:val="center"/>
            </w:pPr>
            <w:r>
              <w:t>0.31 (0.00, 4.35)</w:t>
            </w:r>
          </w:p>
        </w:tc>
        <w:tc>
          <w:tcPr>
            <w:tcW w:w="900" w:type="dxa"/>
            <w:vAlign w:val="bottom"/>
          </w:tcPr>
          <w:p w14:paraId="6BDCAAFB" w14:textId="77777777" w:rsidR="006D694E" w:rsidRDefault="006D694E" w:rsidP="00380CD2">
            <w:pPr>
              <w:jc w:val="center"/>
            </w:pPr>
            <w:r>
              <w:t>0.528</w:t>
            </w:r>
          </w:p>
        </w:tc>
      </w:tr>
      <w:tr w:rsidR="006D694E" w14:paraId="4B9703C6" w14:textId="77777777" w:rsidTr="00380CD2">
        <w:tblPrEx>
          <w:jc w:val="left"/>
        </w:tblPrEx>
        <w:trPr>
          <w:trHeight w:val="187"/>
        </w:trPr>
        <w:tc>
          <w:tcPr>
            <w:tcW w:w="3335" w:type="dxa"/>
          </w:tcPr>
          <w:p w14:paraId="6C265206" w14:textId="77777777" w:rsidR="006D694E" w:rsidRDefault="006D694E" w:rsidP="00380CD2">
            <w:pPr>
              <w:jc w:val="right"/>
            </w:pPr>
            <w:r>
              <w:t>Site (Duke vs. Mt S)</w:t>
            </w:r>
          </w:p>
        </w:tc>
        <w:tc>
          <w:tcPr>
            <w:tcW w:w="1800" w:type="dxa"/>
            <w:vAlign w:val="bottom"/>
          </w:tcPr>
          <w:p w14:paraId="1525A9B7" w14:textId="77777777" w:rsidR="006D694E" w:rsidRDefault="006D694E" w:rsidP="00380CD2">
            <w:pPr>
              <w:jc w:val="center"/>
            </w:pPr>
            <w:r>
              <w:t>1.58 (0.50, 5.03)</w:t>
            </w:r>
          </w:p>
        </w:tc>
        <w:tc>
          <w:tcPr>
            <w:tcW w:w="900" w:type="dxa"/>
            <w:vAlign w:val="bottom"/>
          </w:tcPr>
          <w:p w14:paraId="60EC9CEE" w14:textId="77777777" w:rsidR="006D694E" w:rsidRDefault="006D694E" w:rsidP="00380CD2">
            <w:pPr>
              <w:jc w:val="center"/>
            </w:pPr>
            <w:r>
              <w:t>0.444</w:t>
            </w:r>
          </w:p>
        </w:tc>
        <w:tc>
          <w:tcPr>
            <w:tcW w:w="1800" w:type="dxa"/>
            <w:vAlign w:val="bottom"/>
          </w:tcPr>
          <w:p w14:paraId="704D534A" w14:textId="77777777" w:rsidR="006D694E" w:rsidRDefault="006D694E" w:rsidP="00380CD2">
            <w:pPr>
              <w:jc w:val="center"/>
            </w:pPr>
            <w:r>
              <w:t>1.43 (0.45, 4.62)</w:t>
            </w:r>
          </w:p>
        </w:tc>
        <w:tc>
          <w:tcPr>
            <w:tcW w:w="900" w:type="dxa"/>
            <w:vAlign w:val="bottom"/>
          </w:tcPr>
          <w:p w14:paraId="61812F3F" w14:textId="77777777" w:rsidR="006D694E" w:rsidRDefault="006D694E" w:rsidP="00380CD2">
            <w:pPr>
              <w:jc w:val="center"/>
            </w:pPr>
            <w:r>
              <w:t>0.550</w:t>
            </w:r>
          </w:p>
        </w:tc>
        <w:tc>
          <w:tcPr>
            <w:tcW w:w="1800" w:type="dxa"/>
            <w:vAlign w:val="bottom"/>
          </w:tcPr>
          <w:p w14:paraId="33FE7D59" w14:textId="77777777" w:rsidR="006D694E" w:rsidRDefault="006D694E" w:rsidP="00380CD2">
            <w:pPr>
              <w:jc w:val="center"/>
            </w:pPr>
            <w:r>
              <w:t>1.50 (0.49, 4.71)</w:t>
            </w:r>
          </w:p>
        </w:tc>
        <w:tc>
          <w:tcPr>
            <w:tcW w:w="900" w:type="dxa"/>
            <w:vAlign w:val="bottom"/>
          </w:tcPr>
          <w:p w14:paraId="451B83AB" w14:textId="77777777" w:rsidR="006D694E" w:rsidRDefault="006D694E" w:rsidP="00380CD2">
            <w:pPr>
              <w:jc w:val="center"/>
            </w:pPr>
            <w:r>
              <w:t>0.485</w:t>
            </w:r>
          </w:p>
        </w:tc>
      </w:tr>
    </w:tbl>
    <w:p w14:paraId="7B7895CC" w14:textId="77777777" w:rsidR="006D694E" w:rsidRDefault="006D694E" w:rsidP="006D694E">
      <w:r>
        <w:tab/>
      </w:r>
    </w:p>
    <w:p w14:paraId="166A4175" w14:textId="77777777" w:rsidR="006D694E" w:rsidRDefault="006D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17AF44" w14:textId="01581842" w:rsidR="006D694E" w:rsidRPr="006D694E" w:rsidRDefault="006D694E" w:rsidP="006D6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94E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94E">
        <w:rPr>
          <w:rFonts w:ascii="Times New Roman" w:hAnsi="Times New Roman" w:cs="Times New Roman"/>
          <w:sz w:val="24"/>
          <w:szCs w:val="24"/>
        </w:rPr>
        <w:t xml:space="preserve">. </w:t>
      </w:r>
      <w:r w:rsidR="001404FF">
        <w:rPr>
          <w:rFonts w:ascii="Times New Roman" w:hAnsi="Times New Roman" w:cs="Times New Roman"/>
          <w:sz w:val="24"/>
          <w:szCs w:val="24"/>
        </w:rPr>
        <w:t xml:space="preserve">Log-linear models of the relationship between </w:t>
      </w:r>
      <w:r w:rsidRPr="006D694E">
        <w:rPr>
          <w:rFonts w:ascii="Times New Roman" w:hAnsi="Times New Roman" w:cs="Times New Roman"/>
          <w:sz w:val="24"/>
          <w:szCs w:val="24"/>
        </w:rPr>
        <w:t xml:space="preserve">Low DARS </w:t>
      </w:r>
      <w:r w:rsidR="001404FF">
        <w:rPr>
          <w:rFonts w:ascii="Times New Roman" w:hAnsi="Times New Roman" w:cs="Times New Roman"/>
          <w:sz w:val="24"/>
          <w:szCs w:val="24"/>
        </w:rPr>
        <w:t>and postoperative delirium</w:t>
      </w:r>
      <w:r w:rsidRPr="006D694E">
        <w:rPr>
          <w:rFonts w:ascii="Times New Roman" w:hAnsi="Times New Roman" w:cs="Times New Roman"/>
          <w:sz w:val="24"/>
          <w:szCs w:val="24"/>
        </w:rPr>
        <w:t xml:space="preserve"> at the three </w:t>
      </w:r>
      <w:r w:rsidR="001404FF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6D694E">
        <w:rPr>
          <w:rFonts w:ascii="Times New Roman" w:hAnsi="Times New Roman" w:cs="Times New Roman"/>
          <w:sz w:val="24"/>
          <w:szCs w:val="24"/>
        </w:rPr>
        <w:t xml:space="preserve">cut point locations </w:t>
      </w:r>
      <w:r w:rsidR="001404FF">
        <w:rPr>
          <w:rFonts w:ascii="Times New Roman" w:hAnsi="Times New Roman" w:cs="Times New Roman"/>
          <w:sz w:val="24"/>
          <w:szCs w:val="24"/>
        </w:rPr>
        <w:t xml:space="preserve">for a low DARS. </w:t>
      </w:r>
    </w:p>
    <w:tbl>
      <w:tblPr>
        <w:tblStyle w:val="TableGrid"/>
        <w:tblW w:w="10949" w:type="dxa"/>
        <w:jc w:val="center"/>
        <w:tblLook w:val="04A0" w:firstRow="1" w:lastRow="0" w:firstColumn="1" w:lastColumn="0" w:noHBand="0" w:noVBand="1"/>
      </w:tblPr>
      <w:tblGrid>
        <w:gridCol w:w="2362"/>
        <w:gridCol w:w="1785"/>
        <w:gridCol w:w="1017"/>
        <w:gridCol w:w="1785"/>
        <w:gridCol w:w="1147"/>
        <w:gridCol w:w="1865"/>
        <w:gridCol w:w="988"/>
      </w:tblGrid>
      <w:tr w:rsidR="006D694E" w14:paraId="786A70A3" w14:textId="77777777" w:rsidTr="00380CD2">
        <w:trPr>
          <w:trHeight w:val="243"/>
          <w:jc w:val="center"/>
        </w:trPr>
        <w:tc>
          <w:tcPr>
            <w:tcW w:w="2362" w:type="dxa"/>
          </w:tcPr>
          <w:p w14:paraId="13AB9CCC" w14:textId="77777777" w:rsidR="006D694E" w:rsidRDefault="006D694E" w:rsidP="00380CD2">
            <w:r>
              <w:t>Model</w:t>
            </w:r>
          </w:p>
        </w:tc>
        <w:tc>
          <w:tcPr>
            <w:tcW w:w="2802" w:type="dxa"/>
            <w:gridSpan w:val="2"/>
            <w:vAlign w:val="bottom"/>
          </w:tcPr>
          <w:p w14:paraId="39AAF076" w14:textId="77777777" w:rsidR="006D694E" w:rsidRDefault="006D694E" w:rsidP="00380CD2">
            <w:pPr>
              <w:jc w:val="center"/>
            </w:pPr>
            <w:r>
              <w:t>Conservative DARS</w:t>
            </w:r>
          </w:p>
        </w:tc>
        <w:tc>
          <w:tcPr>
            <w:tcW w:w="2932" w:type="dxa"/>
            <w:gridSpan w:val="2"/>
            <w:vAlign w:val="bottom"/>
          </w:tcPr>
          <w:p w14:paraId="6DD7BB1A" w14:textId="77777777" w:rsidR="006D694E" w:rsidRDefault="006D694E" w:rsidP="00380CD2">
            <w:pPr>
              <w:jc w:val="center"/>
            </w:pPr>
            <w:r>
              <w:t>Average DARS</w:t>
            </w:r>
          </w:p>
        </w:tc>
        <w:tc>
          <w:tcPr>
            <w:tcW w:w="2853" w:type="dxa"/>
            <w:gridSpan w:val="2"/>
            <w:vAlign w:val="bottom"/>
          </w:tcPr>
          <w:p w14:paraId="0831C54B" w14:textId="77777777" w:rsidR="006D694E" w:rsidRDefault="006D694E" w:rsidP="00380CD2">
            <w:pPr>
              <w:jc w:val="center"/>
            </w:pPr>
            <w:r>
              <w:t>Liberal DARS</w:t>
            </w:r>
          </w:p>
        </w:tc>
      </w:tr>
      <w:tr w:rsidR="006D694E" w14:paraId="4A38482D" w14:textId="77777777" w:rsidTr="00380CD2">
        <w:trPr>
          <w:trHeight w:val="310"/>
          <w:jc w:val="center"/>
        </w:trPr>
        <w:tc>
          <w:tcPr>
            <w:tcW w:w="2362" w:type="dxa"/>
          </w:tcPr>
          <w:p w14:paraId="2670055E" w14:textId="77777777" w:rsidR="006D694E" w:rsidRDefault="006D694E" w:rsidP="00380CD2"/>
        </w:tc>
        <w:tc>
          <w:tcPr>
            <w:tcW w:w="1785" w:type="dxa"/>
          </w:tcPr>
          <w:p w14:paraId="328AAD35" w14:textId="77777777" w:rsidR="006D694E" w:rsidRDefault="006D694E" w:rsidP="00380CD2">
            <w:pPr>
              <w:jc w:val="center"/>
            </w:pPr>
            <w:r>
              <w:t>RR (95% CI)</w:t>
            </w:r>
          </w:p>
        </w:tc>
        <w:tc>
          <w:tcPr>
            <w:tcW w:w="1017" w:type="dxa"/>
          </w:tcPr>
          <w:p w14:paraId="0D239DBA" w14:textId="77777777" w:rsidR="006D694E" w:rsidRDefault="006D694E" w:rsidP="00380CD2">
            <w:pPr>
              <w:jc w:val="center"/>
            </w:pPr>
            <w:r>
              <w:t>P-value</w:t>
            </w:r>
          </w:p>
        </w:tc>
        <w:tc>
          <w:tcPr>
            <w:tcW w:w="1785" w:type="dxa"/>
          </w:tcPr>
          <w:p w14:paraId="2A66A963" w14:textId="77777777" w:rsidR="006D694E" w:rsidRDefault="006D694E" w:rsidP="00380CD2">
            <w:pPr>
              <w:jc w:val="center"/>
            </w:pPr>
            <w:r>
              <w:t>RR (95% CI)</w:t>
            </w:r>
          </w:p>
        </w:tc>
        <w:tc>
          <w:tcPr>
            <w:tcW w:w="1147" w:type="dxa"/>
          </w:tcPr>
          <w:p w14:paraId="3F7CF303" w14:textId="77777777" w:rsidR="006D694E" w:rsidRDefault="006D694E" w:rsidP="00380CD2">
            <w:pPr>
              <w:jc w:val="center"/>
            </w:pPr>
            <w:r>
              <w:t>P-value</w:t>
            </w:r>
          </w:p>
        </w:tc>
        <w:tc>
          <w:tcPr>
            <w:tcW w:w="1865" w:type="dxa"/>
          </w:tcPr>
          <w:p w14:paraId="37838ED6" w14:textId="77777777" w:rsidR="006D694E" w:rsidRDefault="006D694E" w:rsidP="00380CD2">
            <w:pPr>
              <w:jc w:val="center"/>
            </w:pPr>
            <w:r>
              <w:t>RR (95% CI)</w:t>
            </w:r>
          </w:p>
        </w:tc>
        <w:tc>
          <w:tcPr>
            <w:tcW w:w="988" w:type="dxa"/>
          </w:tcPr>
          <w:p w14:paraId="4D0B6BED" w14:textId="77777777" w:rsidR="006D694E" w:rsidRDefault="006D694E" w:rsidP="00380CD2">
            <w:pPr>
              <w:jc w:val="center"/>
            </w:pPr>
            <w:r>
              <w:t>P-value</w:t>
            </w:r>
          </w:p>
        </w:tc>
      </w:tr>
      <w:tr w:rsidR="006D694E" w14:paraId="5D187FF1" w14:textId="77777777" w:rsidTr="00380CD2">
        <w:trPr>
          <w:trHeight w:val="185"/>
          <w:jc w:val="center"/>
        </w:trPr>
        <w:tc>
          <w:tcPr>
            <w:tcW w:w="2362" w:type="dxa"/>
          </w:tcPr>
          <w:p w14:paraId="6C35C175" w14:textId="77777777" w:rsidR="006D694E" w:rsidRDefault="006D694E" w:rsidP="00380CD2">
            <w:r>
              <w:t xml:space="preserve">1. DARS +Site </w:t>
            </w:r>
          </w:p>
        </w:tc>
        <w:tc>
          <w:tcPr>
            <w:tcW w:w="1785" w:type="dxa"/>
          </w:tcPr>
          <w:p w14:paraId="654BA0E9" w14:textId="77777777" w:rsidR="006D694E" w:rsidRDefault="006D694E" w:rsidP="00380CD2">
            <w:pPr>
              <w:jc w:val="center"/>
            </w:pPr>
            <w:r>
              <w:t>2.64 (1.54, 4.53)</w:t>
            </w:r>
          </w:p>
        </w:tc>
        <w:tc>
          <w:tcPr>
            <w:tcW w:w="1017" w:type="dxa"/>
          </w:tcPr>
          <w:p w14:paraId="2168EAC8" w14:textId="77777777" w:rsidR="006D694E" w:rsidRDefault="006D694E" w:rsidP="00380CD2">
            <w:pPr>
              <w:jc w:val="center"/>
            </w:pPr>
            <w:r>
              <w:t>&lt;0.001</w:t>
            </w:r>
          </w:p>
        </w:tc>
        <w:tc>
          <w:tcPr>
            <w:tcW w:w="1785" w:type="dxa"/>
          </w:tcPr>
          <w:p w14:paraId="5103AFDB" w14:textId="77777777" w:rsidR="006D694E" w:rsidRDefault="006D694E" w:rsidP="00380CD2">
            <w:pPr>
              <w:jc w:val="center"/>
            </w:pPr>
            <w:r>
              <w:t>2.77 (1.55, 4.96)</w:t>
            </w:r>
          </w:p>
        </w:tc>
        <w:tc>
          <w:tcPr>
            <w:tcW w:w="1147" w:type="dxa"/>
          </w:tcPr>
          <w:p w14:paraId="157E3D0D" w14:textId="77777777" w:rsidR="006D694E" w:rsidRDefault="006D694E" w:rsidP="00380CD2">
            <w:pPr>
              <w:jc w:val="center"/>
            </w:pPr>
            <w:r>
              <w:t>0.006</w:t>
            </w:r>
          </w:p>
        </w:tc>
        <w:tc>
          <w:tcPr>
            <w:tcW w:w="1865" w:type="dxa"/>
          </w:tcPr>
          <w:p w14:paraId="26F8E30E" w14:textId="77777777" w:rsidR="006D694E" w:rsidRDefault="006D694E" w:rsidP="00380CD2">
            <w:pPr>
              <w:jc w:val="center"/>
            </w:pPr>
            <w:r>
              <w:t>2.32 (1.28, 4.21)</w:t>
            </w:r>
          </w:p>
        </w:tc>
        <w:tc>
          <w:tcPr>
            <w:tcW w:w="988" w:type="dxa"/>
          </w:tcPr>
          <w:p w14:paraId="352B66EE" w14:textId="77777777" w:rsidR="006D694E" w:rsidRDefault="006D694E" w:rsidP="00380CD2">
            <w:pPr>
              <w:jc w:val="center"/>
            </w:pPr>
            <w:r>
              <w:t>0.006</w:t>
            </w:r>
          </w:p>
        </w:tc>
      </w:tr>
      <w:tr w:rsidR="006D694E" w14:paraId="14CCD263" w14:textId="77777777" w:rsidTr="00380CD2">
        <w:trPr>
          <w:trHeight w:val="185"/>
          <w:jc w:val="center"/>
        </w:trPr>
        <w:tc>
          <w:tcPr>
            <w:tcW w:w="2362" w:type="dxa"/>
          </w:tcPr>
          <w:p w14:paraId="0FF12555" w14:textId="77777777" w:rsidR="006D694E" w:rsidRDefault="006D694E" w:rsidP="00380CD2">
            <w:r>
              <w:t>2. DARS + Site +Risk Factors</w:t>
            </w:r>
          </w:p>
        </w:tc>
        <w:tc>
          <w:tcPr>
            <w:tcW w:w="1785" w:type="dxa"/>
          </w:tcPr>
          <w:p w14:paraId="3131ED1F" w14:textId="77777777" w:rsidR="006D694E" w:rsidRDefault="006D694E" w:rsidP="00380CD2">
            <w:pPr>
              <w:jc w:val="center"/>
            </w:pPr>
            <w:r>
              <w:t>1.78 (1.08, 2.95)</w:t>
            </w:r>
          </w:p>
        </w:tc>
        <w:tc>
          <w:tcPr>
            <w:tcW w:w="1017" w:type="dxa"/>
          </w:tcPr>
          <w:p w14:paraId="63627D6D" w14:textId="77777777" w:rsidR="006D694E" w:rsidRDefault="006D694E" w:rsidP="00380CD2">
            <w:pPr>
              <w:jc w:val="center"/>
            </w:pPr>
            <w:r>
              <w:t>0.024</w:t>
            </w:r>
          </w:p>
        </w:tc>
        <w:tc>
          <w:tcPr>
            <w:tcW w:w="1785" w:type="dxa"/>
          </w:tcPr>
          <w:p w14:paraId="54729D28" w14:textId="77777777" w:rsidR="006D694E" w:rsidRDefault="006D694E" w:rsidP="00380CD2">
            <w:pPr>
              <w:jc w:val="center"/>
            </w:pPr>
            <w:r>
              <w:t>1.89 (1.15, 3.09)</w:t>
            </w:r>
          </w:p>
        </w:tc>
        <w:tc>
          <w:tcPr>
            <w:tcW w:w="1147" w:type="dxa"/>
          </w:tcPr>
          <w:p w14:paraId="4C03EA36" w14:textId="77777777" w:rsidR="006D694E" w:rsidRDefault="006D694E" w:rsidP="00380CD2">
            <w:pPr>
              <w:jc w:val="center"/>
            </w:pPr>
            <w:r>
              <w:t>0.012</w:t>
            </w:r>
          </w:p>
        </w:tc>
        <w:tc>
          <w:tcPr>
            <w:tcW w:w="1865" w:type="dxa"/>
          </w:tcPr>
          <w:p w14:paraId="4D3CFBEC" w14:textId="77777777" w:rsidR="006D694E" w:rsidRDefault="006D694E" w:rsidP="00380CD2">
            <w:pPr>
              <w:jc w:val="center"/>
            </w:pPr>
            <w:r>
              <w:t>1.74 (1.05, 2.90)</w:t>
            </w:r>
          </w:p>
        </w:tc>
        <w:tc>
          <w:tcPr>
            <w:tcW w:w="988" w:type="dxa"/>
          </w:tcPr>
          <w:p w14:paraId="37997290" w14:textId="77777777" w:rsidR="006D694E" w:rsidRDefault="006D694E" w:rsidP="00380CD2">
            <w:pPr>
              <w:jc w:val="center"/>
            </w:pPr>
            <w:r>
              <w:t>0.032</w:t>
            </w:r>
          </w:p>
        </w:tc>
      </w:tr>
      <w:tr w:rsidR="006D694E" w14:paraId="63DD7E98" w14:textId="77777777" w:rsidTr="00380CD2">
        <w:trPr>
          <w:trHeight w:val="174"/>
          <w:jc w:val="center"/>
        </w:trPr>
        <w:tc>
          <w:tcPr>
            <w:tcW w:w="2362" w:type="dxa"/>
          </w:tcPr>
          <w:p w14:paraId="10AFCBCD" w14:textId="77777777" w:rsidR="006D694E" w:rsidRDefault="006D694E" w:rsidP="00380CD2">
            <w:r>
              <w:t>3. DARS + Site +Medications</w:t>
            </w:r>
          </w:p>
        </w:tc>
        <w:tc>
          <w:tcPr>
            <w:tcW w:w="1785" w:type="dxa"/>
          </w:tcPr>
          <w:p w14:paraId="432A34EA" w14:textId="77777777" w:rsidR="006D694E" w:rsidRDefault="006D694E" w:rsidP="00380CD2">
            <w:pPr>
              <w:jc w:val="center"/>
            </w:pPr>
            <w:r>
              <w:t>1.89 (1.18, 3.03)</w:t>
            </w:r>
          </w:p>
        </w:tc>
        <w:tc>
          <w:tcPr>
            <w:tcW w:w="1017" w:type="dxa"/>
          </w:tcPr>
          <w:p w14:paraId="453CCCC0" w14:textId="77777777" w:rsidR="006D694E" w:rsidRDefault="006D694E" w:rsidP="00380CD2">
            <w:pPr>
              <w:jc w:val="center"/>
            </w:pPr>
            <w:r>
              <w:t>0.008</w:t>
            </w:r>
          </w:p>
        </w:tc>
        <w:tc>
          <w:tcPr>
            <w:tcW w:w="1785" w:type="dxa"/>
          </w:tcPr>
          <w:p w14:paraId="4887B020" w14:textId="77777777" w:rsidR="006D694E" w:rsidRDefault="006D694E" w:rsidP="00380CD2">
            <w:pPr>
              <w:jc w:val="center"/>
            </w:pPr>
            <w:r>
              <w:t>1.80 (1.13, 2.86)</w:t>
            </w:r>
          </w:p>
        </w:tc>
        <w:tc>
          <w:tcPr>
            <w:tcW w:w="1147" w:type="dxa"/>
          </w:tcPr>
          <w:p w14:paraId="187C9551" w14:textId="77777777" w:rsidR="006D694E" w:rsidRDefault="006D694E" w:rsidP="00380CD2">
            <w:pPr>
              <w:jc w:val="center"/>
            </w:pPr>
            <w:r>
              <w:t>0.014</w:t>
            </w:r>
          </w:p>
        </w:tc>
        <w:tc>
          <w:tcPr>
            <w:tcW w:w="1865" w:type="dxa"/>
          </w:tcPr>
          <w:p w14:paraId="7E790828" w14:textId="77777777" w:rsidR="006D694E" w:rsidRDefault="006D694E" w:rsidP="00380CD2">
            <w:pPr>
              <w:jc w:val="center"/>
            </w:pPr>
            <w:r>
              <w:t>1.70 (1.04, 2.75)</w:t>
            </w:r>
          </w:p>
        </w:tc>
        <w:tc>
          <w:tcPr>
            <w:tcW w:w="988" w:type="dxa"/>
          </w:tcPr>
          <w:p w14:paraId="043AEE88" w14:textId="77777777" w:rsidR="006D694E" w:rsidRDefault="006D694E" w:rsidP="00380CD2">
            <w:pPr>
              <w:jc w:val="center"/>
            </w:pPr>
            <w:r>
              <w:t>0.033</w:t>
            </w:r>
          </w:p>
        </w:tc>
      </w:tr>
    </w:tbl>
    <w:p w14:paraId="434E66FC" w14:textId="77777777" w:rsidR="006D694E" w:rsidRDefault="006D694E" w:rsidP="006D694E">
      <w:pPr>
        <w:spacing w:after="0"/>
      </w:pPr>
    </w:p>
    <w:p w14:paraId="709B1539" w14:textId="76B1864F" w:rsidR="00E92596" w:rsidRDefault="005111B9" w:rsidP="006D694E">
      <w:pPr>
        <w:spacing w:after="0"/>
      </w:pPr>
    </w:p>
    <w:sectPr w:rsidR="00E92596" w:rsidSect="000B667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2"/>
    <w:rsid w:val="000843DF"/>
    <w:rsid w:val="001404FF"/>
    <w:rsid w:val="00256015"/>
    <w:rsid w:val="002C754F"/>
    <w:rsid w:val="00465762"/>
    <w:rsid w:val="005111B9"/>
    <w:rsid w:val="00530F40"/>
    <w:rsid w:val="00537DE6"/>
    <w:rsid w:val="005E6F57"/>
    <w:rsid w:val="006D694E"/>
    <w:rsid w:val="007D6FE8"/>
    <w:rsid w:val="007E0AA1"/>
    <w:rsid w:val="00C64E5D"/>
    <w:rsid w:val="00C8077D"/>
    <w:rsid w:val="00E277C7"/>
    <w:rsid w:val="00EC000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95C9"/>
  <w15:chartTrackingRefBased/>
  <w15:docId w15:val="{3F1841D7-F6AE-451B-80BC-1BDB20F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7D1E-FC88-467C-B12F-4C1384EE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Miles Berger</dc:creator>
  <cp:keywords/>
  <dc:description/>
  <cp:lastModifiedBy>Dr Miles Berger</cp:lastModifiedBy>
  <cp:revision>2</cp:revision>
  <dcterms:created xsi:type="dcterms:W3CDTF">2021-04-27T00:45:00Z</dcterms:created>
  <dcterms:modified xsi:type="dcterms:W3CDTF">2021-04-27T00:45:00Z</dcterms:modified>
</cp:coreProperties>
</file>