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A2D19" w14:textId="5F4390CE" w:rsidR="00CC3583" w:rsidRPr="00507D25" w:rsidRDefault="00CC3583" w:rsidP="00CC3583">
      <w:pPr>
        <w:rPr>
          <w:b/>
        </w:rPr>
      </w:pPr>
      <w:r w:rsidRPr="00507D25">
        <w:rPr>
          <w:b/>
        </w:rPr>
        <w:t xml:space="preserve">High flow nasal cannula oxygen in patients having anesthesia for </w:t>
      </w:r>
      <w:r w:rsidR="00FE6806">
        <w:rPr>
          <w:b/>
        </w:rPr>
        <w:t xml:space="preserve">GI </w:t>
      </w:r>
      <w:r w:rsidRPr="00507D25">
        <w:rPr>
          <w:b/>
        </w:rPr>
        <w:t>endoscopy (HIFLO-ENDO)</w:t>
      </w:r>
    </w:p>
    <w:p w14:paraId="18C0E8B5" w14:textId="77777777" w:rsidR="00CC3583" w:rsidRPr="00507D25" w:rsidRDefault="00CC3583" w:rsidP="00CC3583">
      <w:pPr>
        <w:rPr>
          <w:b/>
        </w:rPr>
      </w:pPr>
    </w:p>
    <w:p w14:paraId="3BAC2C50" w14:textId="77777777" w:rsidR="00CC3583" w:rsidRPr="00507D25" w:rsidRDefault="00CC3583" w:rsidP="00CC3583">
      <w:pPr>
        <w:rPr>
          <w:b/>
        </w:rPr>
      </w:pPr>
      <w:r w:rsidRPr="00507D25">
        <w:rPr>
          <w:b/>
        </w:rPr>
        <w:t>Designation: Clinical Research</w:t>
      </w:r>
    </w:p>
    <w:p w14:paraId="572CDA9E" w14:textId="77777777" w:rsidR="00CC3583" w:rsidRPr="00507D25" w:rsidRDefault="00CC3583" w:rsidP="00CC3583">
      <w:pPr>
        <w:rPr>
          <w:b/>
        </w:rPr>
      </w:pPr>
    </w:p>
    <w:p w14:paraId="6ECBCC44" w14:textId="77777777" w:rsidR="00CC3583" w:rsidRPr="00507D25" w:rsidRDefault="00CC3583" w:rsidP="00CC3583">
      <w:r w:rsidRPr="00507D25">
        <w:rPr>
          <w:b/>
          <w:bCs/>
        </w:rPr>
        <w:t>Principal Investigator:</w:t>
      </w:r>
      <w:r w:rsidRPr="00507D25">
        <w:rPr>
          <w:b/>
          <w:bCs/>
        </w:rPr>
        <w:br/>
      </w:r>
      <w:r w:rsidRPr="00507D25">
        <w:t>Michael Mazzeffi MD MPH</w:t>
      </w:r>
    </w:p>
    <w:p w14:paraId="1B6849FC" w14:textId="77777777" w:rsidR="00CC3583" w:rsidRPr="00507D25" w:rsidRDefault="00CC3583" w:rsidP="00CC3583">
      <w:r w:rsidRPr="00507D25">
        <w:t>Assistant Professor of Anesthesiology</w:t>
      </w:r>
    </w:p>
    <w:p w14:paraId="0AEB1700" w14:textId="77777777" w:rsidR="00CC3583" w:rsidRPr="00507D25" w:rsidRDefault="00CC3583" w:rsidP="00CC3583">
      <w:r w:rsidRPr="00507D25">
        <w:t xml:space="preserve">University of Maryland </w:t>
      </w:r>
    </w:p>
    <w:p w14:paraId="77DE154B" w14:textId="77777777" w:rsidR="00CC3583" w:rsidRPr="00507D25" w:rsidRDefault="00CC3583" w:rsidP="00CC3583">
      <w:r w:rsidRPr="00507D25">
        <w:t>Department of Anesthesiology</w:t>
      </w:r>
    </w:p>
    <w:p w14:paraId="1DE3C43A" w14:textId="77777777" w:rsidR="00CC3583" w:rsidRPr="00507D25" w:rsidRDefault="00CC3583" w:rsidP="00CC3583">
      <w:r w:rsidRPr="00507D25">
        <w:t>22 South Greene Street</w:t>
      </w:r>
    </w:p>
    <w:p w14:paraId="45EBA0CA" w14:textId="77777777" w:rsidR="00CC3583" w:rsidRPr="00507D25" w:rsidRDefault="00CC3583" w:rsidP="00CC3583">
      <w:r w:rsidRPr="00507D25">
        <w:t>Baltimore, MD 21201</w:t>
      </w:r>
    </w:p>
    <w:p w14:paraId="7B84364D" w14:textId="77777777" w:rsidR="00CC3583" w:rsidRPr="00507D25" w:rsidRDefault="002E09B6" w:rsidP="00CC3583">
      <w:hyperlink r:id="rId8" w:history="1">
        <w:r w:rsidR="00CC3583" w:rsidRPr="00507D25">
          <w:rPr>
            <w:rStyle w:val="Hyperlink"/>
            <w:color w:val="auto"/>
          </w:rPr>
          <w:t>mmazzeffi@anes.umm.edu</w:t>
        </w:r>
      </w:hyperlink>
      <w:r w:rsidR="00CC3583" w:rsidRPr="00507D25">
        <w:t xml:space="preserve"> Phone: 410-328-4752 Fax: 410-328-6462</w:t>
      </w:r>
    </w:p>
    <w:p w14:paraId="1A242EC5" w14:textId="77777777" w:rsidR="00CC3583" w:rsidRPr="00507D25" w:rsidRDefault="00CC3583" w:rsidP="00CC3583"/>
    <w:p w14:paraId="79230CB6" w14:textId="77777777" w:rsidR="00CC3583" w:rsidRPr="00507D25" w:rsidRDefault="00CC3583" w:rsidP="00CC3583">
      <w:r w:rsidRPr="00507D25">
        <w:rPr>
          <w:b/>
          <w:bCs/>
        </w:rPr>
        <w:t>Co-investigators</w:t>
      </w:r>
      <w:r w:rsidRPr="00507D25">
        <w:rPr>
          <w:b/>
          <w:bCs/>
        </w:rPr>
        <w:br/>
      </w:r>
      <w:r w:rsidRPr="00507D25">
        <w:t>Megan Anders MD</w:t>
      </w:r>
      <w:r w:rsidRPr="00507D25">
        <w:rPr>
          <w:vertAlign w:val="superscript"/>
        </w:rPr>
        <w:t>1</w:t>
      </w:r>
    </w:p>
    <w:p w14:paraId="448572A7" w14:textId="24DFEE9A" w:rsidR="00357D9F" w:rsidRPr="00507D25" w:rsidRDefault="00357D9F" w:rsidP="00CC3583">
      <w:r w:rsidRPr="00507D25">
        <w:t>Jeremy Kaplowitz MD</w:t>
      </w:r>
      <w:r w:rsidRPr="00507D25">
        <w:rPr>
          <w:vertAlign w:val="superscript"/>
        </w:rPr>
        <w:t>1</w:t>
      </w:r>
    </w:p>
    <w:p w14:paraId="22BF4EDB" w14:textId="77777777" w:rsidR="00CC3583" w:rsidRPr="00507D25" w:rsidRDefault="00CC3583" w:rsidP="00CC3583">
      <w:pPr>
        <w:rPr>
          <w:vertAlign w:val="superscript"/>
        </w:rPr>
      </w:pPr>
      <w:r w:rsidRPr="00507D25">
        <w:t>Michael</w:t>
      </w:r>
      <w:r w:rsidRPr="00507D25">
        <w:rPr>
          <w:vertAlign w:val="superscript"/>
        </w:rPr>
        <w:t xml:space="preserve"> </w:t>
      </w:r>
      <w:r w:rsidRPr="00507D25">
        <w:t>Terrin MDCM MPH</w:t>
      </w:r>
      <w:r w:rsidRPr="00507D25">
        <w:rPr>
          <w:vertAlign w:val="superscript"/>
        </w:rPr>
        <w:t>2</w:t>
      </w:r>
    </w:p>
    <w:p w14:paraId="3DD15E9D" w14:textId="1D4F673E" w:rsidR="00357D9F" w:rsidRPr="00507D25" w:rsidRDefault="00371018" w:rsidP="00CC3583">
      <w:r>
        <w:t>Eric</w:t>
      </w:r>
      <w:r w:rsidR="00357D9F" w:rsidRPr="00507D25">
        <w:rPr>
          <w:vertAlign w:val="superscript"/>
        </w:rPr>
        <w:t xml:space="preserve"> </w:t>
      </w:r>
      <w:r w:rsidR="00357D9F" w:rsidRPr="00507D25">
        <w:t>Goldberg MD</w:t>
      </w:r>
      <w:r w:rsidR="00357D9F" w:rsidRPr="00507D25">
        <w:rPr>
          <w:vertAlign w:val="superscript"/>
        </w:rPr>
        <w:t>3</w:t>
      </w:r>
    </w:p>
    <w:p w14:paraId="3F4B15A5" w14:textId="3E8A3036" w:rsidR="004251C4" w:rsidRDefault="00357D9F" w:rsidP="00CC3583">
      <w:pPr>
        <w:rPr>
          <w:vertAlign w:val="superscript"/>
        </w:rPr>
      </w:pPr>
      <w:r w:rsidRPr="00507D25">
        <w:t>Bruce Greenwald MD</w:t>
      </w:r>
      <w:r w:rsidRPr="00507D25">
        <w:rPr>
          <w:vertAlign w:val="superscript"/>
        </w:rPr>
        <w:t>3</w:t>
      </w:r>
    </w:p>
    <w:p w14:paraId="56685637" w14:textId="18346BC8" w:rsidR="004251C4" w:rsidRDefault="004251C4" w:rsidP="00CC3583">
      <w:pPr>
        <w:rPr>
          <w:vertAlign w:val="superscript"/>
        </w:rPr>
      </w:pPr>
      <w:r w:rsidRPr="004251C4">
        <w:t>Laurence Magder PhD</w:t>
      </w:r>
      <w:r w:rsidR="00243A89">
        <w:rPr>
          <w:vertAlign w:val="superscript"/>
        </w:rPr>
        <w:t>2</w:t>
      </w:r>
    </w:p>
    <w:p w14:paraId="62B2D263" w14:textId="46343100" w:rsidR="00996DD2" w:rsidRDefault="00996DD2" w:rsidP="00CC3583">
      <w:pPr>
        <w:rPr>
          <w:vertAlign w:val="superscript"/>
        </w:rPr>
      </w:pPr>
      <w:r w:rsidRPr="00996DD2">
        <w:t>LaToya Stubbs BS</w:t>
      </w:r>
      <w:r w:rsidRPr="00996DD2">
        <w:rPr>
          <w:vertAlign w:val="superscript"/>
        </w:rPr>
        <w:t>1</w:t>
      </w:r>
    </w:p>
    <w:p w14:paraId="79FFC33E" w14:textId="77777777" w:rsidR="002E09B6" w:rsidRPr="00507D25" w:rsidRDefault="002E09B6" w:rsidP="00CC3583">
      <w:bookmarkStart w:id="0" w:name="_GoBack"/>
      <w:bookmarkEnd w:id="0"/>
    </w:p>
    <w:p w14:paraId="7381758B" w14:textId="77777777" w:rsidR="00CC3583" w:rsidRPr="00507D25" w:rsidRDefault="00CC3583" w:rsidP="00CC3583">
      <w:r w:rsidRPr="00507D25">
        <w:t>1. University of Maryland Department of Anesthesiology</w:t>
      </w:r>
    </w:p>
    <w:p w14:paraId="48873C39" w14:textId="77777777" w:rsidR="00CC3583" w:rsidRPr="00507D25" w:rsidRDefault="00CC3583" w:rsidP="00CC3583">
      <w:r w:rsidRPr="00507D25">
        <w:t xml:space="preserve">22 South Greene Street </w:t>
      </w:r>
      <w:r w:rsidRPr="00507D25">
        <w:br/>
        <w:t>S11C00</w:t>
      </w:r>
    </w:p>
    <w:p w14:paraId="071E31C0" w14:textId="77777777" w:rsidR="00CC3583" w:rsidRPr="00507D25" w:rsidRDefault="00CC3583" w:rsidP="00CC3583">
      <w:r w:rsidRPr="00507D25">
        <w:t>Baltimore, MD 21201</w:t>
      </w:r>
    </w:p>
    <w:p w14:paraId="2C673A77" w14:textId="77777777" w:rsidR="00CC3583" w:rsidRPr="00507D25" w:rsidRDefault="00CC3583" w:rsidP="00CC3583"/>
    <w:p w14:paraId="0F3AA50D" w14:textId="77777777" w:rsidR="00CC3583" w:rsidRPr="00507D25" w:rsidRDefault="00CC3583" w:rsidP="00CC3583">
      <w:r w:rsidRPr="00507D25">
        <w:t>2. University of Maryland Department of Epidemiology</w:t>
      </w:r>
    </w:p>
    <w:p w14:paraId="57DA9194" w14:textId="77777777" w:rsidR="00CC3583" w:rsidRPr="00507D25" w:rsidRDefault="00CC3583" w:rsidP="00CC3583">
      <w:r w:rsidRPr="00507D25">
        <w:t xml:space="preserve">Howard Hall </w:t>
      </w:r>
    </w:p>
    <w:p w14:paraId="770FBAE5" w14:textId="77777777" w:rsidR="00CC3583" w:rsidRPr="00507D25" w:rsidRDefault="00CC3583" w:rsidP="00CC3583">
      <w:r w:rsidRPr="00507D25">
        <w:t>11 4B</w:t>
      </w:r>
    </w:p>
    <w:p w14:paraId="3181E51E" w14:textId="77777777" w:rsidR="00CC3583" w:rsidRPr="00507D25" w:rsidRDefault="00CC3583" w:rsidP="00CC3583">
      <w:r w:rsidRPr="00507D25">
        <w:t>620 West Lexington Street</w:t>
      </w:r>
    </w:p>
    <w:p w14:paraId="5F3F8889" w14:textId="77777777" w:rsidR="00CC3583" w:rsidRPr="00507D25" w:rsidRDefault="00CC3583" w:rsidP="00CC3583">
      <w:r w:rsidRPr="00507D25">
        <w:t>Baltimore, MD 21201</w:t>
      </w:r>
    </w:p>
    <w:p w14:paraId="2D2E4C38" w14:textId="77777777" w:rsidR="00357D9F" w:rsidRPr="00507D25" w:rsidRDefault="00357D9F" w:rsidP="00CC3583"/>
    <w:p w14:paraId="642EC833" w14:textId="67C04904" w:rsidR="00357D9F" w:rsidRPr="00507D25" w:rsidRDefault="00357D9F" w:rsidP="00CC3583">
      <w:r w:rsidRPr="00507D25">
        <w:t>3.  University of Maryland Department of Medicine</w:t>
      </w:r>
    </w:p>
    <w:p w14:paraId="71C32DC8" w14:textId="52F64F61" w:rsidR="00357D9F" w:rsidRPr="00507D25" w:rsidRDefault="00357D9F" w:rsidP="00CC3583">
      <w:r w:rsidRPr="00507D25">
        <w:t>22 South Greene Street</w:t>
      </w:r>
    </w:p>
    <w:p w14:paraId="56BE05EE" w14:textId="4E5026DC" w:rsidR="00357D9F" w:rsidRPr="00507D25" w:rsidRDefault="00357D9F" w:rsidP="00CC3583">
      <w:r w:rsidRPr="00507D25">
        <w:t>Baltimore, MD 21201</w:t>
      </w:r>
    </w:p>
    <w:p w14:paraId="2365EB67" w14:textId="77777777" w:rsidR="00CC3583" w:rsidRPr="00507D25" w:rsidRDefault="00CC3583" w:rsidP="00CC3583">
      <w:pPr>
        <w:rPr>
          <w:b/>
          <w:bCs/>
        </w:rPr>
      </w:pPr>
    </w:p>
    <w:p w14:paraId="18049D05" w14:textId="77777777" w:rsidR="00CC3583" w:rsidRPr="00507D25" w:rsidRDefault="00CC3583" w:rsidP="00CC3583">
      <w:r w:rsidRPr="00507D25">
        <w:rPr>
          <w:b/>
          <w:bCs/>
        </w:rPr>
        <w:t>Departmental Chair:</w:t>
      </w:r>
      <w:r w:rsidRPr="00507D25">
        <w:t xml:space="preserve"> </w:t>
      </w:r>
    </w:p>
    <w:p w14:paraId="0408910D" w14:textId="77777777" w:rsidR="00CC3583" w:rsidRPr="00507D25" w:rsidRDefault="00CC3583" w:rsidP="00CC3583">
      <w:r w:rsidRPr="00507D25">
        <w:t>Peter Rock MD MBA</w:t>
      </w:r>
    </w:p>
    <w:p w14:paraId="57B15718" w14:textId="77777777" w:rsidR="00CC3583" w:rsidRPr="00507D25" w:rsidRDefault="00CC3583" w:rsidP="00CC3583">
      <w:r w:rsidRPr="00507D25">
        <w:t>22 South Greene Street</w:t>
      </w:r>
    </w:p>
    <w:p w14:paraId="49671679" w14:textId="77777777" w:rsidR="00CC3583" w:rsidRPr="00507D25" w:rsidRDefault="00CC3583" w:rsidP="00CC3583">
      <w:r w:rsidRPr="00507D25">
        <w:t xml:space="preserve">S11C00 </w:t>
      </w:r>
    </w:p>
    <w:p w14:paraId="12D6093C" w14:textId="77777777" w:rsidR="00CC3583" w:rsidRPr="00507D25" w:rsidRDefault="00CC3583" w:rsidP="00CC3583">
      <w:r w:rsidRPr="00507D25">
        <w:t>Baltimore, MD 21201</w:t>
      </w:r>
    </w:p>
    <w:p w14:paraId="382CFE24" w14:textId="77777777" w:rsidR="00CC3583" w:rsidRPr="00507D25" w:rsidRDefault="00CC3583" w:rsidP="00CC3583">
      <w:r w:rsidRPr="00507D25">
        <w:t>Phone: 410-328-6120</w:t>
      </w:r>
    </w:p>
    <w:p w14:paraId="73EFB1F7" w14:textId="77777777" w:rsidR="00357D9F" w:rsidRPr="00507D25" w:rsidRDefault="00357D9F" w:rsidP="00110916"/>
    <w:p w14:paraId="4D8B4E16" w14:textId="77777777" w:rsidR="00357D9F" w:rsidRPr="00507D25" w:rsidRDefault="00357D9F" w:rsidP="00110916"/>
    <w:p w14:paraId="743F777C" w14:textId="77777777" w:rsidR="00357D9F" w:rsidRPr="00507D25" w:rsidRDefault="00357D9F" w:rsidP="00110916"/>
    <w:p w14:paraId="47D7DDAA" w14:textId="77777777" w:rsidR="00110916" w:rsidRPr="00507D25" w:rsidRDefault="00110916" w:rsidP="00110916">
      <w:r w:rsidRPr="00507D25">
        <w:t>Table of Contents</w:t>
      </w:r>
    </w:p>
    <w:p w14:paraId="3F5FACDB" w14:textId="77777777" w:rsidR="00110916" w:rsidRPr="00507D25" w:rsidRDefault="00110916" w:rsidP="00110916"/>
    <w:p w14:paraId="54772F30" w14:textId="77777777" w:rsidR="00110916" w:rsidRPr="00507D25" w:rsidRDefault="00110916" w:rsidP="00110916">
      <w:r w:rsidRPr="00507D25">
        <w:t>1. Background</w:t>
      </w:r>
    </w:p>
    <w:p w14:paraId="7B5A3846" w14:textId="77777777" w:rsidR="00110916" w:rsidRPr="00507D25" w:rsidRDefault="00110916" w:rsidP="00110916">
      <w:r w:rsidRPr="00507D25">
        <w:t>1.1 Rationale</w:t>
      </w:r>
    </w:p>
    <w:p w14:paraId="4F2DCE97" w14:textId="77777777" w:rsidR="00110916" w:rsidRPr="00507D25" w:rsidRDefault="00110916" w:rsidP="00110916">
      <w:r w:rsidRPr="00507D25">
        <w:t>1.2 Risks/Benefits</w:t>
      </w:r>
    </w:p>
    <w:p w14:paraId="2B5B45C2" w14:textId="77777777" w:rsidR="00110916" w:rsidRPr="00507D25" w:rsidRDefault="00110916" w:rsidP="00110916">
      <w:r w:rsidRPr="00507D25">
        <w:t>1.3 Study Conduct</w:t>
      </w:r>
    </w:p>
    <w:p w14:paraId="678FE137" w14:textId="77777777" w:rsidR="00110916" w:rsidRPr="00507D25" w:rsidRDefault="00110916" w:rsidP="00110916">
      <w:r w:rsidRPr="00507D25">
        <w:t>1.4 Population</w:t>
      </w:r>
    </w:p>
    <w:p w14:paraId="15BFEE99" w14:textId="77777777" w:rsidR="00110916" w:rsidRPr="00507D25" w:rsidRDefault="00110916" w:rsidP="00110916"/>
    <w:p w14:paraId="7F312178" w14:textId="77777777" w:rsidR="00110916" w:rsidRPr="00507D25" w:rsidRDefault="00110916" w:rsidP="00110916">
      <w:r w:rsidRPr="00507D25">
        <w:t>2. Study Design</w:t>
      </w:r>
    </w:p>
    <w:p w14:paraId="1ADDFA26" w14:textId="77777777" w:rsidR="00110916" w:rsidRPr="00507D25" w:rsidRDefault="00110916" w:rsidP="00110916">
      <w:r w:rsidRPr="00507D25">
        <w:t>2.1 Study Objective</w:t>
      </w:r>
    </w:p>
    <w:p w14:paraId="50D23987" w14:textId="77777777" w:rsidR="00110916" w:rsidRPr="00507D25" w:rsidRDefault="00110916" w:rsidP="00110916">
      <w:r w:rsidRPr="00507D25">
        <w:t>2.2 Primary endpoint</w:t>
      </w:r>
    </w:p>
    <w:p w14:paraId="2BF5D2F3" w14:textId="77777777" w:rsidR="00110916" w:rsidRPr="00507D25" w:rsidRDefault="00110916" w:rsidP="00110916">
      <w:r w:rsidRPr="00507D25">
        <w:t>2.3 Study Design/Type</w:t>
      </w:r>
    </w:p>
    <w:p w14:paraId="10AA8521" w14:textId="77777777" w:rsidR="00110916" w:rsidRPr="00507D25" w:rsidRDefault="00110916" w:rsidP="00110916">
      <w:r w:rsidRPr="00507D25">
        <w:t>2.4 Duration</w:t>
      </w:r>
    </w:p>
    <w:p w14:paraId="78C1F616" w14:textId="77777777" w:rsidR="00110916" w:rsidRPr="00507D25" w:rsidRDefault="00110916" w:rsidP="00110916"/>
    <w:p w14:paraId="440AA58D" w14:textId="77777777" w:rsidR="00110916" w:rsidRPr="00507D25" w:rsidRDefault="00110916" w:rsidP="00110916">
      <w:r w:rsidRPr="00507D25">
        <w:t>3. Selection and Withdrawl</w:t>
      </w:r>
    </w:p>
    <w:p w14:paraId="677DD9ED" w14:textId="77777777" w:rsidR="00110916" w:rsidRPr="00507D25" w:rsidRDefault="00110916" w:rsidP="00110916">
      <w:r w:rsidRPr="00507D25">
        <w:t>3.1 Inclusion criteria</w:t>
      </w:r>
    </w:p>
    <w:p w14:paraId="621E52C8" w14:textId="77777777" w:rsidR="00110916" w:rsidRPr="00507D25" w:rsidRDefault="00110916" w:rsidP="00110916">
      <w:r w:rsidRPr="00507D25">
        <w:t>3.2 Exclusion criteria</w:t>
      </w:r>
    </w:p>
    <w:p w14:paraId="405A9BE5" w14:textId="77777777" w:rsidR="00110916" w:rsidRPr="00507D25" w:rsidRDefault="00110916" w:rsidP="00110916">
      <w:r w:rsidRPr="00507D25">
        <w:t>3.3 Subject withdrawl</w:t>
      </w:r>
    </w:p>
    <w:p w14:paraId="6F1B86D7" w14:textId="77777777" w:rsidR="00110916" w:rsidRPr="00507D25" w:rsidRDefault="00110916" w:rsidP="00110916"/>
    <w:p w14:paraId="0E10E077" w14:textId="77777777" w:rsidR="00110916" w:rsidRPr="00507D25" w:rsidRDefault="00110916" w:rsidP="00110916">
      <w:r w:rsidRPr="00507D25">
        <w:t>4. Study procedures</w:t>
      </w:r>
    </w:p>
    <w:p w14:paraId="38800089" w14:textId="77777777" w:rsidR="00110916" w:rsidRPr="00507D25" w:rsidRDefault="00110916" w:rsidP="00110916">
      <w:r w:rsidRPr="00507D25">
        <w:t>4.1 Clinical evaluations</w:t>
      </w:r>
    </w:p>
    <w:p w14:paraId="21A1504D" w14:textId="77777777" w:rsidR="00110916" w:rsidRPr="00507D25" w:rsidRDefault="00110916" w:rsidP="00110916">
      <w:r w:rsidRPr="00507D25">
        <w:t>4.2 Laboratory evaluations</w:t>
      </w:r>
    </w:p>
    <w:p w14:paraId="44926D38" w14:textId="77777777" w:rsidR="00110916" w:rsidRPr="00507D25" w:rsidRDefault="00110916" w:rsidP="00110916"/>
    <w:p w14:paraId="4074CF9E" w14:textId="77777777" w:rsidR="00110916" w:rsidRPr="00507D25" w:rsidRDefault="00110916" w:rsidP="00110916">
      <w:r w:rsidRPr="00507D25">
        <w:t>5. Data safety monitoring plan</w:t>
      </w:r>
    </w:p>
    <w:p w14:paraId="5C4DA4CE" w14:textId="77777777" w:rsidR="00110916" w:rsidRPr="00507D25" w:rsidRDefault="00110916" w:rsidP="00110916">
      <w:r w:rsidRPr="00507D25">
        <w:t>5.1 Adverse event reporting</w:t>
      </w:r>
    </w:p>
    <w:p w14:paraId="29B86CD2" w14:textId="77777777" w:rsidR="00110916" w:rsidRPr="00507D25" w:rsidRDefault="00110916" w:rsidP="00110916">
      <w:r w:rsidRPr="00507D25">
        <w:t>5.2 Safety review</w:t>
      </w:r>
    </w:p>
    <w:p w14:paraId="2333830A" w14:textId="77777777" w:rsidR="00110916" w:rsidRPr="00507D25" w:rsidRDefault="00110916" w:rsidP="00110916"/>
    <w:p w14:paraId="0A36ECCE" w14:textId="77777777" w:rsidR="00110916" w:rsidRPr="00507D25" w:rsidRDefault="00110916" w:rsidP="00110916">
      <w:r w:rsidRPr="00507D25">
        <w:t>6. Quality control and assurance</w:t>
      </w:r>
    </w:p>
    <w:p w14:paraId="782749F6" w14:textId="77777777" w:rsidR="00110916" w:rsidRPr="00507D25" w:rsidRDefault="00110916" w:rsidP="00110916">
      <w:r w:rsidRPr="00507D25">
        <w:t>6.1 Quality control and assurance</w:t>
      </w:r>
    </w:p>
    <w:p w14:paraId="164D6C3D" w14:textId="77777777" w:rsidR="00110916" w:rsidRPr="00507D25" w:rsidRDefault="00110916" w:rsidP="00110916"/>
    <w:p w14:paraId="333E1C07" w14:textId="77777777" w:rsidR="00110916" w:rsidRPr="00507D25" w:rsidRDefault="00110916" w:rsidP="00110916">
      <w:r w:rsidRPr="00507D25">
        <w:t>7. Statistical analysis</w:t>
      </w:r>
    </w:p>
    <w:p w14:paraId="70C61766" w14:textId="77777777" w:rsidR="00110916" w:rsidRPr="00507D25" w:rsidRDefault="00110916" w:rsidP="00110916">
      <w:r w:rsidRPr="00507D25">
        <w:t>7.1 Study measurements</w:t>
      </w:r>
    </w:p>
    <w:p w14:paraId="7A7CA29B" w14:textId="77777777" w:rsidR="00110916" w:rsidRPr="00507D25" w:rsidRDefault="00110916" w:rsidP="00110916">
      <w:r w:rsidRPr="00507D25">
        <w:t>7.2 Statistical methods</w:t>
      </w:r>
    </w:p>
    <w:p w14:paraId="1A770C92" w14:textId="77777777" w:rsidR="00110916" w:rsidRPr="00507D25" w:rsidRDefault="00110916" w:rsidP="00110916"/>
    <w:p w14:paraId="642A050B" w14:textId="77777777" w:rsidR="00110916" w:rsidRPr="00507D25" w:rsidRDefault="00110916" w:rsidP="00110916">
      <w:r w:rsidRPr="00507D25">
        <w:t>8. Data management</w:t>
      </w:r>
    </w:p>
    <w:p w14:paraId="3B106631" w14:textId="77777777" w:rsidR="00110916" w:rsidRPr="00507D25" w:rsidRDefault="00110916" w:rsidP="00110916"/>
    <w:p w14:paraId="7F2D2E8D" w14:textId="77777777" w:rsidR="00110916" w:rsidRPr="00507D25" w:rsidRDefault="00110916" w:rsidP="00110916">
      <w:r w:rsidRPr="00507D25">
        <w:t>9. References</w:t>
      </w:r>
    </w:p>
    <w:p w14:paraId="7374128F" w14:textId="77777777" w:rsidR="00C11FED" w:rsidRPr="00507D25" w:rsidRDefault="00C11FED" w:rsidP="00110916"/>
    <w:p w14:paraId="46F8E160" w14:textId="77777777" w:rsidR="00C11FED" w:rsidRPr="00507D25" w:rsidRDefault="00C11FED" w:rsidP="00110916"/>
    <w:p w14:paraId="035FE5BE" w14:textId="77777777" w:rsidR="00110916" w:rsidRPr="00507D25" w:rsidRDefault="00110916" w:rsidP="00110916"/>
    <w:p w14:paraId="10FD49B9" w14:textId="77777777" w:rsidR="00110916" w:rsidRPr="00507D25" w:rsidRDefault="00110916" w:rsidP="00110916"/>
    <w:p w14:paraId="6001EB50" w14:textId="77777777" w:rsidR="00110916" w:rsidRPr="00507D25" w:rsidRDefault="00110916" w:rsidP="00110916"/>
    <w:p w14:paraId="44AD433D" w14:textId="77777777" w:rsidR="00110916" w:rsidRPr="00507D25" w:rsidRDefault="00110916" w:rsidP="00110916"/>
    <w:p w14:paraId="45F95992" w14:textId="77777777" w:rsidR="00110916" w:rsidRPr="00507D25" w:rsidRDefault="00110916" w:rsidP="00110916"/>
    <w:p w14:paraId="09EE0AC9" w14:textId="77777777" w:rsidR="00110916" w:rsidRPr="00507D25" w:rsidRDefault="00110916" w:rsidP="00110916"/>
    <w:p w14:paraId="132E1EAC" w14:textId="77777777" w:rsidR="00110916" w:rsidRPr="00507D25" w:rsidRDefault="00110916" w:rsidP="00110916"/>
    <w:p w14:paraId="6B5B5AB6" w14:textId="77777777" w:rsidR="00110916" w:rsidRDefault="00110916" w:rsidP="00110916">
      <w:pPr>
        <w:pStyle w:val="ListParagraph"/>
        <w:numPr>
          <w:ilvl w:val="1"/>
          <w:numId w:val="1"/>
        </w:numPr>
      </w:pPr>
      <w:r w:rsidRPr="00507D25">
        <w:t>Rationale</w:t>
      </w:r>
    </w:p>
    <w:p w14:paraId="13F59867" w14:textId="335BAE15" w:rsidR="0059260E" w:rsidRDefault="0059260E" w:rsidP="0059260E">
      <w:pPr>
        <w:pStyle w:val="ListParagraph"/>
        <w:ind w:left="360"/>
      </w:pPr>
      <w:r>
        <w:t>Patients often receive anesthesia during endoscopy to ensure comfort and unconsciousness</w:t>
      </w:r>
      <w:r w:rsidR="0061452E">
        <w:t xml:space="preserve"> during the procedure</w:t>
      </w:r>
      <w:r>
        <w:t xml:space="preserve">.  </w:t>
      </w:r>
      <w:r w:rsidR="004529B9">
        <w:t>U</w:t>
      </w:r>
      <w:r w:rsidR="00E44765">
        <w:t>pper gastrointestinal endoscopy (EGD) may require particularly deep anesthesia because the</w:t>
      </w:r>
      <w:r w:rsidR="004529B9">
        <w:t xml:space="preserve"> patient’s</w:t>
      </w:r>
      <w:r w:rsidR="00E44765">
        <w:t xml:space="preserve"> gag reflex must be suppressed to tolerate the endoscope.  </w:t>
      </w:r>
      <w:r>
        <w:t>One of the principal risks of anesthesia is that anesthesia drugs depress normal breathing</w:t>
      </w:r>
      <w:r w:rsidR="004529B9">
        <w:t>, which can lead to serious harm</w:t>
      </w:r>
      <w:r>
        <w:t xml:space="preserve">.  </w:t>
      </w:r>
      <w:r w:rsidR="004529B9">
        <w:t>Specifically</w:t>
      </w:r>
      <w:r>
        <w:t>,</w:t>
      </w:r>
      <w:r w:rsidR="00E44765">
        <w:t xml:space="preserve"> patients</w:t>
      </w:r>
      <w:r>
        <w:t xml:space="preserve"> can develop low blood oxygen levels or high blood </w:t>
      </w:r>
      <w:r w:rsidR="004529B9">
        <w:t>carbon dioxide levels</w:t>
      </w:r>
      <w:r w:rsidR="0061452E">
        <w:t>, which are patient safety risks.  Usually</w:t>
      </w:r>
      <w:r>
        <w:t>, these changes do not cause death</w:t>
      </w:r>
      <w:r w:rsidR="00E44765">
        <w:t xml:space="preserve"> or obvious injury because the anesthesiologist treats them.  Nevertheless,</w:t>
      </w:r>
      <w:r>
        <w:t xml:space="preserve"> </w:t>
      </w:r>
      <w:r w:rsidR="00182DA9">
        <w:t>best</w:t>
      </w:r>
      <w:r>
        <w:t xml:space="preserve"> medical practice </w:t>
      </w:r>
      <w:r w:rsidR="00E44765">
        <w:t>should be to avoid</w:t>
      </w:r>
      <w:r>
        <w:t xml:space="preserve"> </w:t>
      </w:r>
      <w:r w:rsidR="004529B9">
        <w:t>these changes</w:t>
      </w:r>
      <w:r>
        <w:t xml:space="preserve"> as their long term impact on </w:t>
      </w:r>
      <w:r w:rsidR="00FE4907">
        <w:t>the</w:t>
      </w:r>
      <w:r w:rsidR="00E44765">
        <w:t xml:space="preserve"> </w:t>
      </w:r>
      <w:r>
        <w:t xml:space="preserve">patient’s </w:t>
      </w:r>
      <w:r w:rsidR="00E44765">
        <w:t xml:space="preserve">well-being </w:t>
      </w:r>
      <w:r>
        <w:t>is not known.</w:t>
      </w:r>
      <w:r w:rsidR="00E44765">
        <w:t xml:space="preserve">  Also low blood oxygen levels or elevated carbon dioxide levels can lead to cardiovascular depression, cardiac arrhythmia, or the need for emergent intubation (placement of a breathing tube)</w:t>
      </w:r>
      <w:r w:rsidR="004529B9">
        <w:t>.</w:t>
      </w:r>
      <w:r w:rsidR="00E44765">
        <w:t xml:space="preserve">  Emergent intubation </w:t>
      </w:r>
      <w:r w:rsidR="004529B9">
        <w:t>is a high risk procedure</w:t>
      </w:r>
      <w:r w:rsidR="00E44765">
        <w:t xml:space="preserve"> </w:t>
      </w:r>
      <w:r w:rsidR="004529B9">
        <w:t>and can cause pulmonary</w:t>
      </w:r>
      <w:r w:rsidR="00E44765">
        <w:t xml:space="preserve"> as</w:t>
      </w:r>
      <w:r w:rsidR="004529B9">
        <w:t>piration, vocal cord injury, or</w:t>
      </w:r>
      <w:r w:rsidR="00E44765">
        <w:t xml:space="preserve"> oropharyngeal injury.</w:t>
      </w:r>
    </w:p>
    <w:p w14:paraId="4FE45845" w14:textId="77777777" w:rsidR="0059260E" w:rsidRDefault="0059260E" w:rsidP="0059260E">
      <w:pPr>
        <w:pStyle w:val="ListParagraph"/>
        <w:ind w:left="360"/>
      </w:pPr>
    </w:p>
    <w:p w14:paraId="3E43CA92" w14:textId="6FA2D783" w:rsidR="00E44765" w:rsidRDefault="00E44765" w:rsidP="0059260E">
      <w:pPr>
        <w:pStyle w:val="ListParagraph"/>
        <w:ind w:left="360"/>
      </w:pPr>
      <w:r>
        <w:t xml:space="preserve">The current standard of care is for anesthesiologists to provide supplementary oxygen to patients </w:t>
      </w:r>
      <w:r w:rsidR="00F011C1">
        <w:t>during anesthesia for endoscopy</w:t>
      </w:r>
      <w:r>
        <w:t>.</w:t>
      </w:r>
      <w:r w:rsidR="00FE4907">
        <w:t xml:space="preserve">  This helps to maintain blood oxygen levels even when normal breathing is depressed.</w:t>
      </w:r>
      <w:r>
        <w:t xml:space="preserve">  This is typically done by placing a nas</w:t>
      </w:r>
      <w:r w:rsidR="00F011C1">
        <w:t>al cannula (small plastic tube</w:t>
      </w:r>
      <w:r w:rsidR="00FE4907">
        <w:t>) in the patient’s</w:t>
      </w:r>
      <w:r>
        <w:t xml:space="preserve"> nose which allows oxygen to flow into their airway while they breathe.  The nasal cannulas that are normally used are connected to an oxygen flowmeter on</w:t>
      </w:r>
      <w:r w:rsidR="00FE4907">
        <w:t xml:space="preserve"> the wall and provide oxygen flows</w:t>
      </w:r>
      <w:r>
        <w:t xml:space="preserve"> between 2 and 6</w:t>
      </w:r>
      <w:r w:rsidR="00F011C1">
        <w:t xml:space="preserve"> liters per minute</w:t>
      </w:r>
      <w:r>
        <w:t xml:space="preserve">. </w:t>
      </w:r>
    </w:p>
    <w:p w14:paraId="6E20236C" w14:textId="77777777" w:rsidR="00E44765" w:rsidRPr="00507D25" w:rsidRDefault="00E44765" w:rsidP="0059260E">
      <w:pPr>
        <w:pStyle w:val="ListParagraph"/>
        <w:ind w:left="360"/>
      </w:pPr>
    </w:p>
    <w:p w14:paraId="2AB3FB18" w14:textId="2BBB7427" w:rsidR="00CC3583" w:rsidRDefault="00E44765" w:rsidP="00E44765">
      <w:pPr>
        <w:pStyle w:val="ListParagraph"/>
        <w:ind w:left="360"/>
      </w:pPr>
      <w:r>
        <w:t>High flow nasal cannula oxygen</w:t>
      </w:r>
      <w:r w:rsidR="00FE4907">
        <w:t xml:space="preserve"> systems are relatively new and can</w:t>
      </w:r>
      <w:r>
        <w:t xml:space="preserve"> deliver 5 </w:t>
      </w:r>
      <w:r w:rsidR="00F011C1">
        <w:t>to</w:t>
      </w:r>
      <w:r w:rsidR="00FE4907">
        <w:t xml:space="preserve"> 10 times more oxygen to a </w:t>
      </w:r>
      <w:r>
        <w:t>patient</w:t>
      </w:r>
      <w:r w:rsidR="00F5119A">
        <w:t>. T</w:t>
      </w:r>
      <w:r w:rsidR="00FE4907">
        <w:t>hese systems have</w:t>
      </w:r>
      <w:r>
        <w:t xml:space="preserve"> </w:t>
      </w:r>
      <w:r w:rsidR="00F011C1">
        <w:t>been</w:t>
      </w:r>
      <w:r>
        <w:t xml:space="preserve"> used</w:t>
      </w:r>
      <w:r w:rsidR="00F011C1">
        <w:t xml:space="preserve"> </w:t>
      </w:r>
      <w:r w:rsidR="00FE4907">
        <w:t>primarily</w:t>
      </w:r>
      <w:r>
        <w:t xml:space="preserve"> in critically ill patients to improve gas exchange</w:t>
      </w:r>
      <w:r w:rsidR="00F5119A">
        <w:t>, but they may be useful in other settings including anesthesia</w:t>
      </w:r>
      <w:r>
        <w:t xml:space="preserve">.  </w:t>
      </w:r>
      <w:r w:rsidR="00CC3583" w:rsidRPr="00507D25">
        <w:t>Hi</w:t>
      </w:r>
      <w:r w:rsidR="00ED2374">
        <w:t>gh flow nasal cannula oxygen</w:t>
      </w:r>
      <w:r w:rsidR="00CC3583" w:rsidRPr="00507D25">
        <w:t xml:space="preserve"> provide</w:t>
      </w:r>
      <w:r w:rsidR="00ED2374">
        <w:t>s</w:t>
      </w:r>
      <w:r w:rsidR="00CC3583" w:rsidRPr="00507D25">
        <w:t xml:space="preserve"> advantages over traditional nasal cannula oxygen including: reduced work of breathing, reduced anatomic dead space, and continuous positive airway pressure, which may improve oxygenation.</w:t>
      </w:r>
      <w:r w:rsidR="00CC3583" w:rsidRPr="00E44765">
        <w:rPr>
          <w:vertAlign w:val="superscript"/>
        </w:rPr>
        <w:t xml:space="preserve">1   </w:t>
      </w:r>
      <w:r w:rsidR="00CC3583" w:rsidRPr="00507D25">
        <w:t>Traditional nasal cannula oxygen is limited by the fact that it can only increase the inspired oxygen concentration to around 35%.</w:t>
      </w:r>
      <w:r w:rsidR="00CC3583" w:rsidRPr="00E44765">
        <w:rPr>
          <w:vertAlign w:val="superscript"/>
        </w:rPr>
        <w:t xml:space="preserve">2  </w:t>
      </w:r>
      <w:r w:rsidR="00CC3583" w:rsidRPr="00507D25">
        <w:t>Alternatively, high flow nasal cannula can deliver inspired oxygen concentrations as high as 91%.</w:t>
      </w:r>
      <w:r w:rsidR="00CC3583" w:rsidRPr="00E44765">
        <w:rPr>
          <w:vertAlign w:val="superscript"/>
        </w:rPr>
        <w:t>3</w:t>
      </w:r>
      <w:r w:rsidR="00CC3583" w:rsidRPr="00507D25">
        <w:t xml:space="preserve"> High flow nasal cannula oxygen has also been shown to increase the distending pressure in the upper airway, which may decrease upper airway obstruction in anesthetized patients and improve ventilation.</w:t>
      </w:r>
      <w:r w:rsidR="00CC3583" w:rsidRPr="00E44765">
        <w:rPr>
          <w:vertAlign w:val="superscript"/>
        </w:rPr>
        <w:t xml:space="preserve">4 </w:t>
      </w:r>
      <w:r w:rsidR="00CC3583" w:rsidRPr="00507D25">
        <w:t xml:space="preserve"> Because GI endoscopies are performed in millions of patients each year and up to 17% of patients experience hypoxemia, it is critical to develop strategies for reducing the risk of this problem.</w:t>
      </w:r>
      <w:r w:rsidR="00B159CB">
        <w:t xml:space="preserve">  Even if the number of patients who die or have permanent </w:t>
      </w:r>
      <w:r w:rsidR="00F011C1">
        <w:t xml:space="preserve">brain </w:t>
      </w:r>
      <w:r w:rsidR="00B159CB">
        <w:t xml:space="preserve">injury from low oxygen levels is low, best </w:t>
      </w:r>
      <w:r w:rsidR="00F011C1">
        <w:t>medical practice</w:t>
      </w:r>
      <w:r w:rsidR="009A0216">
        <w:t xml:space="preserve"> should avoid low blood oxygen levels</w:t>
      </w:r>
      <w:r w:rsidR="00B159CB" w:rsidRPr="00B159CB">
        <w:t>.</w:t>
      </w:r>
      <w:r w:rsidR="00B159CB">
        <w:t xml:space="preserve"> </w:t>
      </w:r>
      <w:r w:rsidR="009A0216">
        <w:t xml:space="preserve">  </w:t>
      </w:r>
    </w:p>
    <w:p w14:paraId="4C6991E9" w14:textId="77777777" w:rsidR="00E14774" w:rsidRPr="00507D25" w:rsidRDefault="00E14774" w:rsidP="00E44765">
      <w:pPr>
        <w:pStyle w:val="ListParagraph"/>
        <w:ind w:left="360"/>
      </w:pPr>
    </w:p>
    <w:p w14:paraId="55B48EAD" w14:textId="77777777" w:rsidR="00110916" w:rsidRDefault="00110916" w:rsidP="00110916">
      <w:pPr>
        <w:pStyle w:val="ListParagraph"/>
        <w:ind w:left="360"/>
      </w:pPr>
    </w:p>
    <w:p w14:paraId="7F4401BB" w14:textId="77777777" w:rsidR="00B159CB" w:rsidRPr="00507D25" w:rsidRDefault="00B159CB" w:rsidP="00110916">
      <w:pPr>
        <w:pStyle w:val="ListParagraph"/>
        <w:ind w:left="360"/>
      </w:pPr>
    </w:p>
    <w:p w14:paraId="0AD25D37" w14:textId="77777777" w:rsidR="00110916" w:rsidRPr="00507D25" w:rsidRDefault="00110916" w:rsidP="00110916">
      <w:pPr>
        <w:pStyle w:val="ListParagraph"/>
        <w:numPr>
          <w:ilvl w:val="1"/>
          <w:numId w:val="1"/>
        </w:numPr>
      </w:pPr>
      <w:r w:rsidRPr="00507D25">
        <w:t>Risks/Benefits</w:t>
      </w:r>
    </w:p>
    <w:p w14:paraId="2A28FD50" w14:textId="04BFC6E0" w:rsidR="00B159CB" w:rsidRDefault="00CC3583" w:rsidP="00CC3583">
      <w:pPr>
        <w:ind w:left="360"/>
      </w:pPr>
      <w:r w:rsidRPr="00507D25">
        <w:lastRenderedPageBreak/>
        <w:t xml:space="preserve">Benefits-The purpose of the study is to improve </w:t>
      </w:r>
      <w:r w:rsidR="00B159CB">
        <w:t xml:space="preserve">overall patient </w:t>
      </w:r>
      <w:r w:rsidRPr="00507D25">
        <w:t>safety during anesthesia for GI endoscopy</w:t>
      </w:r>
      <w:r w:rsidR="00B159CB">
        <w:t xml:space="preserve"> by providing higher levels of </w:t>
      </w:r>
      <w:r w:rsidR="007E0A9A">
        <w:t xml:space="preserve">supplementary </w:t>
      </w:r>
      <w:r w:rsidR="00B159CB">
        <w:t>oxygen to patients.</w:t>
      </w:r>
    </w:p>
    <w:p w14:paraId="4010F3B3" w14:textId="77777777" w:rsidR="00B159CB" w:rsidRDefault="00B159CB" w:rsidP="00CC3583">
      <w:pPr>
        <w:ind w:left="360"/>
      </w:pPr>
    </w:p>
    <w:p w14:paraId="434EBCB4" w14:textId="506CD9EB" w:rsidR="00110916" w:rsidRPr="00507D25" w:rsidRDefault="00B159CB" w:rsidP="00CC3583">
      <w:pPr>
        <w:ind w:left="360"/>
      </w:pPr>
      <w:r>
        <w:t xml:space="preserve">The </w:t>
      </w:r>
      <w:r w:rsidR="007E0A9A">
        <w:t xml:space="preserve">study’s </w:t>
      </w:r>
      <w:r>
        <w:t>potential benefits are higher blood oxygen levels, lower blood carbon dioxide levels, more stable/normal blood pressure, and less need for emergency intubation (placement of a breathing tube into the trachea)</w:t>
      </w:r>
      <w:r w:rsidR="00902C75">
        <w:t xml:space="preserve"> during anesthesia</w:t>
      </w:r>
      <w:r w:rsidR="00CC3583" w:rsidRPr="00507D25">
        <w:t>.</w:t>
      </w:r>
    </w:p>
    <w:p w14:paraId="3EAA284C" w14:textId="77777777" w:rsidR="00CC3583" w:rsidRPr="00507D25" w:rsidRDefault="00CC3583" w:rsidP="00CC3583">
      <w:pPr>
        <w:ind w:left="360"/>
      </w:pPr>
    </w:p>
    <w:p w14:paraId="24DEBA9B" w14:textId="091B38F6" w:rsidR="00B159CB" w:rsidRDefault="00CC3583" w:rsidP="00CC3583">
      <w:pPr>
        <w:ind w:left="360"/>
      </w:pPr>
      <w:r w:rsidRPr="00507D25">
        <w:t>Ris</w:t>
      </w:r>
      <w:r w:rsidR="007E0A9A">
        <w:t>ks-The potential</w:t>
      </w:r>
      <w:r w:rsidR="00EA6834" w:rsidRPr="00507D25">
        <w:t xml:space="preserve"> risk</w:t>
      </w:r>
      <w:r w:rsidR="00B159CB">
        <w:t>s of the study are:</w:t>
      </w:r>
    </w:p>
    <w:p w14:paraId="14839A6E" w14:textId="59A7F946" w:rsidR="00B159CB" w:rsidRDefault="00B159CB" w:rsidP="00B159CB">
      <w:pPr>
        <w:pStyle w:val="ListParagraph"/>
        <w:numPr>
          <w:ilvl w:val="0"/>
          <w:numId w:val="7"/>
        </w:numPr>
      </w:pPr>
      <w:r>
        <w:t xml:space="preserve">The device used to measure </w:t>
      </w:r>
      <w:r w:rsidR="00902C75">
        <w:t xml:space="preserve">blood carbon dioxide levels </w:t>
      </w:r>
      <w:r>
        <w:t>cause</w:t>
      </w:r>
      <w:r w:rsidR="00902C75">
        <w:t>s</w:t>
      </w:r>
      <w:r>
        <w:t xml:space="preserve"> a tingling sensation on the skin related to warming.</w:t>
      </w:r>
    </w:p>
    <w:p w14:paraId="10BF8D25" w14:textId="1FCC5EE1" w:rsidR="00B159CB" w:rsidRDefault="007E0A9A" w:rsidP="00E921C1">
      <w:pPr>
        <w:pStyle w:val="ListParagraph"/>
        <w:numPr>
          <w:ilvl w:val="0"/>
          <w:numId w:val="7"/>
        </w:numPr>
      </w:pPr>
      <w:r>
        <w:t>H</w:t>
      </w:r>
      <w:r w:rsidR="00B159CB">
        <w:t xml:space="preserve">igh flow nasal cannula </w:t>
      </w:r>
      <w:r>
        <w:t xml:space="preserve">oxygen </w:t>
      </w:r>
      <w:r w:rsidR="00B159CB">
        <w:t xml:space="preserve">can change the way that patients are </w:t>
      </w:r>
      <w:r>
        <w:t>monitored during anesthesia.  A</w:t>
      </w:r>
      <w:r w:rsidR="00B159CB">
        <w:t xml:space="preserve"> patient’s breathing is </w:t>
      </w:r>
      <w:r w:rsidR="00E921C1">
        <w:t xml:space="preserve">normally </w:t>
      </w:r>
      <w:r w:rsidR="00B159CB">
        <w:t>monitored in several ways inc</w:t>
      </w:r>
      <w:r w:rsidR="00902C75">
        <w:t xml:space="preserve">luding visual inspection of </w:t>
      </w:r>
      <w:r w:rsidR="00B159CB">
        <w:t>chest</w:t>
      </w:r>
      <w:r w:rsidR="00902C75">
        <w:t xml:space="preserve"> movement</w:t>
      </w:r>
      <w:r w:rsidR="00B159CB">
        <w:t xml:space="preserve">, plethysmography, and by measurement of exhaled carbon dioxide levels.  </w:t>
      </w:r>
      <w:r w:rsidR="00CC3583" w:rsidRPr="00507D25">
        <w:t xml:space="preserve"> </w:t>
      </w:r>
      <w:r w:rsidR="00E921C1">
        <w:t>H</w:t>
      </w:r>
      <w:r w:rsidR="00B159CB">
        <w:t xml:space="preserve">igh flow nasal cannula oxygen could affect exhaled carbon dioxide measurements because the device is designed to wash carbon </w:t>
      </w:r>
      <w:r>
        <w:t xml:space="preserve">dioxide out of the upper airway.  </w:t>
      </w:r>
      <w:r w:rsidR="00902C75">
        <w:t>We do not anticipate</w:t>
      </w:r>
      <w:r>
        <w:t xml:space="preserve"> that this will have </w:t>
      </w:r>
      <w:r w:rsidR="00902C75">
        <w:t>a significant impact on patient</w:t>
      </w:r>
      <w:r>
        <w:t xml:space="preserve"> safety because breathing is monitored in multiple ways during anesthesia.</w:t>
      </w:r>
    </w:p>
    <w:p w14:paraId="35C2ADF8" w14:textId="77777777" w:rsidR="00CC3583" w:rsidRPr="00507D25" w:rsidRDefault="00CC3583" w:rsidP="00110916"/>
    <w:p w14:paraId="0898D84A" w14:textId="77777777" w:rsidR="00110916" w:rsidRPr="00507D25" w:rsidRDefault="00110916" w:rsidP="00110916">
      <w:pPr>
        <w:pStyle w:val="ListParagraph"/>
        <w:numPr>
          <w:ilvl w:val="1"/>
          <w:numId w:val="1"/>
        </w:numPr>
      </w:pPr>
      <w:r w:rsidRPr="00507D25">
        <w:t>Study Conduct</w:t>
      </w:r>
    </w:p>
    <w:p w14:paraId="6AAE5683" w14:textId="77777777" w:rsidR="00110916" w:rsidRPr="00507D25" w:rsidRDefault="00110916" w:rsidP="00110916">
      <w:pPr>
        <w:pStyle w:val="ListParagraph"/>
        <w:ind w:left="360"/>
      </w:pPr>
      <w:r w:rsidRPr="00507D25">
        <w:t>The study will be conducted in compliance with the protocol approved by the institutional review board (IRB) and according to good clinical practice standards.  No deviation will be implemented without prior authorization from the IRB.</w:t>
      </w:r>
    </w:p>
    <w:p w14:paraId="3D39D24E" w14:textId="77777777" w:rsidR="00110916" w:rsidRPr="00507D25" w:rsidRDefault="00110916" w:rsidP="00110916"/>
    <w:p w14:paraId="6E45D7B2" w14:textId="77777777" w:rsidR="00110916" w:rsidRPr="00507D25" w:rsidRDefault="00110916" w:rsidP="00110916">
      <w:pPr>
        <w:pStyle w:val="ListParagraph"/>
        <w:numPr>
          <w:ilvl w:val="1"/>
          <w:numId w:val="1"/>
        </w:numPr>
      </w:pPr>
      <w:r w:rsidRPr="00507D25">
        <w:t>Population</w:t>
      </w:r>
    </w:p>
    <w:p w14:paraId="657D88DF" w14:textId="2EF16605" w:rsidR="00CB1DB6" w:rsidRPr="00507D25" w:rsidRDefault="007E0A9A" w:rsidP="007E0A9A">
      <w:r>
        <w:t xml:space="preserve">       </w:t>
      </w:r>
      <w:r w:rsidR="00EA6834" w:rsidRPr="00507D25">
        <w:t>Enrollment goal =262</w:t>
      </w:r>
      <w:r w:rsidR="00CB1DB6" w:rsidRPr="00507D25">
        <w:t xml:space="preserve"> patients</w:t>
      </w:r>
    </w:p>
    <w:p w14:paraId="0870ADF2" w14:textId="77777777" w:rsidR="00CC3583" w:rsidRPr="00507D25" w:rsidRDefault="00110916" w:rsidP="00CC3583">
      <w:pPr>
        <w:pStyle w:val="ListParagraph"/>
        <w:ind w:left="360"/>
      </w:pPr>
      <w:r w:rsidRPr="00507D25">
        <w:t xml:space="preserve">The study </w:t>
      </w:r>
      <w:r w:rsidR="00CC3583" w:rsidRPr="00507D25">
        <w:t>enrollment criteria will be:</w:t>
      </w:r>
    </w:p>
    <w:p w14:paraId="65CDCE24" w14:textId="77777777" w:rsidR="00CC3583" w:rsidRPr="00507D25" w:rsidRDefault="00CC3583" w:rsidP="00CC3583">
      <w:pPr>
        <w:pStyle w:val="ListParagraph"/>
        <w:numPr>
          <w:ilvl w:val="0"/>
          <w:numId w:val="2"/>
        </w:numPr>
      </w:pPr>
      <w:r w:rsidRPr="00507D25">
        <w:t>Age &gt;18</w:t>
      </w:r>
    </w:p>
    <w:p w14:paraId="39A296AC" w14:textId="75EAFC6F" w:rsidR="00CC3583" w:rsidRPr="00507D25" w:rsidRDefault="00CC3583" w:rsidP="00704021">
      <w:pPr>
        <w:pStyle w:val="ListParagraph"/>
        <w:numPr>
          <w:ilvl w:val="0"/>
          <w:numId w:val="2"/>
        </w:numPr>
      </w:pPr>
      <w:r w:rsidRPr="00507D25">
        <w:t>Having a non-emergent upper GI endoscopy procedure.</w:t>
      </w:r>
      <w:r w:rsidR="003D5896" w:rsidRPr="00507D25">
        <w:t xml:space="preserve"> </w:t>
      </w:r>
    </w:p>
    <w:p w14:paraId="2D7B0779" w14:textId="3448AE64" w:rsidR="00CC3583" w:rsidRPr="00507D25" w:rsidRDefault="00CC3583" w:rsidP="00CC3583">
      <w:pPr>
        <w:ind w:firstLine="360"/>
      </w:pPr>
      <w:r w:rsidRPr="00507D25">
        <w:t>Exclusion criteria will be:</w:t>
      </w:r>
    </w:p>
    <w:p w14:paraId="63DA6F44" w14:textId="4EA9F0E8" w:rsidR="00CC3583" w:rsidRPr="00507D25" w:rsidRDefault="00CC3583" w:rsidP="00CC3583">
      <w:pPr>
        <w:pStyle w:val="ListParagraph"/>
        <w:numPr>
          <w:ilvl w:val="0"/>
          <w:numId w:val="3"/>
        </w:numPr>
      </w:pPr>
      <w:r w:rsidRPr="00507D25">
        <w:t>Propofol, fentanyl, or midazolam allergy</w:t>
      </w:r>
      <w:r w:rsidR="00704021">
        <w:t>.  Th</w:t>
      </w:r>
      <w:r w:rsidR="007E0A9A">
        <w:t>is will be based on the pre-procedure</w:t>
      </w:r>
      <w:r w:rsidR="00704021">
        <w:t xml:space="preserve"> medical history.</w:t>
      </w:r>
    </w:p>
    <w:p w14:paraId="4DEB7A64" w14:textId="77777777" w:rsidR="00CC3583" w:rsidRDefault="00CC3583" w:rsidP="00CC3583">
      <w:pPr>
        <w:pStyle w:val="ListParagraph"/>
        <w:numPr>
          <w:ilvl w:val="0"/>
          <w:numId w:val="3"/>
        </w:numPr>
      </w:pPr>
      <w:r w:rsidRPr="00507D25">
        <w:t>Pre-procedure plan for general anesthesia with an endotracheal tube (at the discretion of the attending anesthesiologist)</w:t>
      </w:r>
    </w:p>
    <w:p w14:paraId="2C58AF0C" w14:textId="4FEC74F0" w:rsidR="00704021" w:rsidRDefault="00704021" w:rsidP="00CC3583">
      <w:pPr>
        <w:pStyle w:val="ListParagraph"/>
        <w:numPr>
          <w:ilvl w:val="0"/>
          <w:numId w:val="3"/>
        </w:numPr>
      </w:pPr>
      <w:r>
        <w:t>Pregnancy.  This will be determined by a urine pregnancy test</w:t>
      </w:r>
      <w:r w:rsidR="007E0A9A">
        <w:t xml:space="preserve">.  Urine or plasma pregnancy tests are </w:t>
      </w:r>
      <w:r>
        <w:t>performed on all patients having electiv</w:t>
      </w:r>
      <w:r w:rsidR="007E0A9A">
        <w:t>e anesthesia/surgery as part of normal clinical practice.</w:t>
      </w:r>
    </w:p>
    <w:p w14:paraId="75EB01B3" w14:textId="7101E456" w:rsidR="00704021" w:rsidRPr="00507D25" w:rsidRDefault="00704021" w:rsidP="00CC3583">
      <w:pPr>
        <w:pStyle w:val="ListParagraph"/>
        <w:numPr>
          <w:ilvl w:val="0"/>
          <w:numId w:val="3"/>
        </w:numPr>
      </w:pPr>
      <w:r>
        <w:t xml:space="preserve">Use of electrocautery during the procedure.  High oxygen levels in patients </w:t>
      </w:r>
      <w:r w:rsidR="007E0A9A">
        <w:t xml:space="preserve">who require electrocautery </w:t>
      </w:r>
      <w:r>
        <w:t>could increase the risk for fire.</w:t>
      </w:r>
    </w:p>
    <w:p w14:paraId="5DC31D60" w14:textId="77777777" w:rsidR="00110916" w:rsidRPr="00507D25" w:rsidRDefault="00110916" w:rsidP="00110916">
      <w:pPr>
        <w:pStyle w:val="ListParagraph"/>
        <w:ind w:left="360"/>
      </w:pPr>
      <w:r w:rsidRPr="00507D25">
        <w:t xml:space="preserve"> </w:t>
      </w:r>
    </w:p>
    <w:p w14:paraId="214ADDEB" w14:textId="77777777" w:rsidR="00110916" w:rsidRPr="00507D25" w:rsidRDefault="00110916" w:rsidP="00110916"/>
    <w:p w14:paraId="63570400" w14:textId="77777777" w:rsidR="00704021" w:rsidRDefault="00704021" w:rsidP="00110916"/>
    <w:p w14:paraId="1C414D64" w14:textId="77777777" w:rsidR="00704021" w:rsidRDefault="00704021" w:rsidP="00110916"/>
    <w:p w14:paraId="1042C38E" w14:textId="77777777" w:rsidR="00704021" w:rsidRDefault="00704021" w:rsidP="00110916"/>
    <w:p w14:paraId="50304561" w14:textId="77777777" w:rsidR="00110916" w:rsidRPr="00507D25" w:rsidRDefault="00110916" w:rsidP="00110916">
      <w:r w:rsidRPr="00507D25">
        <w:t>2.1 Study Objective</w:t>
      </w:r>
    </w:p>
    <w:p w14:paraId="66E27F3D" w14:textId="27C8635E" w:rsidR="00110916" w:rsidRPr="00507D25" w:rsidRDefault="00110916" w:rsidP="00110916">
      <w:r w:rsidRPr="00507D25">
        <w:t>The</w:t>
      </w:r>
      <w:r w:rsidR="00C83D1B" w:rsidRPr="00507D25">
        <w:t xml:space="preserve"> principal objective</w:t>
      </w:r>
      <w:r w:rsidR="00C91BD5" w:rsidRPr="00507D25">
        <w:t xml:space="preserve"> of the</w:t>
      </w:r>
      <w:r w:rsidRPr="00507D25">
        <w:t xml:space="preserve"> study will be to determine </w:t>
      </w:r>
      <w:r w:rsidR="00C91BD5" w:rsidRPr="00507D25">
        <w:t xml:space="preserve">whether </w:t>
      </w:r>
      <w:r w:rsidR="00CC3583" w:rsidRPr="00507D25">
        <w:t xml:space="preserve">high flow nasal cannula </w:t>
      </w:r>
      <w:r w:rsidR="00704021">
        <w:t xml:space="preserve">oxygen </w:t>
      </w:r>
      <w:r w:rsidR="00390FFC">
        <w:t xml:space="preserve">delivery </w:t>
      </w:r>
      <w:r w:rsidR="00CC3583" w:rsidRPr="00507D25">
        <w:t>decreases the rate of hypoxemia during anesthesia for GI endoscopy.  The secondary objectives will be to determine whether high flow nasal cannula</w:t>
      </w:r>
      <w:r w:rsidR="00704021">
        <w:t xml:space="preserve"> oxygen</w:t>
      </w:r>
      <w:r w:rsidR="00CC3583" w:rsidRPr="00507D25">
        <w:t xml:space="preserve"> </w:t>
      </w:r>
      <w:r w:rsidR="00390FFC">
        <w:t xml:space="preserve">delivery </w:t>
      </w:r>
      <w:r w:rsidR="00CC3583" w:rsidRPr="00507D25">
        <w:t>improves ventila</w:t>
      </w:r>
      <w:r w:rsidR="00657F1D">
        <w:t>tion</w:t>
      </w:r>
      <w:r w:rsidR="00704021">
        <w:t xml:space="preserve"> (</w:t>
      </w:r>
      <w:r w:rsidR="009B0C9D">
        <w:t>reduces blood</w:t>
      </w:r>
      <w:r w:rsidR="00704021">
        <w:t xml:space="preserve"> carbon dioxide</w:t>
      </w:r>
      <w:r w:rsidR="00390FFC">
        <w:t xml:space="preserve"> levels</w:t>
      </w:r>
      <w:r w:rsidR="00704021">
        <w:t>), improves blood pressure (reduces hypotension), and reduces the incidence of rescue intubation</w:t>
      </w:r>
      <w:r w:rsidR="00390FFC">
        <w:t xml:space="preserve"> (breathing tube placement) during anesthesia</w:t>
      </w:r>
      <w:r w:rsidR="00704021">
        <w:t xml:space="preserve">. </w:t>
      </w:r>
    </w:p>
    <w:p w14:paraId="1A3841AC" w14:textId="77777777" w:rsidR="00CC3583" w:rsidRPr="00507D25" w:rsidRDefault="00CC3583" w:rsidP="00110916"/>
    <w:p w14:paraId="7B3C1648" w14:textId="77777777" w:rsidR="00110916" w:rsidRPr="00507D25" w:rsidRDefault="00110916" w:rsidP="00110916">
      <w:r w:rsidRPr="00507D25">
        <w:t>2.2 Primary Endpoint</w:t>
      </w:r>
    </w:p>
    <w:p w14:paraId="4B2FCE34" w14:textId="6480D9B0" w:rsidR="00110916" w:rsidRPr="00507D25" w:rsidRDefault="00110916" w:rsidP="00110916">
      <w:r w:rsidRPr="00507D25">
        <w:t xml:space="preserve">The primary endpoint will be </w:t>
      </w:r>
      <w:r w:rsidR="000645E7" w:rsidRPr="00507D25">
        <w:t xml:space="preserve">hypoxemia during anesthesia.  Hypoxemia will defined as sp02&lt;92% for at least 15 seconds.  This is a definition that has previously been used in the anesthesia literature. </w:t>
      </w:r>
    </w:p>
    <w:p w14:paraId="04067916" w14:textId="77777777" w:rsidR="000645E7" w:rsidRPr="00507D25" w:rsidRDefault="000645E7" w:rsidP="00110916"/>
    <w:p w14:paraId="075FEC74" w14:textId="77777777" w:rsidR="000645E7" w:rsidRPr="00507D25" w:rsidRDefault="000645E7" w:rsidP="00110916">
      <w:r w:rsidRPr="00507D25">
        <w:t xml:space="preserve">Secondary endpoints will be </w:t>
      </w:r>
    </w:p>
    <w:p w14:paraId="05FEDF1B" w14:textId="2D23CBB5" w:rsidR="000645E7" w:rsidRPr="00507D25" w:rsidRDefault="00704021" w:rsidP="000645E7">
      <w:pPr>
        <w:pStyle w:val="ListParagraph"/>
        <w:numPr>
          <w:ilvl w:val="0"/>
          <w:numId w:val="4"/>
        </w:numPr>
      </w:pPr>
      <w:r>
        <w:t xml:space="preserve">Hypercarbia.  This will be </w:t>
      </w:r>
      <w:r w:rsidR="000645E7" w:rsidRPr="00507D25">
        <w:t xml:space="preserve">defined as a PCO2 </w:t>
      </w:r>
      <w:r w:rsidR="00F14031" w:rsidRPr="00507D25">
        <w:t xml:space="preserve">&gt; </w:t>
      </w:r>
      <w:r w:rsidR="000645E7" w:rsidRPr="00507D25">
        <w:t xml:space="preserve">20 mmHg </w:t>
      </w:r>
      <w:r w:rsidR="00F14031" w:rsidRPr="00507D25">
        <w:t xml:space="preserve">above </w:t>
      </w:r>
      <w:r>
        <w:t>the baseline value</w:t>
      </w:r>
      <w:r w:rsidR="000645E7" w:rsidRPr="00507D25">
        <w:t>.</w:t>
      </w:r>
    </w:p>
    <w:p w14:paraId="06CD2830" w14:textId="65D01EB6" w:rsidR="000645E7" w:rsidRDefault="00704021" w:rsidP="00110916">
      <w:pPr>
        <w:pStyle w:val="ListParagraph"/>
        <w:numPr>
          <w:ilvl w:val="0"/>
          <w:numId w:val="4"/>
        </w:numPr>
      </w:pPr>
      <w:r>
        <w:t xml:space="preserve">Hypotension.  This will be </w:t>
      </w:r>
      <w:r w:rsidR="000645E7" w:rsidRPr="00507D25">
        <w:t xml:space="preserve">defined as a mean arterial blood pressure less than </w:t>
      </w:r>
      <w:r w:rsidR="009B0C9D">
        <w:t xml:space="preserve">25% of </w:t>
      </w:r>
      <w:r w:rsidR="00987907">
        <w:t xml:space="preserve">the </w:t>
      </w:r>
      <w:r w:rsidR="00657F1D">
        <w:t xml:space="preserve">baseline </w:t>
      </w:r>
      <w:r w:rsidR="00987907">
        <w:t>value</w:t>
      </w:r>
      <w:r w:rsidR="000645E7" w:rsidRPr="00507D25">
        <w:t>.</w:t>
      </w:r>
    </w:p>
    <w:p w14:paraId="0D203B28" w14:textId="6928346D" w:rsidR="00704021" w:rsidRDefault="00704021" w:rsidP="00704021">
      <w:pPr>
        <w:pStyle w:val="ListParagraph"/>
        <w:numPr>
          <w:ilvl w:val="0"/>
          <w:numId w:val="4"/>
        </w:numPr>
      </w:pPr>
      <w:r>
        <w:t>Rescue</w:t>
      </w:r>
      <w:r w:rsidRPr="00507D25">
        <w:t xml:space="preserve"> intubation</w:t>
      </w:r>
      <w:r>
        <w:t>.  This will be defined as the need for emergent placement of a breathing tube</w:t>
      </w:r>
      <w:r w:rsidR="009B0C9D">
        <w:t xml:space="preserve"> during </w:t>
      </w:r>
      <w:r w:rsidR="00987907">
        <w:t>anesthesia</w:t>
      </w:r>
      <w:r w:rsidR="009B0C9D">
        <w:t>.</w:t>
      </w:r>
      <w:r w:rsidRPr="00507D25">
        <w:t xml:space="preserve"> </w:t>
      </w:r>
    </w:p>
    <w:p w14:paraId="0BBB0435" w14:textId="77777777" w:rsidR="00850488" w:rsidRPr="00507D25" w:rsidRDefault="00850488" w:rsidP="00850488">
      <w:pPr>
        <w:pStyle w:val="ListParagraph"/>
      </w:pPr>
    </w:p>
    <w:p w14:paraId="078B711D" w14:textId="77777777" w:rsidR="00110916" w:rsidRPr="00507D25" w:rsidRDefault="00110916" w:rsidP="00110916">
      <w:r w:rsidRPr="00507D25">
        <w:t>2.3 Study design/type</w:t>
      </w:r>
    </w:p>
    <w:p w14:paraId="0B7F1771" w14:textId="0AA91FD6" w:rsidR="00110916" w:rsidRPr="00507D25" w:rsidRDefault="007927E7" w:rsidP="00110916">
      <w:r w:rsidRPr="00507D25">
        <w:t>The study design is a</w:t>
      </w:r>
      <w:r w:rsidR="00110916" w:rsidRPr="00507D25">
        <w:t xml:space="preserve"> </w:t>
      </w:r>
      <w:r w:rsidR="009B0C9D">
        <w:t>single-</w:t>
      </w:r>
      <w:r w:rsidR="00507D25" w:rsidRPr="00507D25">
        <w:t>blinded</w:t>
      </w:r>
      <w:r w:rsidR="00657F1D">
        <w:t xml:space="preserve"> </w:t>
      </w:r>
      <w:r w:rsidR="000645E7" w:rsidRPr="00507D25">
        <w:t>randomized controlled clinical trial</w:t>
      </w:r>
      <w:r w:rsidR="00110916" w:rsidRPr="00507D25">
        <w:t>.</w:t>
      </w:r>
      <w:r w:rsidR="002854B7" w:rsidRPr="00507D25">
        <w:t xml:space="preserve">  </w:t>
      </w:r>
      <w:r w:rsidR="00704021">
        <w:t>The anesthesia providers will not be blinded to treatment group</w:t>
      </w:r>
      <w:r w:rsidR="009B0C9D">
        <w:t xml:space="preserve">, as they will be providing </w:t>
      </w:r>
      <w:r w:rsidR="00704021">
        <w:t>o</w:t>
      </w:r>
      <w:r w:rsidR="00D55AEB">
        <w:t>xygen to patients.  However,</w:t>
      </w:r>
      <w:r w:rsidR="00704021">
        <w:t xml:space="preserve"> study outcomes will be </w:t>
      </w:r>
      <w:r w:rsidR="00F65113">
        <w:t>determined</w:t>
      </w:r>
      <w:r w:rsidR="00704021">
        <w:t xml:space="preserve"> from electronic medical records </w:t>
      </w:r>
      <w:r w:rsidR="00D55AEB">
        <w:t>by</w:t>
      </w:r>
      <w:r w:rsidR="00704021">
        <w:t xml:space="preserve"> </w:t>
      </w:r>
      <w:r w:rsidR="00D55AEB">
        <w:t>persons that are</w:t>
      </w:r>
      <w:r w:rsidR="00704021">
        <w:t xml:space="preserve"> blinded to group assignment. </w:t>
      </w:r>
    </w:p>
    <w:p w14:paraId="25B2FC7B" w14:textId="77777777" w:rsidR="00110916" w:rsidRPr="00507D25" w:rsidRDefault="00110916" w:rsidP="00110916"/>
    <w:p w14:paraId="1683D7E4" w14:textId="77777777" w:rsidR="009B0C9D" w:rsidRDefault="00110916" w:rsidP="00110916">
      <w:r w:rsidRPr="00507D25">
        <w:t>2.4 Study duration</w:t>
      </w:r>
    </w:p>
    <w:p w14:paraId="57697C66" w14:textId="5AFE04B1" w:rsidR="00110916" w:rsidRPr="00507D25" w:rsidRDefault="00110916" w:rsidP="00110916">
      <w:r w:rsidRPr="00507D25">
        <w:t xml:space="preserve">The expected study duration is </w:t>
      </w:r>
      <w:r w:rsidR="000645E7" w:rsidRPr="00507D25">
        <w:t>two years</w:t>
      </w:r>
      <w:r w:rsidRPr="00507D25">
        <w:t>.</w:t>
      </w:r>
    </w:p>
    <w:p w14:paraId="04D64467" w14:textId="77777777" w:rsidR="00110916" w:rsidRPr="00507D25" w:rsidRDefault="00110916" w:rsidP="00110916"/>
    <w:p w14:paraId="2B0AD3C0" w14:textId="77777777" w:rsidR="00110916" w:rsidRPr="00507D25" w:rsidRDefault="00110916" w:rsidP="00110916">
      <w:r w:rsidRPr="00507D25">
        <w:t>3.1 Inclusion Criteria</w:t>
      </w:r>
    </w:p>
    <w:p w14:paraId="3A114CFB" w14:textId="77777777" w:rsidR="00704021" w:rsidRPr="00507D25" w:rsidRDefault="00704021" w:rsidP="00704021">
      <w:pPr>
        <w:pStyle w:val="ListParagraph"/>
        <w:numPr>
          <w:ilvl w:val="0"/>
          <w:numId w:val="8"/>
        </w:numPr>
      </w:pPr>
      <w:r w:rsidRPr="00507D25">
        <w:t>Age &gt;18</w:t>
      </w:r>
    </w:p>
    <w:p w14:paraId="44C31F3C" w14:textId="5BBA8233" w:rsidR="00704021" w:rsidRPr="00507D25" w:rsidRDefault="00704021" w:rsidP="00704021">
      <w:pPr>
        <w:pStyle w:val="ListParagraph"/>
        <w:numPr>
          <w:ilvl w:val="0"/>
          <w:numId w:val="8"/>
        </w:numPr>
      </w:pPr>
      <w:r w:rsidRPr="00507D25">
        <w:t>Having a non-emergent upper GI endoscopy procedure</w:t>
      </w:r>
      <w:r w:rsidR="00F10A5A">
        <w:t xml:space="preserve"> expected to last longer than 15 minutes</w:t>
      </w:r>
      <w:r w:rsidRPr="00507D25">
        <w:t xml:space="preserve">. </w:t>
      </w:r>
    </w:p>
    <w:p w14:paraId="75802D8E" w14:textId="77777777" w:rsidR="000645E7" w:rsidRPr="00507D25" w:rsidRDefault="000645E7" w:rsidP="00110916"/>
    <w:p w14:paraId="51608D28" w14:textId="77777777" w:rsidR="00110916" w:rsidRPr="00507D25" w:rsidRDefault="00110916" w:rsidP="00110916">
      <w:r w:rsidRPr="00507D25">
        <w:t>3.2 Exclusion Criteria</w:t>
      </w:r>
    </w:p>
    <w:p w14:paraId="4182C806" w14:textId="77777777" w:rsidR="009B0C9D" w:rsidRPr="00507D25" w:rsidRDefault="009B0C9D" w:rsidP="009B0C9D">
      <w:pPr>
        <w:pStyle w:val="ListParagraph"/>
        <w:numPr>
          <w:ilvl w:val="0"/>
          <w:numId w:val="10"/>
        </w:numPr>
      </w:pPr>
      <w:r w:rsidRPr="00507D25">
        <w:t>Propofol, fentanyl, or midazolam allergy</w:t>
      </w:r>
      <w:r>
        <w:t>.  This will be based on the pre-procedure medical history.</w:t>
      </w:r>
    </w:p>
    <w:p w14:paraId="51406EC3" w14:textId="77777777" w:rsidR="009B0C9D" w:rsidRDefault="009B0C9D" w:rsidP="009B0C9D">
      <w:pPr>
        <w:pStyle w:val="ListParagraph"/>
        <w:numPr>
          <w:ilvl w:val="0"/>
          <w:numId w:val="10"/>
        </w:numPr>
      </w:pPr>
      <w:r w:rsidRPr="00507D25">
        <w:t>Pre-procedure plan for general anesthesia with an endotracheal tube (at the discretion of the attending anesthesiologist)</w:t>
      </w:r>
    </w:p>
    <w:p w14:paraId="2FE60DDA" w14:textId="2AC415C6" w:rsidR="009B0C9D" w:rsidRDefault="009B0C9D" w:rsidP="009B0C9D">
      <w:pPr>
        <w:pStyle w:val="ListParagraph"/>
        <w:numPr>
          <w:ilvl w:val="0"/>
          <w:numId w:val="10"/>
        </w:numPr>
      </w:pPr>
      <w:r>
        <w:t>Pregnancy.  This will be determined by a urine pregnancy test.  Urine or plasma pregnancy tests are performed on all patients having elective anesthesia/surgery as part of normal clinical practice.</w:t>
      </w:r>
    </w:p>
    <w:p w14:paraId="27AE23F6" w14:textId="77777777" w:rsidR="009B0C9D" w:rsidRPr="00507D25" w:rsidRDefault="009B0C9D" w:rsidP="009B0C9D">
      <w:pPr>
        <w:pStyle w:val="ListParagraph"/>
        <w:numPr>
          <w:ilvl w:val="0"/>
          <w:numId w:val="10"/>
        </w:numPr>
      </w:pPr>
      <w:r>
        <w:lastRenderedPageBreak/>
        <w:t>Use of electrocautery during the procedure.  High oxygen levels in patients who require electrocautery could increase the risk for fire.</w:t>
      </w:r>
    </w:p>
    <w:p w14:paraId="19D8CCC7" w14:textId="77777777" w:rsidR="000645E7" w:rsidRPr="00507D25" w:rsidRDefault="000645E7" w:rsidP="00110916"/>
    <w:p w14:paraId="2D34AE5C" w14:textId="77777777" w:rsidR="00110916" w:rsidRPr="00507D25" w:rsidRDefault="00110916" w:rsidP="00110916">
      <w:r w:rsidRPr="00507D25">
        <w:t>3.3 Subject withdraw</w:t>
      </w:r>
      <w:r w:rsidR="007927E7" w:rsidRPr="00507D25">
        <w:t>a</w:t>
      </w:r>
      <w:r w:rsidRPr="00507D25">
        <w:t>l</w:t>
      </w:r>
    </w:p>
    <w:p w14:paraId="5911BE83" w14:textId="766101A0" w:rsidR="00110916" w:rsidRPr="00507D25" w:rsidRDefault="0090651C" w:rsidP="00110916">
      <w:r>
        <w:t>Subjects will</w:t>
      </w:r>
      <w:r w:rsidR="00F45847" w:rsidRPr="00507D25">
        <w:t xml:space="preserve"> be withdrawn from the study at the discretion of the primary anesthesia provider if there is any perceived threat to patient safety related to the study.</w:t>
      </w:r>
    </w:p>
    <w:p w14:paraId="18C67F2F" w14:textId="77777777" w:rsidR="00110916" w:rsidRPr="00507D25" w:rsidRDefault="00110916" w:rsidP="00110916"/>
    <w:p w14:paraId="1209EE84" w14:textId="77777777" w:rsidR="00110916" w:rsidRPr="00507D25" w:rsidRDefault="00110916" w:rsidP="00110916">
      <w:r w:rsidRPr="00507D25">
        <w:t>4.1 Clinical evaluations</w:t>
      </w:r>
    </w:p>
    <w:p w14:paraId="59E44CAA" w14:textId="7F62BCBC" w:rsidR="00110916" w:rsidRPr="00507D25" w:rsidRDefault="003F5990" w:rsidP="00110916">
      <w:r w:rsidRPr="00507D25">
        <w:t>Clinical evaluations will consist of standard vital sign recordings</w:t>
      </w:r>
      <w:r w:rsidR="0090651C">
        <w:t xml:space="preserve"> (blood pressure, pulse, respiratory rate, and oxygen saturation)</w:t>
      </w:r>
      <w:r w:rsidRPr="00507D25">
        <w:t xml:space="preserve"> that are performed for patient car</w:t>
      </w:r>
      <w:r w:rsidR="00974357">
        <w:t>e as well as transcutaneous blood carbon dioxide</w:t>
      </w:r>
      <w:r w:rsidRPr="00507D25">
        <w:t xml:space="preserve"> measurements, which are not part of </w:t>
      </w:r>
      <w:r w:rsidR="0090651C">
        <w:t>usual</w:t>
      </w:r>
      <w:r w:rsidRPr="00507D25">
        <w:t xml:space="preserve"> care. </w:t>
      </w:r>
      <w:r w:rsidR="0090651C">
        <w:t xml:space="preserve"> These measurements will be performed</w:t>
      </w:r>
      <w:r w:rsidR="00974357">
        <w:t xml:space="preserve"> using a transcutaneous</w:t>
      </w:r>
      <w:r w:rsidRPr="00507D25">
        <w:t xml:space="preserve"> monitor manufactured by radiometer (</w:t>
      </w:r>
      <w:r w:rsidR="00504BDF" w:rsidRPr="00507D25">
        <w:t xml:space="preserve">TCM </w:t>
      </w:r>
      <w:r w:rsidR="00CB1DB6" w:rsidRPr="00507D25">
        <w:t xml:space="preserve">CombiM).  The device uses a skin </w:t>
      </w:r>
      <w:r w:rsidR="0090651C">
        <w:t>electrode</w:t>
      </w:r>
      <w:r w:rsidR="00CB1DB6" w:rsidRPr="00507D25">
        <w:t xml:space="preserve"> that is sim</w:t>
      </w:r>
      <w:r w:rsidR="00082939" w:rsidRPr="00507D25">
        <w:t xml:space="preserve">ilar to </w:t>
      </w:r>
      <w:r w:rsidR="0090651C">
        <w:t>a sticker</w:t>
      </w:r>
      <w:r w:rsidR="00082939" w:rsidRPr="00507D25">
        <w:t xml:space="preserve"> and measures </w:t>
      </w:r>
      <w:r w:rsidR="00974357">
        <w:t>blood carbon dioxide levels</w:t>
      </w:r>
      <w:r w:rsidR="00CB1DB6" w:rsidRPr="00507D25">
        <w:t>.</w:t>
      </w:r>
    </w:p>
    <w:p w14:paraId="19AE3EF8" w14:textId="77777777" w:rsidR="00F45847" w:rsidRPr="00507D25" w:rsidRDefault="00F45847" w:rsidP="00110916"/>
    <w:p w14:paraId="265DFE6F" w14:textId="77777777" w:rsidR="00110916" w:rsidRPr="00507D25" w:rsidRDefault="00110916" w:rsidP="00110916">
      <w:r w:rsidRPr="00507D25">
        <w:t>4.2 Laboratory ev</w:t>
      </w:r>
      <w:r w:rsidR="007927E7" w:rsidRPr="00507D25">
        <w:t>a</w:t>
      </w:r>
      <w:r w:rsidRPr="00507D25">
        <w:t>luations</w:t>
      </w:r>
    </w:p>
    <w:p w14:paraId="7EF6B8A5" w14:textId="616452DD" w:rsidR="00110916" w:rsidRPr="00507D25" w:rsidRDefault="00110916" w:rsidP="00110916">
      <w:r w:rsidRPr="00507D25">
        <w:t>None</w:t>
      </w:r>
    </w:p>
    <w:p w14:paraId="5A16875A" w14:textId="77777777" w:rsidR="00110916" w:rsidRPr="00507D25" w:rsidRDefault="00110916" w:rsidP="00110916"/>
    <w:p w14:paraId="2D5379D0" w14:textId="77777777" w:rsidR="00110916" w:rsidRPr="00507D25" w:rsidRDefault="00110916" w:rsidP="00110916">
      <w:r w:rsidRPr="00507D25">
        <w:t>5.1 Adverse event review</w:t>
      </w:r>
    </w:p>
    <w:p w14:paraId="7674EC89" w14:textId="70A96A64" w:rsidR="00110916" w:rsidRPr="00507D25" w:rsidRDefault="00CB1DB6" w:rsidP="00110916">
      <w:r w:rsidRPr="00507D25">
        <w:t>We will perform an adv</w:t>
      </w:r>
      <w:r w:rsidR="00082939" w:rsidRPr="00507D25">
        <w:t>erse event review after every 20</w:t>
      </w:r>
      <w:r w:rsidRPr="00507D25">
        <w:t xml:space="preserve"> patients enrolled in the study.</w:t>
      </w:r>
    </w:p>
    <w:p w14:paraId="7EA34B03" w14:textId="77777777" w:rsidR="00110916" w:rsidRPr="00507D25" w:rsidRDefault="00110916" w:rsidP="00110916"/>
    <w:p w14:paraId="5981AD0C" w14:textId="77777777" w:rsidR="00110916" w:rsidRPr="00507D25" w:rsidRDefault="00110916" w:rsidP="00110916">
      <w:r w:rsidRPr="00507D25">
        <w:t>5.2 Safety review</w:t>
      </w:r>
    </w:p>
    <w:p w14:paraId="5ED8820B" w14:textId="0BD77D6D" w:rsidR="00110916" w:rsidRPr="00507D25" w:rsidRDefault="00AF4E0A" w:rsidP="00110916">
      <w:r w:rsidRPr="00507D25">
        <w:t xml:space="preserve">A safety monitoring board will be created and will contain </w:t>
      </w:r>
      <w:r w:rsidR="00EA6834" w:rsidRPr="00507D25">
        <w:t xml:space="preserve">3 members </w:t>
      </w:r>
      <w:r w:rsidRPr="00507D25">
        <w:t>who are not directly involved in the resear</w:t>
      </w:r>
      <w:r w:rsidR="00EA6834" w:rsidRPr="00507D25">
        <w:t>ch.  The board will meet every 6</w:t>
      </w:r>
      <w:r w:rsidRPr="00507D25">
        <w:t xml:space="preserve"> months and review all adverse events or potential adverse even</w:t>
      </w:r>
      <w:r w:rsidR="006B4E63" w:rsidRPr="00507D25">
        <w:t>t</w:t>
      </w:r>
      <w:r w:rsidRPr="00507D25">
        <w:t>s related to the study.</w:t>
      </w:r>
    </w:p>
    <w:p w14:paraId="3301D449" w14:textId="77777777" w:rsidR="00110916" w:rsidRPr="00507D25" w:rsidRDefault="00110916" w:rsidP="00110916"/>
    <w:p w14:paraId="6839CAC3" w14:textId="77777777" w:rsidR="00110916" w:rsidRPr="00507D25" w:rsidRDefault="00110916" w:rsidP="00110916">
      <w:r w:rsidRPr="00507D25">
        <w:t>6.1 Quality control and assurance</w:t>
      </w:r>
    </w:p>
    <w:p w14:paraId="0C24774E" w14:textId="1B5117B0" w:rsidR="00110916" w:rsidRPr="00507D25" w:rsidRDefault="00110916" w:rsidP="00110916">
      <w:pPr>
        <w:pStyle w:val="Default"/>
        <w:rPr>
          <w:rFonts w:asciiTheme="minorHAnsi" w:hAnsiTheme="minorHAnsi"/>
          <w:color w:val="auto"/>
          <w:szCs w:val="23"/>
        </w:rPr>
      </w:pPr>
      <w:r w:rsidRPr="00507D25">
        <w:rPr>
          <w:rFonts w:asciiTheme="minorHAnsi" w:hAnsiTheme="minorHAnsi"/>
          <w:color w:val="auto"/>
          <w:szCs w:val="23"/>
        </w:rPr>
        <w:t xml:space="preserve">The PI and institution are responsible for conducting the study in </w:t>
      </w:r>
    </w:p>
    <w:p w14:paraId="6E01A45B" w14:textId="47BBA8C6" w:rsidR="00110916" w:rsidRPr="00507D25" w:rsidRDefault="00110916" w:rsidP="00110916">
      <w:pPr>
        <w:pStyle w:val="Default"/>
        <w:rPr>
          <w:rFonts w:asciiTheme="minorHAnsi" w:hAnsiTheme="minorHAnsi"/>
          <w:color w:val="auto"/>
          <w:szCs w:val="23"/>
        </w:rPr>
      </w:pPr>
      <w:r w:rsidRPr="00507D25">
        <w:rPr>
          <w:rFonts w:asciiTheme="minorHAnsi" w:hAnsiTheme="minorHAnsi"/>
          <w:color w:val="auto"/>
          <w:szCs w:val="23"/>
        </w:rPr>
        <w:t xml:space="preserve">compliance with the IRB-approved protocol, all applicable regulations, </w:t>
      </w:r>
    </w:p>
    <w:p w14:paraId="500B19AA" w14:textId="05467D4A" w:rsidR="00110916" w:rsidRPr="00507D25" w:rsidRDefault="00110916" w:rsidP="00110916">
      <w:pPr>
        <w:pStyle w:val="Default"/>
        <w:rPr>
          <w:rFonts w:asciiTheme="minorHAnsi" w:hAnsiTheme="minorHAnsi"/>
          <w:color w:val="auto"/>
          <w:szCs w:val="23"/>
        </w:rPr>
      </w:pPr>
      <w:r w:rsidRPr="00507D25">
        <w:rPr>
          <w:rFonts w:asciiTheme="minorHAnsi" w:hAnsiTheme="minorHAnsi"/>
          <w:color w:val="auto"/>
          <w:szCs w:val="23"/>
        </w:rPr>
        <w:t xml:space="preserve">and the International Conference on Harmonization, E6 Good Clinical Practice </w:t>
      </w:r>
    </w:p>
    <w:p w14:paraId="54E46A18" w14:textId="7C412CB0" w:rsidR="00110916" w:rsidRPr="00507D25" w:rsidRDefault="00110916" w:rsidP="00110916">
      <w:pPr>
        <w:pStyle w:val="Default"/>
        <w:rPr>
          <w:rFonts w:asciiTheme="minorHAnsi" w:hAnsiTheme="minorHAnsi"/>
          <w:color w:val="auto"/>
          <w:szCs w:val="23"/>
        </w:rPr>
      </w:pPr>
      <w:r w:rsidRPr="00507D25">
        <w:rPr>
          <w:rFonts w:asciiTheme="minorHAnsi" w:hAnsiTheme="minorHAnsi"/>
          <w:color w:val="auto"/>
          <w:szCs w:val="23"/>
        </w:rPr>
        <w:t xml:space="preserve">guidelines, by adhering to the requirements for collecting, documenting and </w:t>
      </w:r>
    </w:p>
    <w:p w14:paraId="59C704AB" w14:textId="6B5C4D9A" w:rsidR="00110916" w:rsidRPr="00507D25" w:rsidRDefault="00110916" w:rsidP="00110916">
      <w:pPr>
        <w:pStyle w:val="Default"/>
        <w:rPr>
          <w:rFonts w:asciiTheme="minorHAnsi" w:hAnsiTheme="minorHAnsi"/>
          <w:color w:val="auto"/>
          <w:szCs w:val="23"/>
        </w:rPr>
      </w:pPr>
      <w:r w:rsidRPr="00507D25">
        <w:rPr>
          <w:rFonts w:asciiTheme="minorHAnsi" w:hAnsiTheme="minorHAnsi"/>
          <w:color w:val="auto"/>
          <w:szCs w:val="23"/>
        </w:rPr>
        <w:t xml:space="preserve">reporting complete and accurate data. A separate Data Quality Assurance (QA) </w:t>
      </w:r>
    </w:p>
    <w:p w14:paraId="430AE7D1" w14:textId="4F19FBEA" w:rsidR="00110916" w:rsidRPr="00507D25" w:rsidRDefault="00110916" w:rsidP="00110916">
      <w:pPr>
        <w:pStyle w:val="Default"/>
        <w:rPr>
          <w:rFonts w:asciiTheme="minorHAnsi" w:hAnsiTheme="minorHAnsi"/>
          <w:color w:val="auto"/>
          <w:szCs w:val="23"/>
        </w:rPr>
      </w:pPr>
      <w:r w:rsidRPr="00507D25">
        <w:rPr>
          <w:rFonts w:asciiTheme="minorHAnsi" w:hAnsiTheme="minorHAnsi"/>
          <w:color w:val="auto"/>
          <w:szCs w:val="23"/>
        </w:rPr>
        <w:t xml:space="preserve">Plan will be developed to describe the frequency of review of study related data </w:t>
      </w:r>
    </w:p>
    <w:p w14:paraId="146C12A6" w14:textId="32E21A4C" w:rsidR="00110916" w:rsidRPr="00507D25" w:rsidRDefault="00110916" w:rsidP="00110916">
      <w:pPr>
        <w:pStyle w:val="Default"/>
        <w:rPr>
          <w:rFonts w:asciiTheme="minorHAnsi" w:hAnsiTheme="minorHAnsi"/>
          <w:color w:val="auto"/>
          <w:szCs w:val="23"/>
        </w:rPr>
      </w:pPr>
      <w:r w:rsidRPr="00507D25">
        <w:rPr>
          <w:rFonts w:asciiTheme="minorHAnsi" w:hAnsiTheme="minorHAnsi"/>
          <w:color w:val="auto"/>
          <w:szCs w:val="23"/>
        </w:rPr>
        <w:t xml:space="preserve">and the roles and responsibilities for activities related to Quality Control (QC). </w:t>
      </w:r>
    </w:p>
    <w:p w14:paraId="111415FE" w14:textId="77777777" w:rsidR="00110916" w:rsidRPr="00507D25" w:rsidRDefault="00110916" w:rsidP="00110916">
      <w:pPr>
        <w:pStyle w:val="Default"/>
        <w:rPr>
          <w:rFonts w:asciiTheme="minorHAnsi" w:hAnsiTheme="minorHAnsi"/>
          <w:color w:val="auto"/>
          <w:szCs w:val="23"/>
        </w:rPr>
      </w:pPr>
    </w:p>
    <w:p w14:paraId="4A9C60C7" w14:textId="77777777" w:rsidR="00110916" w:rsidRPr="00507D25" w:rsidRDefault="00110916" w:rsidP="00110916">
      <w:pPr>
        <w:pStyle w:val="Default"/>
        <w:rPr>
          <w:rFonts w:asciiTheme="minorHAnsi" w:hAnsiTheme="minorHAnsi"/>
          <w:color w:val="auto"/>
          <w:szCs w:val="23"/>
        </w:rPr>
      </w:pPr>
      <w:r w:rsidRPr="00507D25">
        <w:rPr>
          <w:rFonts w:asciiTheme="minorHAnsi" w:hAnsiTheme="minorHAnsi"/>
          <w:color w:val="auto"/>
          <w:szCs w:val="23"/>
        </w:rPr>
        <w:t>7.1 Study measurements</w:t>
      </w:r>
    </w:p>
    <w:p w14:paraId="6C399246" w14:textId="031C2960" w:rsidR="00110916" w:rsidRPr="00507D25" w:rsidRDefault="006B4E63" w:rsidP="00110916">
      <w:pPr>
        <w:pStyle w:val="Default"/>
        <w:rPr>
          <w:rFonts w:asciiTheme="minorHAnsi" w:hAnsiTheme="minorHAnsi"/>
          <w:color w:val="auto"/>
          <w:szCs w:val="23"/>
        </w:rPr>
      </w:pPr>
      <w:r w:rsidRPr="00507D25">
        <w:rPr>
          <w:rFonts w:asciiTheme="minorHAnsi" w:hAnsiTheme="minorHAnsi"/>
          <w:color w:val="auto"/>
          <w:szCs w:val="23"/>
        </w:rPr>
        <w:t xml:space="preserve">Study measurements will include routine clinical vital signs data, which are normally collected for patients having anesthesia and also transcutaneous </w:t>
      </w:r>
      <w:r w:rsidR="006550F0">
        <w:rPr>
          <w:rFonts w:asciiTheme="minorHAnsi" w:hAnsiTheme="minorHAnsi"/>
          <w:color w:val="auto"/>
          <w:szCs w:val="23"/>
        </w:rPr>
        <w:t>blood carbon dioxide</w:t>
      </w:r>
      <w:r w:rsidRPr="00507D25">
        <w:rPr>
          <w:rFonts w:asciiTheme="minorHAnsi" w:hAnsiTheme="minorHAnsi"/>
          <w:color w:val="auto"/>
          <w:szCs w:val="23"/>
        </w:rPr>
        <w:t xml:space="preserve"> measurements as described in section 4.1.</w:t>
      </w:r>
    </w:p>
    <w:p w14:paraId="77AD7B6A" w14:textId="77777777" w:rsidR="00110916" w:rsidRPr="00507D25" w:rsidRDefault="00110916" w:rsidP="00110916">
      <w:pPr>
        <w:pStyle w:val="Default"/>
        <w:rPr>
          <w:rFonts w:asciiTheme="minorHAnsi" w:hAnsiTheme="minorHAnsi"/>
          <w:color w:val="auto"/>
          <w:szCs w:val="23"/>
        </w:rPr>
      </w:pPr>
    </w:p>
    <w:p w14:paraId="5564989A" w14:textId="77777777" w:rsidR="00110916" w:rsidRPr="00507D25" w:rsidRDefault="00110916" w:rsidP="00110916">
      <w:pPr>
        <w:pStyle w:val="Default"/>
        <w:rPr>
          <w:rFonts w:asciiTheme="minorHAnsi" w:hAnsiTheme="minorHAnsi"/>
          <w:color w:val="auto"/>
          <w:szCs w:val="23"/>
        </w:rPr>
      </w:pPr>
      <w:r w:rsidRPr="00507D25">
        <w:rPr>
          <w:rFonts w:asciiTheme="minorHAnsi" w:hAnsiTheme="minorHAnsi"/>
          <w:color w:val="auto"/>
          <w:szCs w:val="23"/>
        </w:rPr>
        <w:t>7.2 Statistical analysis</w:t>
      </w:r>
    </w:p>
    <w:p w14:paraId="6C59E49D" w14:textId="15215F5E" w:rsidR="0090651C" w:rsidRDefault="00F216DB" w:rsidP="00F216DB">
      <w:r w:rsidRPr="00507D25">
        <w:rPr>
          <w:szCs w:val="23"/>
        </w:rPr>
        <w:t>The rate of hypoxemia at our own institution during GI endoscopy was 18% in the last 500 patien</w:t>
      </w:r>
      <w:r w:rsidR="00A338F8" w:rsidRPr="00507D25">
        <w:rPr>
          <w:szCs w:val="23"/>
        </w:rPr>
        <w:t xml:space="preserve">ts as determined by </w:t>
      </w:r>
      <w:r w:rsidR="0090651C">
        <w:rPr>
          <w:szCs w:val="23"/>
        </w:rPr>
        <w:t xml:space="preserve">a </w:t>
      </w:r>
      <w:r w:rsidR="00A338F8" w:rsidRPr="00507D25">
        <w:rPr>
          <w:szCs w:val="23"/>
        </w:rPr>
        <w:t>query of</w:t>
      </w:r>
      <w:r w:rsidRPr="00507D25">
        <w:rPr>
          <w:szCs w:val="23"/>
        </w:rPr>
        <w:t xml:space="preserve"> our </w:t>
      </w:r>
      <w:r w:rsidR="006550F0">
        <w:rPr>
          <w:szCs w:val="23"/>
        </w:rPr>
        <w:t xml:space="preserve">IRB </w:t>
      </w:r>
      <w:r w:rsidRPr="00507D25">
        <w:rPr>
          <w:szCs w:val="23"/>
        </w:rPr>
        <w:t>approved metavision anesthesia registry</w:t>
      </w:r>
      <w:r w:rsidR="006B4E63" w:rsidRPr="00507D25">
        <w:rPr>
          <w:szCs w:val="23"/>
        </w:rPr>
        <w:t>.</w:t>
      </w:r>
      <w:r w:rsidRPr="00507D25">
        <w:rPr>
          <w:szCs w:val="23"/>
        </w:rPr>
        <w:t xml:space="preserve">  </w:t>
      </w:r>
      <w:r w:rsidRPr="0090651C">
        <w:t xml:space="preserve">The study’s sample size was calculated using </w:t>
      </w:r>
      <w:r w:rsidR="0090651C">
        <w:t xml:space="preserve">this information </w:t>
      </w:r>
      <w:r w:rsidR="0090651C">
        <w:lastRenderedPageBreak/>
        <w:t>and was based upon what the investigator believed would be a clinically significant difference as well as what reduction in hypoxemia was thought to be plausible using high flow nasal cannula oxygen</w:t>
      </w:r>
      <w:r w:rsidR="006E4AB6">
        <w:t xml:space="preserve"> delivery</w:t>
      </w:r>
      <w:r w:rsidR="0090651C">
        <w:t xml:space="preserve">.  In the PIs </w:t>
      </w:r>
      <w:r w:rsidR="006E4AB6">
        <w:t xml:space="preserve">anecdotal </w:t>
      </w:r>
      <w:r w:rsidR="0090651C">
        <w:t>experience, high flow nasal cannula oxygen can lead to dramatic improvements in oxygenation when compared to regular nasal cannula oxygen</w:t>
      </w:r>
      <w:r w:rsidR="006550F0">
        <w:t>, particularly</w:t>
      </w:r>
      <w:r w:rsidR="0090651C">
        <w:t xml:space="preserve"> in patients with compromised breathing.</w:t>
      </w:r>
    </w:p>
    <w:p w14:paraId="02323C86" w14:textId="77777777" w:rsidR="0090651C" w:rsidRDefault="0090651C" w:rsidP="00F216DB"/>
    <w:p w14:paraId="0A7E30BF" w14:textId="5521C517" w:rsidR="00F216DB" w:rsidRPr="0090651C" w:rsidRDefault="00F216DB" w:rsidP="00F216DB">
      <w:pPr>
        <w:rPr>
          <w:szCs w:val="23"/>
        </w:rPr>
      </w:pPr>
      <w:r w:rsidRPr="0090651C">
        <w:t>Assuming that hypoxemia occurs in 18% of patients in the control group</w:t>
      </w:r>
      <w:r w:rsidR="0090651C">
        <w:t xml:space="preserve"> (regular nasal cannula)</w:t>
      </w:r>
      <w:r w:rsidRPr="0090651C">
        <w:t xml:space="preserve">, a total of 262 patients will be </w:t>
      </w:r>
      <w:r w:rsidR="0090651C">
        <w:t>necessary</w:t>
      </w:r>
      <w:r w:rsidRPr="0090651C">
        <w:t xml:space="preserve"> to detect a 66% reduction in hypoxemia in the treatment group with a power of 80% and a type 1 error level of 5%.  Alternatively, if hypoxemia occurs in only 10% of patients in the control group, the study will have adequate power to detect a 90% reduction in hypoxemia with 80% power and a type 1 error level of 5%.</w:t>
      </w:r>
    </w:p>
    <w:p w14:paraId="07794096" w14:textId="77777777" w:rsidR="00110916" w:rsidRPr="00507D25" w:rsidRDefault="00110916" w:rsidP="00110916">
      <w:pPr>
        <w:pStyle w:val="Default"/>
        <w:rPr>
          <w:rFonts w:asciiTheme="minorHAnsi" w:hAnsiTheme="minorHAnsi"/>
          <w:color w:val="auto"/>
          <w:szCs w:val="23"/>
        </w:rPr>
      </w:pPr>
    </w:p>
    <w:p w14:paraId="51AF80B3" w14:textId="5F71A8C8" w:rsidR="00110916" w:rsidRPr="00507D25" w:rsidRDefault="00C11FED" w:rsidP="00110916">
      <w:pPr>
        <w:pStyle w:val="Default"/>
        <w:rPr>
          <w:rFonts w:asciiTheme="minorHAnsi" w:hAnsiTheme="minorHAnsi"/>
          <w:color w:val="auto"/>
          <w:szCs w:val="23"/>
        </w:rPr>
      </w:pPr>
      <w:r w:rsidRPr="00507D25">
        <w:rPr>
          <w:rFonts w:asciiTheme="minorHAnsi" w:hAnsiTheme="minorHAnsi"/>
          <w:color w:val="auto"/>
          <w:szCs w:val="23"/>
        </w:rPr>
        <w:t>The study’s primary outcome variable (hypoxemia)</w:t>
      </w:r>
      <w:r w:rsidR="0090651C">
        <w:rPr>
          <w:rFonts w:asciiTheme="minorHAnsi" w:hAnsiTheme="minorHAnsi"/>
          <w:color w:val="auto"/>
          <w:szCs w:val="23"/>
        </w:rPr>
        <w:t>,</w:t>
      </w:r>
      <w:r w:rsidRPr="00507D25">
        <w:rPr>
          <w:rFonts w:asciiTheme="minorHAnsi" w:hAnsiTheme="minorHAnsi"/>
          <w:color w:val="auto"/>
          <w:szCs w:val="23"/>
        </w:rPr>
        <w:t xml:space="preserve"> which will be a dichotomous outcome variable</w:t>
      </w:r>
      <w:r w:rsidR="0090651C">
        <w:rPr>
          <w:rFonts w:asciiTheme="minorHAnsi" w:hAnsiTheme="minorHAnsi"/>
          <w:color w:val="auto"/>
          <w:szCs w:val="23"/>
        </w:rPr>
        <w:t>,</w:t>
      </w:r>
      <w:r w:rsidRPr="00507D25">
        <w:rPr>
          <w:rFonts w:asciiTheme="minorHAnsi" w:hAnsiTheme="minorHAnsi"/>
          <w:color w:val="auto"/>
          <w:szCs w:val="23"/>
        </w:rPr>
        <w:t xml:space="preserve"> will be compared between gr</w:t>
      </w:r>
      <w:r w:rsidR="0090651C">
        <w:rPr>
          <w:rFonts w:asciiTheme="minorHAnsi" w:hAnsiTheme="minorHAnsi"/>
          <w:color w:val="auto"/>
          <w:szCs w:val="23"/>
        </w:rPr>
        <w:t>oups using a Chi Squared test or</w:t>
      </w:r>
      <w:r w:rsidRPr="00507D25">
        <w:rPr>
          <w:rFonts w:asciiTheme="minorHAnsi" w:hAnsiTheme="minorHAnsi"/>
          <w:color w:val="auto"/>
          <w:szCs w:val="23"/>
        </w:rPr>
        <w:t xml:space="preserve"> Fisher’s exact test.  Secondary outcome variables will be analyzed in the same way.</w:t>
      </w:r>
    </w:p>
    <w:p w14:paraId="54E9346F" w14:textId="77777777" w:rsidR="00110916" w:rsidRPr="00507D25" w:rsidRDefault="00110916" w:rsidP="00110916">
      <w:pPr>
        <w:pStyle w:val="Default"/>
        <w:rPr>
          <w:rFonts w:asciiTheme="minorHAnsi" w:hAnsiTheme="minorHAnsi"/>
          <w:color w:val="auto"/>
          <w:szCs w:val="23"/>
        </w:rPr>
      </w:pPr>
    </w:p>
    <w:p w14:paraId="118D6543" w14:textId="77777777" w:rsidR="00110916" w:rsidRPr="00507D25" w:rsidRDefault="00110916" w:rsidP="00110916">
      <w:pPr>
        <w:pStyle w:val="Default"/>
        <w:rPr>
          <w:rFonts w:asciiTheme="minorHAnsi" w:hAnsiTheme="minorHAnsi"/>
          <w:color w:val="auto"/>
          <w:szCs w:val="23"/>
        </w:rPr>
      </w:pPr>
      <w:r w:rsidRPr="00507D25">
        <w:rPr>
          <w:rFonts w:asciiTheme="minorHAnsi" w:hAnsiTheme="minorHAnsi"/>
          <w:color w:val="auto"/>
          <w:szCs w:val="23"/>
        </w:rPr>
        <w:t>8   Data management</w:t>
      </w:r>
    </w:p>
    <w:p w14:paraId="78727422" w14:textId="1C8982B2" w:rsidR="00110916" w:rsidRPr="00507D25" w:rsidRDefault="00110916" w:rsidP="00110916">
      <w:r w:rsidRPr="00507D25">
        <w:t xml:space="preserve">Confidentiality will be maintained to the extent required by law.  All clinical data </w:t>
      </w:r>
    </w:p>
    <w:p w14:paraId="59DE306A" w14:textId="6267A4DA" w:rsidR="00110916" w:rsidRPr="00507D25" w:rsidRDefault="00110916" w:rsidP="00110916">
      <w:r w:rsidRPr="00507D25">
        <w:t xml:space="preserve">will be collected on case report forms and will </w:t>
      </w:r>
      <w:r w:rsidR="0090651C">
        <w:t xml:space="preserve">also </w:t>
      </w:r>
      <w:r w:rsidRPr="00507D25">
        <w:t xml:space="preserve">be entered into a </w:t>
      </w:r>
    </w:p>
    <w:p w14:paraId="3BF43A49" w14:textId="3D2C3642" w:rsidR="00110916" w:rsidRPr="00507D25" w:rsidRDefault="00110916" w:rsidP="00110916">
      <w:r w:rsidRPr="00507D25">
        <w:t xml:space="preserve">password protected excel spreadsheet.  The spreadsheet will be kept on a </w:t>
      </w:r>
    </w:p>
    <w:p w14:paraId="236CCBF4" w14:textId="642A4D81" w:rsidR="00110916" w:rsidRPr="00507D25" w:rsidRDefault="00110916" w:rsidP="00110916">
      <w:r w:rsidRPr="00507D25">
        <w:t xml:space="preserve">desktop computer in the PIs office and will be backed up on the departmental </w:t>
      </w:r>
    </w:p>
    <w:p w14:paraId="1FD9036B" w14:textId="1045EFDC" w:rsidR="00110916" w:rsidRPr="0090651C" w:rsidRDefault="00110916" w:rsidP="00110916">
      <w:pPr>
        <w:pStyle w:val="Default"/>
        <w:rPr>
          <w:rFonts w:asciiTheme="minorHAnsi" w:hAnsiTheme="minorHAnsi"/>
          <w:color w:val="auto"/>
          <w:szCs w:val="23"/>
        </w:rPr>
      </w:pPr>
      <w:r w:rsidRPr="0090651C">
        <w:rPr>
          <w:rFonts w:asciiTheme="minorHAnsi" w:hAnsiTheme="minorHAnsi"/>
          <w:color w:val="auto"/>
        </w:rPr>
        <w:t>network drive.  Only study investigators will have access to the study data</w:t>
      </w:r>
      <w:r w:rsidR="0090651C" w:rsidRPr="0090651C">
        <w:rPr>
          <w:rFonts w:asciiTheme="minorHAnsi" w:hAnsiTheme="minorHAnsi"/>
          <w:color w:val="auto"/>
        </w:rPr>
        <w:t>.</w:t>
      </w:r>
    </w:p>
    <w:p w14:paraId="046F5B15" w14:textId="77777777" w:rsidR="00957FB9" w:rsidRPr="00507D25" w:rsidRDefault="00957FB9" w:rsidP="00957FB9"/>
    <w:p w14:paraId="3F05DD64" w14:textId="77777777" w:rsidR="00957FB9" w:rsidRPr="00507D25" w:rsidRDefault="00957FB9" w:rsidP="00957FB9"/>
    <w:p w14:paraId="3100CCFE" w14:textId="06C9B8ED" w:rsidR="00110916" w:rsidRPr="00507D25" w:rsidRDefault="00C11FED" w:rsidP="00957FB9">
      <w:r w:rsidRPr="00507D25">
        <w:t xml:space="preserve">9.  </w:t>
      </w:r>
      <w:r w:rsidR="00957FB9" w:rsidRPr="00507D25">
        <w:t>References</w:t>
      </w:r>
    </w:p>
    <w:p w14:paraId="06C4FC00" w14:textId="77777777" w:rsidR="00110916" w:rsidRPr="00507D25" w:rsidRDefault="00110916" w:rsidP="00110916">
      <w:pPr>
        <w:pStyle w:val="ListParagraph"/>
        <w:ind w:left="360"/>
      </w:pPr>
    </w:p>
    <w:p w14:paraId="4E0449AA" w14:textId="77777777" w:rsidR="00CC3583" w:rsidRPr="00507D25" w:rsidRDefault="00CC3583" w:rsidP="00CC3583">
      <w:pPr>
        <w:widowControl w:val="0"/>
        <w:autoSpaceDE w:val="0"/>
        <w:autoSpaceDN w:val="0"/>
        <w:adjustRightInd w:val="0"/>
        <w:rPr>
          <w:rFonts w:ascii="Cambria" w:hAnsi="Cambria" w:cs="Calibri"/>
        </w:rPr>
      </w:pPr>
      <w:r w:rsidRPr="00507D25">
        <w:rPr>
          <w:rFonts w:ascii="Cambria" w:hAnsi="Cambria" w:cs="Calibri"/>
        </w:rPr>
        <w:t xml:space="preserve">1. Sotello D, Rivas M, Mullkey Z, Nugent K. High-flow nasal cannula oxygen in adult patients: a narrative review. Am J Med Sci. 2015; 349 (2): 179-85. </w:t>
      </w:r>
    </w:p>
    <w:p w14:paraId="158AEB68" w14:textId="77777777" w:rsidR="00CC3583" w:rsidRPr="00507D25" w:rsidRDefault="00CC3583" w:rsidP="00CC3583">
      <w:pPr>
        <w:widowControl w:val="0"/>
        <w:autoSpaceDE w:val="0"/>
        <w:autoSpaceDN w:val="0"/>
        <w:adjustRightInd w:val="0"/>
        <w:rPr>
          <w:rFonts w:ascii="Cambria" w:hAnsi="Cambria" w:cs="Calibri"/>
        </w:rPr>
      </w:pPr>
    </w:p>
    <w:p w14:paraId="0D75B6CC" w14:textId="77777777" w:rsidR="00CC3583" w:rsidRPr="00507D25" w:rsidRDefault="00CC3583" w:rsidP="00CC3583">
      <w:pPr>
        <w:widowControl w:val="0"/>
        <w:autoSpaceDE w:val="0"/>
        <w:autoSpaceDN w:val="0"/>
        <w:adjustRightInd w:val="0"/>
        <w:rPr>
          <w:rFonts w:ascii="Cambria" w:hAnsi="Cambria" w:cs="Calibri"/>
        </w:rPr>
      </w:pPr>
      <w:r w:rsidRPr="00507D25">
        <w:rPr>
          <w:rFonts w:ascii="Cambria" w:hAnsi="Cambria" w:cs="Calibri"/>
        </w:rPr>
        <w:t xml:space="preserve">2. Bazuaye EA, Stone TN, Corris PA, Gibson GJ. Variability of inspired oxygen concentration with nasal cannulas. Thorax. 1992; 47 (8): 609-11. </w:t>
      </w:r>
    </w:p>
    <w:p w14:paraId="77F2648E" w14:textId="77777777" w:rsidR="00CC3583" w:rsidRPr="00507D25" w:rsidRDefault="00CC3583" w:rsidP="00CC3583">
      <w:pPr>
        <w:widowControl w:val="0"/>
        <w:autoSpaceDE w:val="0"/>
        <w:autoSpaceDN w:val="0"/>
        <w:adjustRightInd w:val="0"/>
        <w:rPr>
          <w:rFonts w:ascii="Cambria" w:hAnsi="Cambria" w:cs="Calibri"/>
        </w:rPr>
      </w:pPr>
    </w:p>
    <w:p w14:paraId="2908A17C" w14:textId="77777777" w:rsidR="00CC3583" w:rsidRPr="00507D25" w:rsidRDefault="00CC3583" w:rsidP="00CC3583">
      <w:pPr>
        <w:widowControl w:val="0"/>
        <w:autoSpaceDE w:val="0"/>
        <w:autoSpaceDN w:val="0"/>
        <w:adjustRightInd w:val="0"/>
        <w:rPr>
          <w:rFonts w:ascii="Cambria" w:hAnsi="Cambria" w:cs="Calibri"/>
        </w:rPr>
      </w:pPr>
      <w:r w:rsidRPr="00507D25">
        <w:rPr>
          <w:rFonts w:ascii="Cambria" w:hAnsi="Cambria" w:cs="Calibri"/>
        </w:rPr>
        <w:t xml:space="preserve">3. Tiep B, Barnett M. High flow nasal vs. high flow mask oxygen delivery: tracheal gas concentrations through a heat extension airway model (abstract). Respir Care. 2002; 47 (9): 1079. </w:t>
      </w:r>
    </w:p>
    <w:p w14:paraId="4B27DC4D" w14:textId="77777777" w:rsidR="00CC3583" w:rsidRPr="00507D25" w:rsidRDefault="00CC3583" w:rsidP="00CC3583">
      <w:pPr>
        <w:widowControl w:val="0"/>
        <w:autoSpaceDE w:val="0"/>
        <w:autoSpaceDN w:val="0"/>
        <w:adjustRightInd w:val="0"/>
        <w:rPr>
          <w:rFonts w:ascii="Cambria" w:hAnsi="Cambria" w:cs="Calibri"/>
        </w:rPr>
      </w:pPr>
    </w:p>
    <w:p w14:paraId="533B5009" w14:textId="77777777" w:rsidR="00CC3583" w:rsidRPr="00507D25" w:rsidRDefault="00CC3583" w:rsidP="00CC3583">
      <w:pPr>
        <w:rPr>
          <w:rFonts w:ascii="Cambria" w:hAnsi="Cambria" w:cs="Calibri"/>
        </w:rPr>
      </w:pPr>
      <w:r w:rsidRPr="00507D25">
        <w:rPr>
          <w:rFonts w:ascii="Cambria" w:hAnsi="Cambria" w:cs="Calibri"/>
        </w:rPr>
        <w:t>4. Groves N, Tobin A.  A High flow nasal oxygen generates positive airway pressure in adult volunteers. Aust Crit Care 2007;20(4):126-131.</w:t>
      </w:r>
    </w:p>
    <w:p w14:paraId="257A4FD9" w14:textId="77777777" w:rsidR="00CC3583" w:rsidRDefault="00CC3583"/>
    <w:sectPr w:rsidR="00CC3583" w:rsidSect="00E438D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0C8DA" w14:textId="77777777" w:rsidR="00390FFC" w:rsidRDefault="00390FFC">
      <w:r>
        <w:separator/>
      </w:r>
    </w:p>
  </w:endnote>
  <w:endnote w:type="continuationSeparator" w:id="0">
    <w:p w14:paraId="2B6AEFC5" w14:textId="77777777" w:rsidR="00390FFC" w:rsidRDefault="0039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B6E0B" w14:textId="77777777" w:rsidR="00390FFC" w:rsidRDefault="00390FFC">
      <w:r>
        <w:separator/>
      </w:r>
    </w:p>
  </w:footnote>
  <w:footnote w:type="continuationSeparator" w:id="0">
    <w:p w14:paraId="2897ABCE" w14:textId="77777777" w:rsidR="00390FFC" w:rsidRDefault="00390F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D14A2"/>
    <w:multiLevelType w:val="hybridMultilevel"/>
    <w:tmpl w:val="BC6AA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26C66"/>
    <w:multiLevelType w:val="hybridMultilevel"/>
    <w:tmpl w:val="18A6E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43983"/>
    <w:multiLevelType w:val="hybridMultilevel"/>
    <w:tmpl w:val="8EA6E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E3FEC"/>
    <w:multiLevelType w:val="hybridMultilevel"/>
    <w:tmpl w:val="18A6E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E1258"/>
    <w:multiLevelType w:val="hybridMultilevel"/>
    <w:tmpl w:val="8EA6E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A0E90"/>
    <w:multiLevelType w:val="hybridMultilevel"/>
    <w:tmpl w:val="77A0B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A52F6E"/>
    <w:multiLevelType w:val="hybridMultilevel"/>
    <w:tmpl w:val="8EA6E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2F6DB3"/>
    <w:multiLevelType w:val="hybridMultilevel"/>
    <w:tmpl w:val="18A6E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C600C"/>
    <w:multiLevelType w:val="hybridMultilevel"/>
    <w:tmpl w:val="8EA6E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1417E5"/>
    <w:multiLevelType w:val="multilevel"/>
    <w:tmpl w:val="E5F6C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8"/>
  </w:num>
  <w:num w:numId="4">
    <w:abstractNumId w:val="0"/>
  </w:num>
  <w:num w:numId="5">
    <w:abstractNumId w:val="7"/>
  </w:num>
  <w:num w:numId="6">
    <w:abstractNumId w:val="2"/>
  </w:num>
  <w:num w:numId="7">
    <w:abstractNumId w:val="5"/>
  </w:num>
  <w:num w:numId="8">
    <w:abstractNumId w:val="1"/>
  </w:num>
  <w:num w:numId="9">
    <w:abstractNumId w:val="4"/>
  </w:num>
  <w:num w:numId="10">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Rock">
    <w15:presenceInfo w15:providerId="Windows Live" w15:userId="9dc5a23e1a4e0b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16"/>
    <w:rsid w:val="00027082"/>
    <w:rsid w:val="000645E7"/>
    <w:rsid w:val="00082939"/>
    <w:rsid w:val="000849CF"/>
    <w:rsid w:val="00110916"/>
    <w:rsid w:val="0011113D"/>
    <w:rsid w:val="00150A70"/>
    <w:rsid w:val="00163CF4"/>
    <w:rsid w:val="00182DA9"/>
    <w:rsid w:val="001A77C8"/>
    <w:rsid w:val="001E3E7B"/>
    <w:rsid w:val="00243A89"/>
    <w:rsid w:val="002854B7"/>
    <w:rsid w:val="002874E0"/>
    <w:rsid w:val="002E09B6"/>
    <w:rsid w:val="002E654F"/>
    <w:rsid w:val="002F268B"/>
    <w:rsid w:val="00305F99"/>
    <w:rsid w:val="00357D9F"/>
    <w:rsid w:val="00371018"/>
    <w:rsid w:val="00385473"/>
    <w:rsid w:val="00390FFC"/>
    <w:rsid w:val="003A5E0B"/>
    <w:rsid w:val="003C2499"/>
    <w:rsid w:val="003C71A1"/>
    <w:rsid w:val="003D5896"/>
    <w:rsid w:val="003F5990"/>
    <w:rsid w:val="004251C4"/>
    <w:rsid w:val="004529B9"/>
    <w:rsid w:val="004C5132"/>
    <w:rsid w:val="004E5982"/>
    <w:rsid w:val="00504BDF"/>
    <w:rsid w:val="00507D25"/>
    <w:rsid w:val="00557DCD"/>
    <w:rsid w:val="005676EF"/>
    <w:rsid w:val="0059260E"/>
    <w:rsid w:val="005A741E"/>
    <w:rsid w:val="005E7490"/>
    <w:rsid w:val="0061452E"/>
    <w:rsid w:val="0063677E"/>
    <w:rsid w:val="006550F0"/>
    <w:rsid w:val="00657F1D"/>
    <w:rsid w:val="0069491B"/>
    <w:rsid w:val="006B4E63"/>
    <w:rsid w:val="006D6FA9"/>
    <w:rsid w:val="006E4AB6"/>
    <w:rsid w:val="006F372B"/>
    <w:rsid w:val="00704021"/>
    <w:rsid w:val="007927E7"/>
    <w:rsid w:val="007A6CC1"/>
    <w:rsid w:val="007E0A9A"/>
    <w:rsid w:val="008000B7"/>
    <w:rsid w:val="00850488"/>
    <w:rsid w:val="00881538"/>
    <w:rsid w:val="008D025A"/>
    <w:rsid w:val="008F0AB7"/>
    <w:rsid w:val="008F20B7"/>
    <w:rsid w:val="008F442C"/>
    <w:rsid w:val="00902C75"/>
    <w:rsid w:val="0090651C"/>
    <w:rsid w:val="00957FB9"/>
    <w:rsid w:val="00974357"/>
    <w:rsid w:val="00987907"/>
    <w:rsid w:val="00996DD2"/>
    <w:rsid w:val="009A0216"/>
    <w:rsid w:val="009B0C9D"/>
    <w:rsid w:val="00A338F8"/>
    <w:rsid w:val="00A66506"/>
    <w:rsid w:val="00A70CFB"/>
    <w:rsid w:val="00AF4E0A"/>
    <w:rsid w:val="00B10089"/>
    <w:rsid w:val="00B159CB"/>
    <w:rsid w:val="00B467F6"/>
    <w:rsid w:val="00B76594"/>
    <w:rsid w:val="00BA4827"/>
    <w:rsid w:val="00BD7316"/>
    <w:rsid w:val="00C0156D"/>
    <w:rsid w:val="00C11FED"/>
    <w:rsid w:val="00C83D1B"/>
    <w:rsid w:val="00C91BD5"/>
    <w:rsid w:val="00CB1DB6"/>
    <w:rsid w:val="00CC3583"/>
    <w:rsid w:val="00CC7D6F"/>
    <w:rsid w:val="00CE1AC4"/>
    <w:rsid w:val="00D55AEB"/>
    <w:rsid w:val="00DA66B3"/>
    <w:rsid w:val="00DD07CE"/>
    <w:rsid w:val="00DF031A"/>
    <w:rsid w:val="00E129B8"/>
    <w:rsid w:val="00E13CF8"/>
    <w:rsid w:val="00E14774"/>
    <w:rsid w:val="00E332EC"/>
    <w:rsid w:val="00E40DC7"/>
    <w:rsid w:val="00E438DF"/>
    <w:rsid w:val="00E44765"/>
    <w:rsid w:val="00E51679"/>
    <w:rsid w:val="00E762CF"/>
    <w:rsid w:val="00E85DAF"/>
    <w:rsid w:val="00E921C1"/>
    <w:rsid w:val="00EA6834"/>
    <w:rsid w:val="00ED2374"/>
    <w:rsid w:val="00F011C1"/>
    <w:rsid w:val="00F10A5A"/>
    <w:rsid w:val="00F1247E"/>
    <w:rsid w:val="00F14031"/>
    <w:rsid w:val="00F216DB"/>
    <w:rsid w:val="00F45847"/>
    <w:rsid w:val="00F5119A"/>
    <w:rsid w:val="00F65113"/>
    <w:rsid w:val="00F92A2B"/>
    <w:rsid w:val="00FE4907"/>
    <w:rsid w:val="00FE68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B8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916"/>
    <w:pPr>
      <w:ind w:left="720"/>
      <w:contextualSpacing/>
    </w:pPr>
  </w:style>
  <w:style w:type="paragraph" w:styleId="EndnoteText">
    <w:name w:val="endnote text"/>
    <w:basedOn w:val="Normal"/>
    <w:link w:val="EndnoteTextChar"/>
    <w:uiPriority w:val="99"/>
    <w:unhideWhenUsed/>
    <w:rsid w:val="00110916"/>
  </w:style>
  <w:style w:type="character" w:customStyle="1" w:styleId="EndnoteTextChar">
    <w:name w:val="Endnote Text Char"/>
    <w:basedOn w:val="DefaultParagraphFont"/>
    <w:link w:val="EndnoteText"/>
    <w:uiPriority w:val="99"/>
    <w:rsid w:val="00110916"/>
  </w:style>
  <w:style w:type="character" w:styleId="EndnoteReference">
    <w:name w:val="endnote reference"/>
    <w:basedOn w:val="DefaultParagraphFont"/>
    <w:uiPriority w:val="99"/>
    <w:semiHidden/>
    <w:unhideWhenUsed/>
    <w:rsid w:val="00110916"/>
    <w:rPr>
      <w:vertAlign w:val="superscript"/>
    </w:rPr>
  </w:style>
  <w:style w:type="paragraph" w:customStyle="1" w:styleId="Default">
    <w:name w:val="Default"/>
    <w:rsid w:val="00110916"/>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CC3583"/>
    <w:rPr>
      <w:color w:val="0000FF" w:themeColor="hyperlink"/>
      <w:u w:val="single"/>
    </w:rPr>
  </w:style>
  <w:style w:type="paragraph" w:styleId="BalloonText">
    <w:name w:val="Balloon Text"/>
    <w:basedOn w:val="Normal"/>
    <w:link w:val="BalloonTextChar"/>
    <w:uiPriority w:val="99"/>
    <w:semiHidden/>
    <w:unhideWhenUsed/>
    <w:rsid w:val="00F140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4031"/>
    <w:rPr>
      <w:rFonts w:ascii="Times New Roman" w:hAnsi="Times New Roman" w:cs="Times New Roman"/>
      <w:sz w:val="18"/>
      <w:szCs w:val="18"/>
    </w:rPr>
  </w:style>
  <w:style w:type="character" w:customStyle="1" w:styleId="printanswer">
    <w:name w:val="printanswer"/>
    <w:basedOn w:val="DefaultParagraphFont"/>
    <w:rsid w:val="006949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916"/>
    <w:pPr>
      <w:ind w:left="720"/>
      <w:contextualSpacing/>
    </w:pPr>
  </w:style>
  <w:style w:type="paragraph" w:styleId="EndnoteText">
    <w:name w:val="endnote text"/>
    <w:basedOn w:val="Normal"/>
    <w:link w:val="EndnoteTextChar"/>
    <w:uiPriority w:val="99"/>
    <w:unhideWhenUsed/>
    <w:rsid w:val="00110916"/>
  </w:style>
  <w:style w:type="character" w:customStyle="1" w:styleId="EndnoteTextChar">
    <w:name w:val="Endnote Text Char"/>
    <w:basedOn w:val="DefaultParagraphFont"/>
    <w:link w:val="EndnoteText"/>
    <w:uiPriority w:val="99"/>
    <w:rsid w:val="00110916"/>
  </w:style>
  <w:style w:type="character" w:styleId="EndnoteReference">
    <w:name w:val="endnote reference"/>
    <w:basedOn w:val="DefaultParagraphFont"/>
    <w:uiPriority w:val="99"/>
    <w:semiHidden/>
    <w:unhideWhenUsed/>
    <w:rsid w:val="00110916"/>
    <w:rPr>
      <w:vertAlign w:val="superscript"/>
    </w:rPr>
  </w:style>
  <w:style w:type="paragraph" w:customStyle="1" w:styleId="Default">
    <w:name w:val="Default"/>
    <w:rsid w:val="00110916"/>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CC3583"/>
    <w:rPr>
      <w:color w:val="0000FF" w:themeColor="hyperlink"/>
      <w:u w:val="single"/>
    </w:rPr>
  </w:style>
  <w:style w:type="paragraph" w:styleId="BalloonText">
    <w:name w:val="Balloon Text"/>
    <w:basedOn w:val="Normal"/>
    <w:link w:val="BalloonTextChar"/>
    <w:uiPriority w:val="99"/>
    <w:semiHidden/>
    <w:unhideWhenUsed/>
    <w:rsid w:val="00F140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4031"/>
    <w:rPr>
      <w:rFonts w:ascii="Times New Roman" w:hAnsi="Times New Roman" w:cs="Times New Roman"/>
      <w:sz w:val="18"/>
      <w:szCs w:val="18"/>
    </w:rPr>
  </w:style>
  <w:style w:type="character" w:customStyle="1" w:styleId="printanswer">
    <w:name w:val="printanswer"/>
    <w:basedOn w:val="DefaultParagraphFont"/>
    <w:rsid w:val="00694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880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azzeffi@anes.umm.edu"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7</Pages>
  <Words>1873</Words>
  <Characters>11332</Characters>
  <Application>Microsoft Macintosh Word</Application>
  <DocSecurity>0</DocSecurity>
  <Lines>182</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Mazzeffi</dc:creator>
  <cp:lastModifiedBy>Michael  Mazzeffi</cp:lastModifiedBy>
  <cp:revision>37</cp:revision>
  <dcterms:created xsi:type="dcterms:W3CDTF">2017-02-14T17:55:00Z</dcterms:created>
  <dcterms:modified xsi:type="dcterms:W3CDTF">2020-03-09T19:16:00Z</dcterms:modified>
</cp:coreProperties>
</file>