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F178D" w14:textId="03BBB758" w:rsidR="00637CC9" w:rsidRDefault="00A81AB1" w:rsidP="00637CC9">
      <w:pPr>
        <w:rPr>
          <w:sz w:val="24"/>
          <w:szCs w:val="24"/>
        </w:rPr>
      </w:pPr>
      <w:r>
        <w:rPr>
          <w:sz w:val="24"/>
          <w:szCs w:val="24"/>
        </w:rPr>
        <w:t>Supplemental Digital Content - Statistical Analysis Plan</w:t>
      </w:r>
    </w:p>
    <w:p w14:paraId="0CFD38F3" w14:textId="697E870F" w:rsidR="00A81AB1" w:rsidRDefault="00A81AB1" w:rsidP="00637CC9">
      <w:pPr>
        <w:rPr>
          <w:sz w:val="24"/>
          <w:szCs w:val="24"/>
        </w:rPr>
      </w:pPr>
    </w:p>
    <w:p w14:paraId="4593AF35" w14:textId="2BB39F25" w:rsidR="00A81AB1" w:rsidRPr="00A81AB1" w:rsidRDefault="00A81AB1" w:rsidP="00A81AB1">
      <w:pPr>
        <w:spacing w:line="240" w:lineRule="auto"/>
        <w:jc w:val="center"/>
        <w:rPr>
          <w:rFonts w:cstheme="minorHAnsi"/>
          <w:b/>
          <w:sz w:val="24"/>
          <w:szCs w:val="24"/>
        </w:rPr>
      </w:pPr>
      <w:r w:rsidRPr="00A81AB1">
        <w:rPr>
          <w:rFonts w:cstheme="minorHAnsi"/>
          <w:b/>
          <w:sz w:val="24"/>
          <w:szCs w:val="24"/>
        </w:rPr>
        <w:t xml:space="preserve">Statistical Analysis Plan for the study of </w:t>
      </w:r>
      <w:r w:rsidR="00440988">
        <w:rPr>
          <w:rFonts w:cstheme="minorHAnsi"/>
          <w:b/>
          <w:sz w:val="24"/>
          <w:szCs w:val="24"/>
        </w:rPr>
        <w:br/>
      </w:r>
      <w:r w:rsidRPr="00A81AB1">
        <w:rPr>
          <w:rFonts w:cstheme="minorHAnsi"/>
          <w:b/>
          <w:sz w:val="24"/>
          <w:szCs w:val="24"/>
        </w:rPr>
        <w:t>High flow nasal cannula oxygen in patients having anesthesia for GI endoscopy</w:t>
      </w:r>
    </w:p>
    <w:p w14:paraId="4DB56E80" w14:textId="77777777" w:rsidR="00A81AB1" w:rsidRPr="00A81AB1" w:rsidRDefault="00A81AB1" w:rsidP="00A81AB1">
      <w:pPr>
        <w:spacing w:line="240" w:lineRule="auto"/>
        <w:jc w:val="center"/>
        <w:rPr>
          <w:rFonts w:cstheme="minorHAnsi"/>
          <w:sz w:val="24"/>
          <w:szCs w:val="24"/>
        </w:rPr>
      </w:pPr>
    </w:p>
    <w:p w14:paraId="41D7BBC6" w14:textId="394622CB" w:rsidR="00A81AB1" w:rsidRPr="00A81AB1" w:rsidRDefault="00A81AB1" w:rsidP="00440988">
      <w:pPr>
        <w:spacing w:line="240" w:lineRule="auto"/>
        <w:ind w:firstLine="720"/>
        <w:rPr>
          <w:rFonts w:cstheme="minorHAnsi"/>
          <w:b/>
          <w:sz w:val="24"/>
          <w:szCs w:val="24"/>
        </w:rPr>
      </w:pPr>
      <w:r w:rsidRPr="00A81AB1">
        <w:rPr>
          <w:rFonts w:cstheme="minorHAnsi"/>
          <w:sz w:val="24"/>
          <w:szCs w:val="24"/>
        </w:rPr>
        <w:t xml:space="preserve">This document lays out the analysis plan we intend to use for the study </w:t>
      </w:r>
      <w:bookmarkStart w:id="0" w:name="_Toc345583299"/>
      <w:r w:rsidRPr="00A81AB1">
        <w:rPr>
          <w:rFonts w:cstheme="minorHAnsi"/>
          <w:sz w:val="24"/>
          <w:szCs w:val="24"/>
        </w:rPr>
        <w:t xml:space="preserve">of whether </w:t>
      </w:r>
      <w:proofErr w:type="spellStart"/>
      <w:r w:rsidRPr="00A81AB1">
        <w:rPr>
          <w:rFonts w:cstheme="minorHAnsi"/>
          <w:sz w:val="24"/>
          <w:szCs w:val="24"/>
        </w:rPr>
        <w:t>Vapotherm</w:t>
      </w:r>
      <w:proofErr w:type="spellEnd"/>
      <w:r w:rsidRPr="00A81AB1">
        <w:rPr>
          <w:rFonts w:cstheme="minorHAnsi"/>
          <w:sz w:val="24"/>
          <w:szCs w:val="24"/>
        </w:rPr>
        <w:t xml:space="preserve"> Precision Flow high flow nasal cannula oxygen systems (HIFLO</w:t>
      </w:r>
      <w:r w:rsidRPr="00A81AB1">
        <w:rPr>
          <w:rFonts w:cstheme="minorHAnsi"/>
          <w:b/>
          <w:sz w:val="24"/>
          <w:szCs w:val="24"/>
        </w:rPr>
        <w:t>)</w:t>
      </w:r>
      <w:r w:rsidRPr="00A81AB1">
        <w:rPr>
          <w:rFonts w:cstheme="minorHAnsi"/>
          <w:sz w:val="24"/>
          <w:szCs w:val="24"/>
        </w:rPr>
        <w:t xml:space="preserve"> will result in a lower rate of hypoxemia during anesthesia for GI endoscopy, compared with the standard therapy (ST). </w:t>
      </w:r>
    </w:p>
    <w:p w14:paraId="0C4B6E7A" w14:textId="77777777" w:rsidR="00A81AB1" w:rsidRPr="00A81AB1" w:rsidRDefault="00A81AB1" w:rsidP="00A81AB1">
      <w:pPr>
        <w:pStyle w:val="Heading2"/>
        <w:numPr>
          <w:ilvl w:val="0"/>
          <w:numId w:val="0"/>
        </w:numPr>
        <w:rPr>
          <w:rFonts w:asciiTheme="minorHAnsi" w:hAnsiTheme="minorHAnsi" w:cstheme="minorHAnsi"/>
          <w:szCs w:val="24"/>
        </w:rPr>
      </w:pPr>
      <w:r w:rsidRPr="00A81AB1">
        <w:rPr>
          <w:rFonts w:asciiTheme="minorHAnsi" w:hAnsiTheme="minorHAnsi" w:cstheme="minorHAnsi"/>
          <w:szCs w:val="24"/>
        </w:rPr>
        <w:t>1.0</w:t>
      </w:r>
      <w:r w:rsidRPr="00A81AB1">
        <w:rPr>
          <w:rFonts w:asciiTheme="minorHAnsi" w:hAnsiTheme="minorHAnsi" w:cstheme="minorHAnsi"/>
          <w:szCs w:val="24"/>
        </w:rPr>
        <w:tab/>
        <w:t>Brief description of the design of the study.</w:t>
      </w:r>
    </w:p>
    <w:bookmarkEnd w:id="0"/>
    <w:p w14:paraId="44DA061A" w14:textId="77777777" w:rsidR="00A81AB1" w:rsidRPr="00A81AB1" w:rsidRDefault="00A81AB1" w:rsidP="00A81AB1">
      <w:pPr>
        <w:spacing w:line="240" w:lineRule="auto"/>
        <w:ind w:firstLine="720"/>
        <w:rPr>
          <w:rFonts w:cstheme="minorHAnsi"/>
          <w:sz w:val="24"/>
          <w:szCs w:val="24"/>
        </w:rPr>
      </w:pPr>
      <w:r w:rsidRPr="00A81AB1">
        <w:rPr>
          <w:rFonts w:cstheme="minorHAnsi"/>
          <w:sz w:val="24"/>
          <w:szCs w:val="24"/>
        </w:rPr>
        <w:t xml:space="preserve">At the time of study enrollment, eligible patients were randomized to receive either </w:t>
      </w:r>
      <w:proofErr w:type="spellStart"/>
      <w:r w:rsidRPr="00A81AB1">
        <w:rPr>
          <w:rFonts w:cstheme="minorHAnsi"/>
          <w:sz w:val="24"/>
          <w:szCs w:val="24"/>
        </w:rPr>
        <w:t>Vapotherm</w:t>
      </w:r>
      <w:proofErr w:type="spellEnd"/>
      <w:r w:rsidRPr="00A81AB1">
        <w:rPr>
          <w:rFonts w:cstheme="minorHAnsi"/>
          <w:sz w:val="24"/>
          <w:szCs w:val="24"/>
        </w:rPr>
        <w:t xml:space="preserve"> Precision Flow or standard therapy. Random group assignment was made using permuted blocks of random size and random number generating software. Study outcomes were determined from electronic medical records by persons that were blinded to group assignment. The primary outcome was hypoxemia during anesthesia.  </w:t>
      </w:r>
    </w:p>
    <w:p w14:paraId="6C351A6A" w14:textId="22A136EA" w:rsidR="00A81AB1" w:rsidRPr="00A81AB1" w:rsidRDefault="00A81AB1" w:rsidP="00A81AB1">
      <w:pPr>
        <w:spacing w:line="240" w:lineRule="auto"/>
        <w:rPr>
          <w:rFonts w:cstheme="minorHAnsi"/>
          <w:b/>
          <w:sz w:val="24"/>
          <w:szCs w:val="24"/>
        </w:rPr>
      </w:pPr>
      <w:r w:rsidRPr="00A81AB1">
        <w:rPr>
          <w:rFonts w:cstheme="minorHAnsi"/>
          <w:b/>
          <w:sz w:val="24"/>
          <w:szCs w:val="24"/>
        </w:rPr>
        <w:t>2.0</w:t>
      </w:r>
      <w:r w:rsidR="00440988">
        <w:rPr>
          <w:rFonts w:cstheme="minorHAnsi"/>
          <w:b/>
          <w:sz w:val="24"/>
          <w:szCs w:val="24"/>
        </w:rPr>
        <w:tab/>
      </w:r>
      <w:r w:rsidRPr="00A81AB1">
        <w:rPr>
          <w:rFonts w:cstheme="minorHAnsi"/>
          <w:b/>
          <w:sz w:val="24"/>
          <w:szCs w:val="24"/>
        </w:rPr>
        <w:t>Statistical Test of the Primary Hypotheses.</w:t>
      </w:r>
    </w:p>
    <w:p w14:paraId="4A4FC751" w14:textId="5777DE20" w:rsidR="00A81AB1" w:rsidRPr="00A81AB1" w:rsidRDefault="00A81AB1" w:rsidP="00A81AB1">
      <w:pPr>
        <w:spacing w:line="240" w:lineRule="auto"/>
        <w:ind w:firstLine="720"/>
        <w:rPr>
          <w:rFonts w:cstheme="minorHAnsi"/>
          <w:sz w:val="24"/>
          <w:szCs w:val="24"/>
        </w:rPr>
      </w:pPr>
      <w:proofErr w:type="gramStart"/>
      <w:r w:rsidRPr="00A81AB1">
        <w:rPr>
          <w:rFonts w:cstheme="minorHAnsi"/>
          <w:b/>
          <w:sz w:val="24"/>
          <w:szCs w:val="24"/>
        </w:rPr>
        <w:t>2.1  Comparison</w:t>
      </w:r>
      <w:proofErr w:type="gramEnd"/>
      <w:r w:rsidRPr="00A81AB1">
        <w:rPr>
          <w:rFonts w:cstheme="minorHAnsi"/>
          <w:b/>
          <w:sz w:val="24"/>
          <w:szCs w:val="24"/>
        </w:rPr>
        <w:t xml:space="preserve"> of the groups.  </w:t>
      </w:r>
      <w:r w:rsidRPr="00A81AB1">
        <w:rPr>
          <w:rFonts w:cstheme="minorHAnsi"/>
          <w:sz w:val="24"/>
          <w:szCs w:val="24"/>
        </w:rPr>
        <w:t>The treatment groups will be compared at baseline with respect to age, sex, BMI, smoking history and medical history.</w:t>
      </w:r>
    </w:p>
    <w:p w14:paraId="61CB38EA" w14:textId="48452DEA" w:rsidR="00A81AB1" w:rsidRPr="00A81AB1" w:rsidRDefault="00A81AB1" w:rsidP="00A81AB1">
      <w:pPr>
        <w:spacing w:line="240" w:lineRule="auto"/>
        <w:ind w:firstLine="720"/>
        <w:rPr>
          <w:rFonts w:cstheme="minorHAnsi"/>
          <w:sz w:val="24"/>
          <w:szCs w:val="24"/>
        </w:rPr>
      </w:pPr>
      <w:r w:rsidRPr="00A81AB1">
        <w:rPr>
          <w:rFonts w:cstheme="minorHAnsi"/>
          <w:b/>
          <w:sz w:val="24"/>
          <w:szCs w:val="24"/>
        </w:rPr>
        <w:t xml:space="preserve">2.2 Primary Analysis. </w:t>
      </w:r>
      <w:r w:rsidRPr="00A81AB1">
        <w:rPr>
          <w:rFonts w:cstheme="minorHAnsi"/>
          <w:sz w:val="24"/>
          <w:szCs w:val="24"/>
        </w:rPr>
        <w:t xml:space="preserve">To estimate the risk of experiencing oxygen desaturation over time during the procedure, we will construct Kaplan-Meier curves separately in each group.  In these curves, the </w:t>
      </w:r>
      <w:proofErr w:type="gramStart"/>
      <w:r w:rsidRPr="00A81AB1">
        <w:rPr>
          <w:rFonts w:cstheme="minorHAnsi"/>
          <w:sz w:val="24"/>
          <w:szCs w:val="24"/>
        </w:rPr>
        <w:t>time-scale</w:t>
      </w:r>
      <w:proofErr w:type="gramEnd"/>
      <w:r w:rsidRPr="00A81AB1">
        <w:rPr>
          <w:rFonts w:cstheme="minorHAnsi"/>
          <w:sz w:val="24"/>
          <w:szCs w:val="24"/>
        </w:rPr>
        <w:t xml:space="preserve"> will be time since anesthesia start.  In constructing these curves, patients will be censored at the end of their anesthesia.  From these curves, we will estimate the risk of oxygen desaturation by any specified point in time, with confidence intervals calculated by Greenwood’s formula. The statistical significance of differences between the treatment groups will be determined using a log-rank test.</w:t>
      </w:r>
    </w:p>
    <w:p w14:paraId="3406F02C" w14:textId="0401C6A2" w:rsidR="00A81AB1" w:rsidRPr="00A81AB1" w:rsidRDefault="00A81AB1" w:rsidP="00440988">
      <w:pPr>
        <w:spacing w:line="240" w:lineRule="auto"/>
        <w:rPr>
          <w:rFonts w:cstheme="minorHAnsi"/>
          <w:b/>
          <w:sz w:val="24"/>
          <w:szCs w:val="24"/>
        </w:rPr>
      </w:pPr>
      <w:r w:rsidRPr="00A81AB1">
        <w:rPr>
          <w:rFonts w:cstheme="minorHAnsi"/>
          <w:b/>
          <w:sz w:val="24"/>
          <w:szCs w:val="24"/>
        </w:rPr>
        <w:t xml:space="preserve">3.0 </w:t>
      </w:r>
      <w:r w:rsidR="00440988">
        <w:rPr>
          <w:rFonts w:cstheme="minorHAnsi"/>
          <w:b/>
          <w:sz w:val="24"/>
          <w:szCs w:val="24"/>
        </w:rPr>
        <w:tab/>
      </w:r>
      <w:r w:rsidRPr="00A81AB1">
        <w:rPr>
          <w:rFonts w:cstheme="minorHAnsi"/>
          <w:b/>
          <w:sz w:val="24"/>
          <w:szCs w:val="24"/>
        </w:rPr>
        <w:t xml:space="preserve">Secondary Analyses </w:t>
      </w:r>
    </w:p>
    <w:p w14:paraId="5D686487" w14:textId="7AAFBAF3" w:rsidR="00A81AB1" w:rsidRPr="00A81AB1" w:rsidRDefault="00A81AB1" w:rsidP="00440988">
      <w:pPr>
        <w:spacing w:line="240" w:lineRule="auto"/>
        <w:rPr>
          <w:rFonts w:cstheme="minorHAnsi"/>
          <w:sz w:val="24"/>
          <w:szCs w:val="24"/>
        </w:rPr>
      </w:pPr>
      <w:r>
        <w:rPr>
          <w:rFonts w:cstheme="minorHAnsi"/>
          <w:b/>
          <w:sz w:val="24"/>
          <w:szCs w:val="24"/>
        </w:rPr>
        <w:tab/>
      </w:r>
      <w:r w:rsidRPr="00A81AB1">
        <w:rPr>
          <w:rFonts w:cstheme="minorHAnsi"/>
          <w:b/>
          <w:sz w:val="24"/>
          <w:szCs w:val="24"/>
        </w:rPr>
        <w:t xml:space="preserve">3.1 Secondary Outcome Variables.  </w:t>
      </w:r>
      <w:r w:rsidRPr="00A81AB1">
        <w:rPr>
          <w:rFonts w:cstheme="minorHAnsi"/>
          <w:sz w:val="24"/>
          <w:szCs w:val="24"/>
        </w:rPr>
        <w:t>Similar analyses will be performed to explore the impact of HIFLO vs ST on the following secondary outcomes:</w:t>
      </w:r>
    </w:p>
    <w:p w14:paraId="49347EFB" w14:textId="58E65398" w:rsidR="00A81AB1" w:rsidRPr="00A81AB1" w:rsidRDefault="00A81AB1" w:rsidP="00440988">
      <w:pPr>
        <w:spacing w:line="240" w:lineRule="auto"/>
        <w:ind w:left="1440"/>
        <w:rPr>
          <w:rFonts w:cstheme="minorHAnsi"/>
          <w:sz w:val="24"/>
          <w:szCs w:val="24"/>
        </w:rPr>
      </w:pPr>
      <w:r w:rsidRPr="00A81AB1">
        <w:rPr>
          <w:rFonts w:cstheme="minorHAnsi"/>
          <w:sz w:val="24"/>
          <w:szCs w:val="24"/>
        </w:rPr>
        <w:t>Hypercarbia</w:t>
      </w:r>
      <w:r w:rsidR="00440988">
        <w:rPr>
          <w:rFonts w:cstheme="minorHAnsi"/>
          <w:sz w:val="24"/>
          <w:szCs w:val="24"/>
        </w:rPr>
        <w:br/>
      </w:r>
      <w:r w:rsidRPr="00A81AB1">
        <w:rPr>
          <w:rFonts w:cstheme="minorHAnsi"/>
          <w:sz w:val="24"/>
          <w:szCs w:val="24"/>
        </w:rPr>
        <w:t>Hypotension</w:t>
      </w:r>
      <w:r w:rsidR="00440988">
        <w:rPr>
          <w:rFonts w:cstheme="minorHAnsi"/>
          <w:sz w:val="24"/>
          <w:szCs w:val="24"/>
        </w:rPr>
        <w:br/>
      </w:r>
      <w:r w:rsidRPr="00A81AB1">
        <w:rPr>
          <w:rFonts w:cstheme="minorHAnsi"/>
          <w:sz w:val="24"/>
          <w:szCs w:val="24"/>
        </w:rPr>
        <w:t>Rescue Intubation</w:t>
      </w:r>
    </w:p>
    <w:p w14:paraId="3A2F7F7C" w14:textId="56CED2BF" w:rsidR="00A81AB1" w:rsidRPr="00A81AB1" w:rsidRDefault="00A81AB1" w:rsidP="00440988">
      <w:pPr>
        <w:spacing w:line="240" w:lineRule="auto"/>
        <w:ind w:firstLine="720"/>
        <w:rPr>
          <w:rFonts w:cstheme="minorHAnsi"/>
          <w:sz w:val="24"/>
          <w:szCs w:val="24"/>
        </w:rPr>
      </w:pPr>
      <w:r w:rsidRPr="00A81AB1">
        <w:rPr>
          <w:rFonts w:cstheme="minorHAnsi"/>
          <w:b/>
          <w:sz w:val="24"/>
          <w:szCs w:val="24"/>
        </w:rPr>
        <w:t xml:space="preserve">3.2 Subgroup Analyses.  </w:t>
      </w:r>
      <w:r w:rsidRPr="00A81AB1">
        <w:rPr>
          <w:rFonts w:cstheme="minorHAnsi"/>
          <w:sz w:val="24"/>
          <w:szCs w:val="24"/>
        </w:rPr>
        <w:t>Similar analyses will be performed in the following</w:t>
      </w:r>
      <w:r>
        <w:rPr>
          <w:rFonts w:cstheme="minorHAnsi"/>
          <w:sz w:val="24"/>
          <w:szCs w:val="24"/>
        </w:rPr>
        <w:t xml:space="preserve"> </w:t>
      </w:r>
      <w:r w:rsidRPr="00A81AB1">
        <w:rPr>
          <w:rFonts w:cstheme="minorHAnsi"/>
          <w:sz w:val="24"/>
          <w:szCs w:val="24"/>
        </w:rPr>
        <w:t>subgroups:</w:t>
      </w:r>
    </w:p>
    <w:p w14:paraId="3A6497CC" w14:textId="4C2F9CC6" w:rsidR="00A81AB1" w:rsidRPr="00A81AB1" w:rsidRDefault="00A81AB1" w:rsidP="00440988">
      <w:pPr>
        <w:spacing w:line="240" w:lineRule="auto"/>
        <w:ind w:left="1440"/>
        <w:rPr>
          <w:rFonts w:cstheme="minorHAnsi"/>
          <w:sz w:val="24"/>
          <w:szCs w:val="24"/>
        </w:rPr>
      </w:pPr>
      <w:r w:rsidRPr="00A81AB1">
        <w:rPr>
          <w:rFonts w:cstheme="minorHAnsi"/>
          <w:sz w:val="24"/>
          <w:szCs w:val="24"/>
        </w:rPr>
        <w:t>Patients with chronic lung disease This include asthma, COPD, and interstitial lung disease</w:t>
      </w:r>
      <w:r w:rsidR="00440988">
        <w:rPr>
          <w:rFonts w:cstheme="minorHAnsi"/>
          <w:sz w:val="24"/>
          <w:szCs w:val="24"/>
        </w:rPr>
        <w:br/>
      </w:r>
      <w:r w:rsidRPr="00A81AB1">
        <w:rPr>
          <w:rFonts w:cstheme="minorHAnsi"/>
          <w:sz w:val="24"/>
          <w:szCs w:val="24"/>
        </w:rPr>
        <w:t>Obese patients (BMI&gt; or equal to 30)</w:t>
      </w:r>
    </w:p>
    <w:p w14:paraId="68EE4F0E" w14:textId="1DC47884" w:rsidR="00A81AB1" w:rsidRPr="00A81AB1" w:rsidRDefault="00A81AB1" w:rsidP="00440988">
      <w:pPr>
        <w:spacing w:line="240" w:lineRule="auto"/>
        <w:ind w:firstLine="720"/>
        <w:rPr>
          <w:rFonts w:cstheme="minorHAnsi"/>
          <w:sz w:val="24"/>
          <w:szCs w:val="24"/>
        </w:rPr>
      </w:pPr>
      <w:r w:rsidRPr="00A81AB1">
        <w:rPr>
          <w:rFonts w:cstheme="minorHAnsi"/>
          <w:b/>
          <w:sz w:val="24"/>
          <w:szCs w:val="24"/>
        </w:rPr>
        <w:lastRenderedPageBreak/>
        <w:t>3.3</w:t>
      </w:r>
      <w:r w:rsidR="00440988">
        <w:rPr>
          <w:rFonts w:cstheme="minorHAnsi"/>
          <w:b/>
          <w:sz w:val="24"/>
          <w:szCs w:val="24"/>
        </w:rPr>
        <w:t xml:space="preserve"> </w:t>
      </w:r>
      <w:r w:rsidRPr="00A81AB1">
        <w:rPr>
          <w:rFonts w:cstheme="minorHAnsi"/>
          <w:b/>
          <w:sz w:val="24"/>
          <w:szCs w:val="24"/>
        </w:rPr>
        <w:t xml:space="preserve">Other predictors of outcomes.  </w:t>
      </w:r>
      <w:r w:rsidRPr="00A81AB1">
        <w:rPr>
          <w:rFonts w:cstheme="minorHAnsi"/>
          <w:sz w:val="24"/>
          <w:szCs w:val="24"/>
        </w:rPr>
        <w:t>Using similar methods, we will analyze the impact of patient demographics and medical history on risk for hypoxia, hypercarbia, or hypotension.  Variables to consider will include age, sex, BMI smoking, and medical history.</w:t>
      </w:r>
    </w:p>
    <w:p w14:paraId="195BCD0A" w14:textId="1B946B44" w:rsidR="00A81AB1" w:rsidRPr="00A81AB1" w:rsidRDefault="00A81AB1" w:rsidP="00440988">
      <w:pPr>
        <w:spacing w:line="240" w:lineRule="auto"/>
        <w:ind w:firstLine="720"/>
        <w:rPr>
          <w:rFonts w:cstheme="minorHAnsi"/>
          <w:sz w:val="24"/>
          <w:szCs w:val="24"/>
        </w:rPr>
      </w:pPr>
      <w:r w:rsidRPr="00A81AB1">
        <w:rPr>
          <w:rFonts w:cstheme="minorHAnsi"/>
          <w:b/>
          <w:sz w:val="24"/>
          <w:szCs w:val="24"/>
        </w:rPr>
        <w:t>3.4</w:t>
      </w:r>
      <w:r w:rsidR="00440988">
        <w:rPr>
          <w:rFonts w:cstheme="minorHAnsi"/>
          <w:b/>
          <w:sz w:val="24"/>
          <w:szCs w:val="24"/>
        </w:rPr>
        <w:t xml:space="preserve"> </w:t>
      </w:r>
      <w:r w:rsidRPr="00A81AB1">
        <w:rPr>
          <w:rFonts w:cstheme="minorHAnsi"/>
          <w:b/>
          <w:sz w:val="24"/>
          <w:szCs w:val="24"/>
        </w:rPr>
        <w:t xml:space="preserve">Adjusted analysis of Primary Outcome.  </w:t>
      </w:r>
      <w:r w:rsidRPr="00A81AB1">
        <w:rPr>
          <w:rFonts w:cstheme="minorHAnsi"/>
          <w:sz w:val="24"/>
          <w:szCs w:val="24"/>
        </w:rPr>
        <w:t xml:space="preserve">If some of the patient characteristics are strongly predictive of hypoxia or the secondary outcomes, and the treatment groups are imbalanced with respect to these variables, we will estimate the impact of treatment on risk of outcomes adjusting for covariates, using a Cox model: </w:t>
      </w:r>
    </w:p>
    <w:p w14:paraId="068B2B27" w14:textId="15501AB3" w:rsidR="00A81AB1" w:rsidRPr="00A81AB1" w:rsidRDefault="00A81AB1" w:rsidP="00A81AB1">
      <w:pPr>
        <w:spacing w:line="240" w:lineRule="auto"/>
        <w:rPr>
          <w:rFonts w:cstheme="minorHAnsi"/>
          <w:sz w:val="24"/>
          <w:szCs w:val="24"/>
        </w:rPr>
      </w:pPr>
      <w:bookmarkStart w:id="1" w:name="_GoBack"/>
      <w:bookmarkEnd w:id="1"/>
      <w:r w:rsidRPr="00A81AB1">
        <w:rPr>
          <w:rFonts w:eastAsia="Times New Roman" w:cstheme="minorHAnsi"/>
          <w:bCs/>
          <w:sz w:val="24"/>
          <w:szCs w:val="24"/>
        </w:rPr>
        <w:t>Cox proportional hazards model</w:t>
      </w:r>
      <w:r w:rsidRPr="00A81AB1">
        <w:rPr>
          <w:rFonts w:cstheme="minorHAnsi"/>
          <w:sz w:val="24"/>
          <w:szCs w:val="24"/>
        </w:rPr>
        <w:t>:</w:t>
      </w:r>
    </w:p>
    <w:p w14:paraId="240326AD" w14:textId="77777777" w:rsidR="00A81AB1" w:rsidRPr="00A81AB1" w:rsidRDefault="00A81AB1" w:rsidP="00A81AB1">
      <w:pPr>
        <w:spacing w:line="240" w:lineRule="auto"/>
        <w:jc w:val="center"/>
        <w:rPr>
          <w:rFonts w:eastAsia="Times New Roman" w:cstheme="minorHAnsi"/>
          <w:sz w:val="24"/>
          <w:szCs w:val="24"/>
        </w:rPr>
      </w:pPr>
      <w:r w:rsidRPr="00A81AB1">
        <w:rPr>
          <w:rFonts w:eastAsia="Times New Roman" w:cstheme="minorHAnsi"/>
          <w:sz w:val="24"/>
          <w:szCs w:val="24"/>
          <w:bdr w:val="none" w:sz="0" w:space="0" w:color="auto" w:frame="1"/>
        </w:rPr>
        <w:t>h(t)=h0(t)exp(</w:t>
      </w:r>
      <w:r w:rsidRPr="00A81AB1">
        <w:rPr>
          <w:rFonts w:cstheme="minorHAnsi"/>
          <w:sz w:val="24"/>
          <w:szCs w:val="24"/>
        </w:rPr>
        <w:t>β</w:t>
      </w:r>
      <w:r w:rsidRPr="00A81AB1">
        <w:rPr>
          <w:rFonts w:cstheme="minorHAnsi"/>
          <w:sz w:val="24"/>
          <w:szCs w:val="24"/>
          <w:vertAlign w:val="subscript"/>
        </w:rPr>
        <w:t>1</w:t>
      </w:r>
      <w:r w:rsidRPr="00A81AB1">
        <w:rPr>
          <w:rFonts w:cstheme="minorHAnsi"/>
          <w:sz w:val="24"/>
          <w:szCs w:val="24"/>
        </w:rPr>
        <w:t>(</w:t>
      </w:r>
      <w:proofErr w:type="gramStart"/>
      <w:r w:rsidRPr="00A81AB1">
        <w:rPr>
          <w:rFonts w:cstheme="minorHAnsi"/>
          <w:sz w:val="24"/>
          <w:szCs w:val="24"/>
        </w:rPr>
        <w:t>HIFLO)  +</w:t>
      </w:r>
      <w:proofErr w:type="gramEnd"/>
      <w:r w:rsidRPr="00A81AB1">
        <w:rPr>
          <w:rFonts w:cstheme="minorHAnsi"/>
          <w:sz w:val="24"/>
          <w:szCs w:val="24"/>
        </w:rPr>
        <w:t xml:space="preserve"> β(Covariates)  </w:t>
      </w:r>
    </w:p>
    <w:p w14:paraId="27EF7478" w14:textId="77777777" w:rsidR="00A81AB1" w:rsidRPr="00A81AB1" w:rsidRDefault="00A81AB1" w:rsidP="00A81AB1">
      <w:pPr>
        <w:shd w:val="clear" w:color="auto" w:fill="FFFFFF"/>
        <w:spacing w:after="168" w:line="240" w:lineRule="auto"/>
        <w:jc w:val="both"/>
        <w:rPr>
          <w:rFonts w:eastAsia="Times New Roman" w:cstheme="minorHAnsi"/>
          <w:sz w:val="24"/>
          <w:szCs w:val="24"/>
        </w:rPr>
      </w:pPr>
      <w:r w:rsidRPr="00A81AB1">
        <w:rPr>
          <w:rFonts w:eastAsia="Times New Roman" w:cstheme="minorHAnsi"/>
          <w:sz w:val="24"/>
          <w:szCs w:val="24"/>
        </w:rPr>
        <w:t>where,</w:t>
      </w:r>
    </w:p>
    <w:p w14:paraId="2853ED39" w14:textId="77777777" w:rsidR="00A81AB1" w:rsidRPr="00A81AB1" w:rsidRDefault="00A81AB1" w:rsidP="00A81AB1">
      <w:pPr>
        <w:numPr>
          <w:ilvl w:val="0"/>
          <w:numId w:val="9"/>
        </w:numPr>
        <w:shd w:val="clear" w:color="auto" w:fill="FFFFFF"/>
        <w:spacing w:after="0" w:line="240" w:lineRule="auto"/>
        <w:ind w:left="450"/>
        <w:jc w:val="both"/>
        <w:rPr>
          <w:rFonts w:eastAsia="Times New Roman" w:cstheme="minorHAnsi"/>
          <w:sz w:val="24"/>
          <w:szCs w:val="24"/>
        </w:rPr>
      </w:pPr>
      <w:r w:rsidRPr="00A81AB1">
        <w:rPr>
          <w:rFonts w:eastAsia="Times New Roman" w:cstheme="minorHAnsi"/>
          <w:i/>
          <w:iCs/>
          <w:sz w:val="24"/>
          <w:szCs w:val="24"/>
        </w:rPr>
        <w:t>t</w:t>
      </w:r>
      <w:r w:rsidRPr="00A81AB1">
        <w:rPr>
          <w:rFonts w:eastAsia="Times New Roman" w:cstheme="minorHAnsi"/>
          <w:sz w:val="24"/>
          <w:szCs w:val="24"/>
        </w:rPr>
        <w:t> represents the survival time</w:t>
      </w:r>
    </w:p>
    <w:p w14:paraId="36C05E14" w14:textId="77777777" w:rsidR="00A81AB1" w:rsidRPr="00A81AB1" w:rsidRDefault="00A81AB1" w:rsidP="00A81AB1">
      <w:pPr>
        <w:numPr>
          <w:ilvl w:val="0"/>
          <w:numId w:val="9"/>
        </w:numPr>
        <w:shd w:val="clear" w:color="auto" w:fill="FFFFFF"/>
        <w:spacing w:after="0" w:line="240" w:lineRule="auto"/>
        <w:ind w:left="450"/>
        <w:jc w:val="both"/>
        <w:rPr>
          <w:rFonts w:eastAsia="Times New Roman" w:cstheme="minorHAnsi"/>
          <w:sz w:val="24"/>
          <w:szCs w:val="24"/>
        </w:rPr>
      </w:pPr>
      <w:r w:rsidRPr="00A81AB1">
        <w:rPr>
          <w:rFonts w:eastAsia="Times New Roman" w:cstheme="minorHAnsi"/>
          <w:sz w:val="24"/>
          <w:szCs w:val="24"/>
          <w:bdr w:val="none" w:sz="0" w:space="0" w:color="auto" w:frame="1"/>
        </w:rPr>
        <w:t>h(t)</w:t>
      </w:r>
      <w:r w:rsidRPr="00A81AB1">
        <w:rPr>
          <w:rFonts w:eastAsia="Times New Roman" w:cstheme="minorHAnsi"/>
          <w:sz w:val="24"/>
          <w:szCs w:val="24"/>
        </w:rPr>
        <w:t xml:space="preserve">is the hazard function determined by </w:t>
      </w:r>
      <w:r w:rsidRPr="00A81AB1">
        <w:rPr>
          <w:rFonts w:cstheme="minorHAnsi"/>
          <w:sz w:val="24"/>
          <w:szCs w:val="24"/>
        </w:rPr>
        <w:t>HIFLO</w:t>
      </w:r>
      <w:r w:rsidRPr="00A81AB1">
        <w:rPr>
          <w:rFonts w:eastAsia="Times New Roman" w:cstheme="minorHAnsi"/>
          <w:sz w:val="24"/>
          <w:szCs w:val="24"/>
        </w:rPr>
        <w:t xml:space="preserve"> and covariates</w:t>
      </w:r>
    </w:p>
    <w:p w14:paraId="0CE5EBDA" w14:textId="77777777" w:rsidR="00A81AB1" w:rsidRPr="00A81AB1" w:rsidRDefault="00A81AB1" w:rsidP="00A81AB1">
      <w:pPr>
        <w:numPr>
          <w:ilvl w:val="0"/>
          <w:numId w:val="9"/>
        </w:numPr>
        <w:shd w:val="clear" w:color="auto" w:fill="FFFFFF"/>
        <w:spacing w:after="0" w:line="240" w:lineRule="auto"/>
        <w:ind w:left="450"/>
        <w:jc w:val="both"/>
        <w:rPr>
          <w:rFonts w:eastAsia="Times New Roman" w:cstheme="minorHAnsi"/>
          <w:sz w:val="24"/>
          <w:szCs w:val="24"/>
        </w:rPr>
      </w:pPr>
      <w:r w:rsidRPr="00A81AB1">
        <w:rPr>
          <w:rFonts w:eastAsia="Times New Roman" w:cstheme="minorHAnsi"/>
          <w:sz w:val="24"/>
          <w:szCs w:val="24"/>
        </w:rPr>
        <w:t xml:space="preserve">the coefficient </w:t>
      </w:r>
      <w:r w:rsidRPr="00A81AB1">
        <w:rPr>
          <w:rFonts w:cstheme="minorHAnsi"/>
          <w:sz w:val="24"/>
          <w:szCs w:val="24"/>
        </w:rPr>
        <w:t>β</w:t>
      </w:r>
      <w:r w:rsidRPr="00A81AB1">
        <w:rPr>
          <w:rFonts w:cstheme="minorHAnsi"/>
          <w:sz w:val="24"/>
          <w:szCs w:val="24"/>
          <w:vertAlign w:val="subscript"/>
        </w:rPr>
        <w:t xml:space="preserve">1 </w:t>
      </w:r>
      <w:r w:rsidRPr="00A81AB1">
        <w:rPr>
          <w:rFonts w:eastAsia="Times New Roman" w:cstheme="minorHAnsi"/>
          <w:sz w:val="24"/>
          <w:szCs w:val="24"/>
        </w:rPr>
        <w:t xml:space="preserve">measure the impact (i.e., the effect size) of treatment HIFLO vs ST, while </w:t>
      </w:r>
      <w:r w:rsidRPr="00A81AB1">
        <w:rPr>
          <w:rFonts w:cstheme="minorHAnsi"/>
          <w:sz w:val="24"/>
          <w:szCs w:val="24"/>
        </w:rPr>
        <w:t>β</w:t>
      </w:r>
      <w:r w:rsidRPr="00A81AB1">
        <w:rPr>
          <w:rFonts w:cstheme="minorHAnsi"/>
          <w:sz w:val="24"/>
          <w:szCs w:val="24"/>
          <w:vertAlign w:val="subscript"/>
        </w:rPr>
        <w:t xml:space="preserve"> </w:t>
      </w:r>
      <w:r w:rsidRPr="00A81AB1">
        <w:rPr>
          <w:rFonts w:eastAsia="Times New Roman" w:cstheme="minorHAnsi"/>
          <w:sz w:val="24"/>
          <w:szCs w:val="24"/>
        </w:rPr>
        <w:t>stands for the impacts from the covariates</w:t>
      </w:r>
    </w:p>
    <w:p w14:paraId="6B95C1B7" w14:textId="77777777" w:rsidR="00A81AB1" w:rsidRPr="00A81AB1" w:rsidRDefault="00A81AB1" w:rsidP="00A81AB1">
      <w:pPr>
        <w:numPr>
          <w:ilvl w:val="0"/>
          <w:numId w:val="9"/>
        </w:numPr>
        <w:shd w:val="clear" w:color="auto" w:fill="FFFFFF"/>
        <w:spacing w:after="0" w:line="240" w:lineRule="auto"/>
        <w:ind w:left="450"/>
        <w:jc w:val="both"/>
        <w:rPr>
          <w:rFonts w:eastAsia="Times New Roman" w:cstheme="minorHAnsi"/>
          <w:sz w:val="24"/>
          <w:szCs w:val="24"/>
        </w:rPr>
      </w:pPr>
      <w:r w:rsidRPr="00A81AB1">
        <w:rPr>
          <w:rFonts w:eastAsia="Times New Roman" w:cstheme="minorHAnsi"/>
          <w:sz w:val="24"/>
          <w:szCs w:val="24"/>
        </w:rPr>
        <w:t>the term </w:t>
      </w:r>
      <w:r w:rsidRPr="00A81AB1">
        <w:rPr>
          <w:rFonts w:eastAsia="Times New Roman" w:cstheme="minorHAnsi"/>
          <w:sz w:val="24"/>
          <w:szCs w:val="24"/>
          <w:bdr w:val="none" w:sz="0" w:space="0" w:color="auto" w:frame="1"/>
        </w:rPr>
        <w:t>h0</w:t>
      </w:r>
      <w:r w:rsidRPr="00A81AB1">
        <w:rPr>
          <w:rFonts w:eastAsia="Times New Roman" w:cstheme="minorHAnsi"/>
          <w:sz w:val="24"/>
          <w:szCs w:val="24"/>
        </w:rPr>
        <w:t> is the baseline hazard</w:t>
      </w:r>
    </w:p>
    <w:p w14:paraId="6B357A2C" w14:textId="77777777" w:rsidR="00A81AB1" w:rsidRPr="00A81AB1" w:rsidRDefault="00A81AB1" w:rsidP="00A81AB1">
      <w:pPr>
        <w:spacing w:line="240" w:lineRule="auto"/>
        <w:rPr>
          <w:rFonts w:cstheme="minorHAnsi"/>
          <w:b/>
          <w:sz w:val="24"/>
          <w:szCs w:val="24"/>
        </w:rPr>
      </w:pPr>
    </w:p>
    <w:p w14:paraId="7D9CCB03" w14:textId="77777777" w:rsidR="00A81AB1" w:rsidRPr="00A81AB1" w:rsidRDefault="00A81AB1" w:rsidP="00A81AB1">
      <w:pPr>
        <w:spacing w:line="240" w:lineRule="auto"/>
        <w:rPr>
          <w:rFonts w:cstheme="minorHAnsi"/>
          <w:sz w:val="24"/>
          <w:szCs w:val="24"/>
        </w:rPr>
      </w:pPr>
      <w:r w:rsidRPr="00A81AB1">
        <w:rPr>
          <w:rFonts w:cstheme="minorHAnsi"/>
          <w:sz w:val="24"/>
          <w:szCs w:val="24"/>
        </w:rPr>
        <w:tab/>
      </w:r>
      <w:r w:rsidRPr="00A81AB1">
        <w:rPr>
          <w:rFonts w:cstheme="minorHAnsi"/>
          <w:b/>
          <w:sz w:val="24"/>
          <w:szCs w:val="24"/>
        </w:rPr>
        <w:t xml:space="preserve">2.4 Impact of Missing Outcomes.  </w:t>
      </w:r>
      <w:r w:rsidRPr="00A81AB1">
        <w:rPr>
          <w:rFonts w:cstheme="minorHAnsi"/>
          <w:sz w:val="24"/>
          <w:szCs w:val="24"/>
        </w:rPr>
        <w:t>Other than those who withdrew, there are no missing outcomes for the primary outcome (time to hypoxia) or hypotension.  There were 7 missing outcomes for our secondary outcome of hypercarbia (2.7%).  Considering the missing rate is very small, the analysis for the secondary outcome of hypercarbia will use the available data only.</w:t>
      </w:r>
    </w:p>
    <w:p w14:paraId="3098BEEF" w14:textId="77777777" w:rsidR="00A81AB1" w:rsidRPr="00A81AB1" w:rsidRDefault="00A81AB1">
      <w:pPr>
        <w:rPr>
          <w:rFonts w:cstheme="minorHAnsi"/>
          <w:sz w:val="24"/>
          <w:szCs w:val="24"/>
        </w:rPr>
      </w:pPr>
      <w:r w:rsidRPr="00A81AB1">
        <w:rPr>
          <w:rFonts w:cstheme="minorHAnsi"/>
          <w:sz w:val="24"/>
          <w:szCs w:val="24"/>
        </w:rPr>
        <w:br w:type="page"/>
      </w:r>
    </w:p>
    <w:p w14:paraId="6F5874D2" w14:textId="5A169D2D" w:rsidR="00637CC9" w:rsidRPr="00A81AB1" w:rsidRDefault="00637CC9" w:rsidP="00637CC9">
      <w:pPr>
        <w:rPr>
          <w:sz w:val="24"/>
          <w:szCs w:val="24"/>
        </w:rPr>
      </w:pPr>
      <w:r w:rsidRPr="00A81AB1">
        <w:rPr>
          <w:sz w:val="24"/>
          <w:szCs w:val="24"/>
        </w:rPr>
        <w:lastRenderedPageBreak/>
        <w:t>Supplementary Table 1. Patients who completed and did not</w:t>
      </w:r>
      <w:r w:rsidRPr="00A81AB1">
        <w:rPr>
          <w:sz w:val="24"/>
          <w:szCs w:val="24"/>
        </w:rPr>
        <w:t xml:space="preserve"> </w:t>
      </w:r>
      <w:r w:rsidRPr="00A81AB1">
        <w:rPr>
          <w:sz w:val="24"/>
          <w:szCs w:val="24"/>
        </w:rPr>
        <w:t>complete study procedures</w:t>
      </w:r>
    </w:p>
    <w:p w14:paraId="2F86A0C3" w14:textId="77777777" w:rsidR="00637CC9" w:rsidRPr="00A81AB1" w:rsidRDefault="00637CC9" w:rsidP="00637CC9">
      <w:pPr>
        <w:rPr>
          <w:sz w:val="24"/>
          <w:szCs w:val="24"/>
        </w:rPr>
      </w:pPr>
    </w:p>
    <w:tbl>
      <w:tblPr>
        <w:tblStyle w:val="TableGrid"/>
        <w:tblW w:w="9381" w:type="dxa"/>
        <w:tblLook w:val="04A0" w:firstRow="1" w:lastRow="0" w:firstColumn="1" w:lastColumn="0" w:noHBand="0" w:noVBand="1"/>
      </w:tblPr>
      <w:tblGrid>
        <w:gridCol w:w="3864"/>
        <w:gridCol w:w="2684"/>
        <w:gridCol w:w="2833"/>
      </w:tblGrid>
      <w:tr w:rsidR="00637CC9" w:rsidRPr="00A81AB1" w14:paraId="719E154C" w14:textId="77777777" w:rsidTr="00637CC9">
        <w:trPr>
          <w:trHeight w:val="1812"/>
        </w:trPr>
        <w:tc>
          <w:tcPr>
            <w:tcW w:w="3864" w:type="dxa"/>
          </w:tcPr>
          <w:p w14:paraId="5AD23813" w14:textId="77777777" w:rsidR="00637CC9" w:rsidRPr="00A81AB1" w:rsidRDefault="00637CC9" w:rsidP="00957B22">
            <w:r w:rsidRPr="00A81AB1">
              <w:t>Variable</w:t>
            </w:r>
          </w:p>
        </w:tc>
        <w:tc>
          <w:tcPr>
            <w:tcW w:w="2684" w:type="dxa"/>
          </w:tcPr>
          <w:p w14:paraId="4DBE0592" w14:textId="77777777" w:rsidR="00637CC9" w:rsidRPr="00A81AB1" w:rsidRDefault="00637CC9" w:rsidP="00957B22">
            <w:r w:rsidRPr="00A81AB1">
              <w:t>Completed study procedures</w:t>
            </w:r>
          </w:p>
          <w:p w14:paraId="0DE8959F" w14:textId="77777777" w:rsidR="00637CC9" w:rsidRPr="00A81AB1" w:rsidRDefault="00637CC9" w:rsidP="00957B22"/>
          <w:p w14:paraId="2EC0B799" w14:textId="77777777" w:rsidR="00637CC9" w:rsidRPr="00A81AB1" w:rsidRDefault="00637CC9" w:rsidP="00957B22">
            <w:r w:rsidRPr="00A81AB1">
              <w:t>N=262</w:t>
            </w:r>
          </w:p>
          <w:p w14:paraId="32504352" w14:textId="77777777" w:rsidR="00637CC9" w:rsidRPr="00A81AB1" w:rsidRDefault="00637CC9" w:rsidP="00957B22"/>
        </w:tc>
        <w:tc>
          <w:tcPr>
            <w:tcW w:w="2833" w:type="dxa"/>
          </w:tcPr>
          <w:p w14:paraId="4C33795B" w14:textId="77777777" w:rsidR="00637CC9" w:rsidRPr="00A81AB1" w:rsidRDefault="00637CC9" w:rsidP="00957B22">
            <w:r w:rsidRPr="00A81AB1">
              <w:t>Did not complete study procedures</w:t>
            </w:r>
          </w:p>
          <w:p w14:paraId="6DC3665B" w14:textId="77777777" w:rsidR="00637CC9" w:rsidRPr="00A81AB1" w:rsidRDefault="00637CC9" w:rsidP="00957B22"/>
          <w:p w14:paraId="7C3AAA24" w14:textId="77777777" w:rsidR="00637CC9" w:rsidRPr="00A81AB1" w:rsidRDefault="00637CC9" w:rsidP="00957B22">
            <w:r w:rsidRPr="00A81AB1">
              <w:t>N=9</w:t>
            </w:r>
          </w:p>
        </w:tc>
      </w:tr>
      <w:tr w:rsidR="00637CC9" w:rsidRPr="00A81AB1" w14:paraId="0C092A04" w14:textId="77777777" w:rsidTr="00637CC9">
        <w:trPr>
          <w:trHeight w:val="518"/>
        </w:trPr>
        <w:tc>
          <w:tcPr>
            <w:tcW w:w="3864" w:type="dxa"/>
          </w:tcPr>
          <w:p w14:paraId="58A3E5F1" w14:textId="77777777" w:rsidR="00637CC9" w:rsidRPr="00A81AB1" w:rsidRDefault="00637CC9" w:rsidP="00957B22">
            <w:r w:rsidRPr="00A81AB1">
              <w:t>Age, mean (</w:t>
            </w:r>
            <w:proofErr w:type="spellStart"/>
            <w:r w:rsidRPr="00A81AB1">
              <w:t>sd</w:t>
            </w:r>
            <w:proofErr w:type="spellEnd"/>
            <w:r w:rsidRPr="00A81AB1">
              <w:t>), years</w:t>
            </w:r>
          </w:p>
        </w:tc>
        <w:tc>
          <w:tcPr>
            <w:tcW w:w="2684" w:type="dxa"/>
          </w:tcPr>
          <w:p w14:paraId="22B92698" w14:textId="77777777" w:rsidR="00637CC9" w:rsidRPr="00A81AB1" w:rsidRDefault="00637CC9" w:rsidP="00957B22">
            <w:r w:rsidRPr="00A81AB1">
              <w:t>62 (14)</w:t>
            </w:r>
          </w:p>
        </w:tc>
        <w:tc>
          <w:tcPr>
            <w:tcW w:w="2833" w:type="dxa"/>
          </w:tcPr>
          <w:p w14:paraId="340A591B" w14:textId="77777777" w:rsidR="00637CC9" w:rsidRPr="00A81AB1" w:rsidRDefault="00637CC9" w:rsidP="00957B22">
            <w:r w:rsidRPr="00A81AB1">
              <w:t>68 (11)</w:t>
            </w:r>
          </w:p>
        </w:tc>
      </w:tr>
      <w:tr w:rsidR="00637CC9" w:rsidRPr="00A81AB1" w14:paraId="22BB3675" w14:textId="77777777" w:rsidTr="00637CC9">
        <w:trPr>
          <w:trHeight w:val="240"/>
        </w:trPr>
        <w:tc>
          <w:tcPr>
            <w:tcW w:w="3864" w:type="dxa"/>
          </w:tcPr>
          <w:p w14:paraId="569DA0B0" w14:textId="77777777" w:rsidR="00637CC9" w:rsidRPr="00A81AB1" w:rsidRDefault="00637CC9" w:rsidP="00957B22">
            <w:r w:rsidRPr="00A81AB1">
              <w:t>Sex, No. (%), male</w:t>
            </w:r>
          </w:p>
        </w:tc>
        <w:tc>
          <w:tcPr>
            <w:tcW w:w="2684" w:type="dxa"/>
          </w:tcPr>
          <w:p w14:paraId="782A537B" w14:textId="77777777" w:rsidR="00637CC9" w:rsidRPr="00A81AB1" w:rsidRDefault="00637CC9" w:rsidP="00957B22">
            <w:r w:rsidRPr="00A81AB1">
              <w:t>158 (60.3)</w:t>
            </w:r>
          </w:p>
        </w:tc>
        <w:tc>
          <w:tcPr>
            <w:tcW w:w="2833" w:type="dxa"/>
          </w:tcPr>
          <w:p w14:paraId="0AD183D5" w14:textId="77777777" w:rsidR="00637CC9" w:rsidRPr="00A81AB1" w:rsidRDefault="00637CC9" w:rsidP="00957B22">
            <w:r w:rsidRPr="00A81AB1">
              <w:t>7 (77.8)</w:t>
            </w:r>
          </w:p>
        </w:tc>
      </w:tr>
      <w:tr w:rsidR="00637CC9" w:rsidRPr="00A81AB1" w14:paraId="33BD3572" w14:textId="77777777" w:rsidTr="00637CC9">
        <w:trPr>
          <w:trHeight w:val="518"/>
        </w:trPr>
        <w:tc>
          <w:tcPr>
            <w:tcW w:w="3864" w:type="dxa"/>
          </w:tcPr>
          <w:p w14:paraId="0324E333" w14:textId="77777777" w:rsidR="00637CC9" w:rsidRPr="00A81AB1" w:rsidRDefault="00637CC9" w:rsidP="00957B22">
            <w:r w:rsidRPr="00A81AB1">
              <w:t>Body Mass Index, mean (</w:t>
            </w:r>
            <w:proofErr w:type="spellStart"/>
            <w:r w:rsidRPr="00A81AB1">
              <w:t>sd</w:t>
            </w:r>
            <w:proofErr w:type="spellEnd"/>
            <w:r w:rsidRPr="00A81AB1">
              <w:t>), kg/m</w:t>
            </w:r>
            <w:r w:rsidRPr="00A81AB1">
              <w:rPr>
                <w:vertAlign w:val="superscript"/>
              </w:rPr>
              <w:t>2</w:t>
            </w:r>
          </w:p>
        </w:tc>
        <w:tc>
          <w:tcPr>
            <w:tcW w:w="2684" w:type="dxa"/>
          </w:tcPr>
          <w:p w14:paraId="392CD3F3" w14:textId="77777777" w:rsidR="00637CC9" w:rsidRPr="00A81AB1" w:rsidRDefault="00637CC9" w:rsidP="00957B22">
            <w:r w:rsidRPr="00A81AB1">
              <w:t>28 (6)</w:t>
            </w:r>
          </w:p>
        </w:tc>
        <w:tc>
          <w:tcPr>
            <w:tcW w:w="2833" w:type="dxa"/>
          </w:tcPr>
          <w:p w14:paraId="07CBE281" w14:textId="77777777" w:rsidR="00637CC9" w:rsidRPr="00A81AB1" w:rsidRDefault="00637CC9" w:rsidP="00957B22">
            <w:r w:rsidRPr="00A81AB1">
              <w:t>27 (6)</w:t>
            </w:r>
          </w:p>
        </w:tc>
      </w:tr>
      <w:tr w:rsidR="00637CC9" w:rsidRPr="00A81AB1" w14:paraId="2F24DFD2" w14:textId="77777777" w:rsidTr="00637CC9">
        <w:trPr>
          <w:trHeight w:val="332"/>
        </w:trPr>
        <w:tc>
          <w:tcPr>
            <w:tcW w:w="3864" w:type="dxa"/>
          </w:tcPr>
          <w:p w14:paraId="7CB8344C" w14:textId="77777777" w:rsidR="00637CC9" w:rsidRPr="00A81AB1" w:rsidRDefault="00637CC9" w:rsidP="00957B22">
            <w:r w:rsidRPr="00A81AB1">
              <w:t>Hypertension, No. (%)</w:t>
            </w:r>
          </w:p>
        </w:tc>
        <w:tc>
          <w:tcPr>
            <w:tcW w:w="2684" w:type="dxa"/>
          </w:tcPr>
          <w:p w14:paraId="41BB384D" w14:textId="77777777" w:rsidR="00637CC9" w:rsidRPr="00A81AB1" w:rsidRDefault="00637CC9" w:rsidP="00957B22">
            <w:r w:rsidRPr="00A81AB1">
              <w:t>166 (63.3)</w:t>
            </w:r>
          </w:p>
        </w:tc>
        <w:tc>
          <w:tcPr>
            <w:tcW w:w="2833" w:type="dxa"/>
          </w:tcPr>
          <w:p w14:paraId="466BC301" w14:textId="77777777" w:rsidR="00637CC9" w:rsidRPr="00A81AB1" w:rsidRDefault="00637CC9" w:rsidP="00957B22">
            <w:r w:rsidRPr="00A81AB1">
              <w:t>8 (88.9)</w:t>
            </w:r>
          </w:p>
        </w:tc>
      </w:tr>
      <w:tr w:rsidR="00637CC9" w:rsidRPr="00A81AB1" w14:paraId="4ABEAB96" w14:textId="77777777" w:rsidTr="00637CC9">
        <w:trPr>
          <w:trHeight w:val="499"/>
        </w:trPr>
        <w:tc>
          <w:tcPr>
            <w:tcW w:w="3864" w:type="dxa"/>
          </w:tcPr>
          <w:p w14:paraId="34AB48B1" w14:textId="77777777" w:rsidR="00637CC9" w:rsidRPr="00A81AB1" w:rsidRDefault="00637CC9" w:rsidP="00957B22">
            <w:r w:rsidRPr="00A81AB1">
              <w:t>Diabetes mellitus, No. (%)</w:t>
            </w:r>
          </w:p>
        </w:tc>
        <w:tc>
          <w:tcPr>
            <w:tcW w:w="2684" w:type="dxa"/>
          </w:tcPr>
          <w:p w14:paraId="2A107A21" w14:textId="77777777" w:rsidR="00637CC9" w:rsidRPr="00A81AB1" w:rsidRDefault="00637CC9" w:rsidP="00957B22">
            <w:pPr>
              <w:rPr>
                <w:rFonts w:ascii="Cambria" w:hAnsi="Cambria"/>
              </w:rPr>
            </w:pPr>
            <w:r w:rsidRPr="00A81AB1">
              <w:rPr>
                <w:rFonts w:ascii="Cambria" w:hAnsi="Cambria"/>
              </w:rPr>
              <w:t>66 (25.2)</w:t>
            </w:r>
          </w:p>
        </w:tc>
        <w:tc>
          <w:tcPr>
            <w:tcW w:w="2833" w:type="dxa"/>
          </w:tcPr>
          <w:p w14:paraId="552A16EF" w14:textId="77777777" w:rsidR="00637CC9" w:rsidRPr="00A81AB1" w:rsidRDefault="00637CC9" w:rsidP="00957B22">
            <w:pPr>
              <w:rPr>
                <w:rFonts w:ascii="Cambria" w:hAnsi="Cambria"/>
              </w:rPr>
            </w:pPr>
            <w:r w:rsidRPr="00A81AB1">
              <w:rPr>
                <w:rFonts w:ascii="Cambria" w:hAnsi="Cambria"/>
              </w:rPr>
              <w:t>2 (22.2)</w:t>
            </w:r>
          </w:p>
        </w:tc>
      </w:tr>
      <w:tr w:rsidR="00637CC9" w:rsidRPr="00A81AB1" w14:paraId="389936E1" w14:textId="77777777" w:rsidTr="00637CC9">
        <w:trPr>
          <w:trHeight w:val="776"/>
        </w:trPr>
        <w:tc>
          <w:tcPr>
            <w:tcW w:w="3864" w:type="dxa"/>
          </w:tcPr>
          <w:p w14:paraId="0FC96E64" w14:textId="77777777" w:rsidR="00637CC9" w:rsidRPr="00A81AB1" w:rsidRDefault="00637CC9" w:rsidP="00957B22">
            <w:r w:rsidRPr="00A81AB1">
              <w:t>Prior cerebral vascular accident, No. (%)</w:t>
            </w:r>
          </w:p>
        </w:tc>
        <w:tc>
          <w:tcPr>
            <w:tcW w:w="2684" w:type="dxa"/>
          </w:tcPr>
          <w:p w14:paraId="3D9C9E16" w14:textId="77777777" w:rsidR="00637CC9" w:rsidRPr="00A81AB1" w:rsidRDefault="00637CC9" w:rsidP="00957B22">
            <w:r w:rsidRPr="00A81AB1">
              <w:t>20 (7.6)</w:t>
            </w:r>
          </w:p>
        </w:tc>
        <w:tc>
          <w:tcPr>
            <w:tcW w:w="2833" w:type="dxa"/>
          </w:tcPr>
          <w:p w14:paraId="3C698ED4" w14:textId="77777777" w:rsidR="00637CC9" w:rsidRPr="00A81AB1" w:rsidRDefault="00637CC9" w:rsidP="00957B22">
            <w:r w:rsidRPr="00A81AB1">
              <w:t>1 (11.1)</w:t>
            </w:r>
          </w:p>
        </w:tc>
      </w:tr>
      <w:tr w:rsidR="00637CC9" w:rsidRPr="00A81AB1" w14:paraId="3D834974" w14:textId="77777777" w:rsidTr="00637CC9">
        <w:trPr>
          <w:trHeight w:val="518"/>
        </w:trPr>
        <w:tc>
          <w:tcPr>
            <w:tcW w:w="3864" w:type="dxa"/>
          </w:tcPr>
          <w:p w14:paraId="68DB23BD" w14:textId="77777777" w:rsidR="00637CC9" w:rsidRPr="00A81AB1" w:rsidRDefault="00637CC9" w:rsidP="00957B22">
            <w:r w:rsidRPr="00A81AB1">
              <w:t>Peripheral vascular disease, No. (%)</w:t>
            </w:r>
          </w:p>
        </w:tc>
        <w:tc>
          <w:tcPr>
            <w:tcW w:w="2684" w:type="dxa"/>
          </w:tcPr>
          <w:p w14:paraId="39F6E6DF" w14:textId="77777777" w:rsidR="00637CC9" w:rsidRPr="00A81AB1" w:rsidRDefault="00637CC9" w:rsidP="00957B22">
            <w:r w:rsidRPr="00A81AB1">
              <w:t>3 (1.1)</w:t>
            </w:r>
          </w:p>
        </w:tc>
        <w:tc>
          <w:tcPr>
            <w:tcW w:w="2833" w:type="dxa"/>
          </w:tcPr>
          <w:p w14:paraId="5003D15A" w14:textId="77777777" w:rsidR="00637CC9" w:rsidRPr="00A81AB1" w:rsidRDefault="00637CC9" w:rsidP="00957B22">
            <w:r w:rsidRPr="00A81AB1">
              <w:t>0 (0)</w:t>
            </w:r>
          </w:p>
        </w:tc>
      </w:tr>
      <w:tr w:rsidR="00637CC9" w:rsidRPr="00A81AB1" w14:paraId="41ED06B2" w14:textId="77777777" w:rsidTr="00637CC9">
        <w:trPr>
          <w:trHeight w:val="499"/>
        </w:trPr>
        <w:tc>
          <w:tcPr>
            <w:tcW w:w="3864" w:type="dxa"/>
          </w:tcPr>
          <w:p w14:paraId="70A5C639" w14:textId="77777777" w:rsidR="00637CC9" w:rsidRPr="00A81AB1" w:rsidRDefault="00637CC9" w:rsidP="00957B22">
            <w:r w:rsidRPr="00A81AB1">
              <w:t>Congestive heart failure, No. (%)</w:t>
            </w:r>
          </w:p>
        </w:tc>
        <w:tc>
          <w:tcPr>
            <w:tcW w:w="2684" w:type="dxa"/>
          </w:tcPr>
          <w:p w14:paraId="22B265CE" w14:textId="77777777" w:rsidR="00637CC9" w:rsidRPr="00A81AB1" w:rsidRDefault="00637CC9" w:rsidP="00957B22">
            <w:r w:rsidRPr="00A81AB1">
              <w:t>6 (2.3)</w:t>
            </w:r>
          </w:p>
        </w:tc>
        <w:tc>
          <w:tcPr>
            <w:tcW w:w="2833" w:type="dxa"/>
          </w:tcPr>
          <w:p w14:paraId="30F8554C" w14:textId="77777777" w:rsidR="00637CC9" w:rsidRPr="00A81AB1" w:rsidRDefault="00637CC9" w:rsidP="00957B22">
            <w:r w:rsidRPr="00A81AB1">
              <w:t>2 (22.2)</w:t>
            </w:r>
          </w:p>
        </w:tc>
      </w:tr>
      <w:tr w:rsidR="00637CC9" w:rsidRPr="00A81AB1" w14:paraId="74DFBF9C" w14:textId="77777777" w:rsidTr="00637CC9">
        <w:trPr>
          <w:trHeight w:val="518"/>
        </w:trPr>
        <w:tc>
          <w:tcPr>
            <w:tcW w:w="3864" w:type="dxa"/>
          </w:tcPr>
          <w:p w14:paraId="3D26BC72" w14:textId="77777777" w:rsidR="00637CC9" w:rsidRPr="00A81AB1" w:rsidRDefault="00637CC9" w:rsidP="00957B22">
            <w:r w:rsidRPr="00A81AB1">
              <w:t>Coronary artery disease, No. (%)</w:t>
            </w:r>
          </w:p>
        </w:tc>
        <w:tc>
          <w:tcPr>
            <w:tcW w:w="2684" w:type="dxa"/>
          </w:tcPr>
          <w:p w14:paraId="12183CD4" w14:textId="77777777" w:rsidR="00637CC9" w:rsidRPr="00A81AB1" w:rsidRDefault="00637CC9" w:rsidP="00957B22">
            <w:r w:rsidRPr="00A81AB1">
              <w:t>38 (14.5)</w:t>
            </w:r>
          </w:p>
        </w:tc>
        <w:tc>
          <w:tcPr>
            <w:tcW w:w="2833" w:type="dxa"/>
          </w:tcPr>
          <w:p w14:paraId="46E25B92" w14:textId="77777777" w:rsidR="00637CC9" w:rsidRPr="00A81AB1" w:rsidRDefault="00637CC9" w:rsidP="00957B22">
            <w:r w:rsidRPr="00A81AB1">
              <w:t>2 (22.2)</w:t>
            </w:r>
          </w:p>
        </w:tc>
      </w:tr>
      <w:tr w:rsidR="00637CC9" w:rsidRPr="00A81AB1" w14:paraId="3C14CEBA" w14:textId="77777777" w:rsidTr="00637CC9">
        <w:trPr>
          <w:trHeight w:val="258"/>
        </w:trPr>
        <w:tc>
          <w:tcPr>
            <w:tcW w:w="3864" w:type="dxa"/>
          </w:tcPr>
          <w:p w14:paraId="46C6C021" w14:textId="77777777" w:rsidR="00637CC9" w:rsidRPr="00A81AB1" w:rsidRDefault="00637CC9" w:rsidP="00957B22">
            <w:r w:rsidRPr="00A81AB1">
              <w:t>Cancer, No. (%)</w:t>
            </w:r>
          </w:p>
        </w:tc>
        <w:tc>
          <w:tcPr>
            <w:tcW w:w="2684" w:type="dxa"/>
          </w:tcPr>
          <w:p w14:paraId="51C58096" w14:textId="77777777" w:rsidR="00637CC9" w:rsidRPr="00A81AB1" w:rsidRDefault="00637CC9" w:rsidP="00957B22">
            <w:r w:rsidRPr="00A81AB1">
              <w:t>82 (31.3)</w:t>
            </w:r>
          </w:p>
        </w:tc>
        <w:tc>
          <w:tcPr>
            <w:tcW w:w="2833" w:type="dxa"/>
          </w:tcPr>
          <w:p w14:paraId="20E2E917" w14:textId="77777777" w:rsidR="00637CC9" w:rsidRPr="00A81AB1" w:rsidRDefault="00637CC9" w:rsidP="00957B22">
            <w:r w:rsidRPr="00A81AB1">
              <w:t>4 (44.4)</w:t>
            </w:r>
          </w:p>
        </w:tc>
      </w:tr>
      <w:tr w:rsidR="00637CC9" w:rsidRPr="00A81AB1" w14:paraId="20B558C8" w14:textId="77777777" w:rsidTr="00637CC9">
        <w:trPr>
          <w:trHeight w:val="499"/>
        </w:trPr>
        <w:tc>
          <w:tcPr>
            <w:tcW w:w="3864" w:type="dxa"/>
          </w:tcPr>
          <w:p w14:paraId="054B9854" w14:textId="77777777" w:rsidR="00637CC9" w:rsidRPr="00A81AB1" w:rsidRDefault="00637CC9" w:rsidP="00957B22">
            <w:r w:rsidRPr="00A81AB1">
              <w:t>Obstructive sleep apnea, No. (%)</w:t>
            </w:r>
          </w:p>
        </w:tc>
        <w:tc>
          <w:tcPr>
            <w:tcW w:w="2684" w:type="dxa"/>
          </w:tcPr>
          <w:p w14:paraId="401F916D" w14:textId="77777777" w:rsidR="00637CC9" w:rsidRPr="00A81AB1" w:rsidRDefault="00637CC9" w:rsidP="00957B22">
            <w:r w:rsidRPr="00A81AB1">
              <w:t>32 (12.2)</w:t>
            </w:r>
          </w:p>
        </w:tc>
        <w:tc>
          <w:tcPr>
            <w:tcW w:w="2833" w:type="dxa"/>
          </w:tcPr>
          <w:p w14:paraId="161AE44F" w14:textId="77777777" w:rsidR="00637CC9" w:rsidRPr="00A81AB1" w:rsidRDefault="00637CC9" w:rsidP="00957B22">
            <w:r w:rsidRPr="00A81AB1">
              <w:t>2 (22.2)</w:t>
            </w:r>
          </w:p>
        </w:tc>
      </w:tr>
      <w:tr w:rsidR="00637CC9" w:rsidRPr="00A81AB1" w14:paraId="042DB9DF" w14:textId="77777777" w:rsidTr="00637CC9">
        <w:trPr>
          <w:trHeight w:val="258"/>
        </w:trPr>
        <w:tc>
          <w:tcPr>
            <w:tcW w:w="3864" w:type="dxa"/>
          </w:tcPr>
          <w:p w14:paraId="681BBF54" w14:textId="77777777" w:rsidR="00637CC9" w:rsidRPr="00A81AB1" w:rsidRDefault="00637CC9" w:rsidP="00957B22">
            <w:r w:rsidRPr="00A81AB1">
              <w:t>COPD, No. (%)</w:t>
            </w:r>
          </w:p>
        </w:tc>
        <w:tc>
          <w:tcPr>
            <w:tcW w:w="2684" w:type="dxa"/>
          </w:tcPr>
          <w:p w14:paraId="0B87EF15" w14:textId="77777777" w:rsidR="00637CC9" w:rsidRPr="00A81AB1" w:rsidRDefault="00637CC9" w:rsidP="00957B22">
            <w:r w:rsidRPr="00A81AB1">
              <w:t>20 (7.6)</w:t>
            </w:r>
          </w:p>
        </w:tc>
        <w:tc>
          <w:tcPr>
            <w:tcW w:w="2833" w:type="dxa"/>
          </w:tcPr>
          <w:p w14:paraId="78EBABE0" w14:textId="77777777" w:rsidR="00637CC9" w:rsidRPr="00A81AB1" w:rsidRDefault="00637CC9" w:rsidP="00957B22">
            <w:r w:rsidRPr="00A81AB1">
              <w:t>1 (11.1)</w:t>
            </w:r>
          </w:p>
        </w:tc>
      </w:tr>
      <w:tr w:rsidR="00637CC9" w:rsidRPr="00A81AB1" w14:paraId="6161A57C" w14:textId="77777777" w:rsidTr="00637CC9">
        <w:trPr>
          <w:trHeight w:val="240"/>
        </w:trPr>
        <w:tc>
          <w:tcPr>
            <w:tcW w:w="3864" w:type="dxa"/>
          </w:tcPr>
          <w:p w14:paraId="69405F79" w14:textId="77777777" w:rsidR="00637CC9" w:rsidRPr="00A81AB1" w:rsidRDefault="00637CC9" w:rsidP="00957B22">
            <w:r w:rsidRPr="00A81AB1">
              <w:t>Asthma, No. (%)</w:t>
            </w:r>
          </w:p>
        </w:tc>
        <w:tc>
          <w:tcPr>
            <w:tcW w:w="2684" w:type="dxa"/>
          </w:tcPr>
          <w:p w14:paraId="659B9F63" w14:textId="77777777" w:rsidR="00637CC9" w:rsidRPr="00A81AB1" w:rsidRDefault="00637CC9" w:rsidP="00957B22">
            <w:r w:rsidRPr="00A81AB1">
              <w:t>23 (8.8)</w:t>
            </w:r>
          </w:p>
        </w:tc>
        <w:tc>
          <w:tcPr>
            <w:tcW w:w="2833" w:type="dxa"/>
          </w:tcPr>
          <w:p w14:paraId="1E3E9187" w14:textId="77777777" w:rsidR="00637CC9" w:rsidRPr="00A81AB1" w:rsidRDefault="00637CC9" w:rsidP="00957B22">
            <w:r w:rsidRPr="00A81AB1">
              <w:t>1 (11.1)</w:t>
            </w:r>
          </w:p>
        </w:tc>
      </w:tr>
      <w:tr w:rsidR="00637CC9" w:rsidRPr="00A81AB1" w14:paraId="034C6D1A" w14:textId="77777777" w:rsidTr="00637CC9">
        <w:trPr>
          <w:trHeight w:val="518"/>
        </w:trPr>
        <w:tc>
          <w:tcPr>
            <w:tcW w:w="3864" w:type="dxa"/>
          </w:tcPr>
          <w:p w14:paraId="7A165DC9" w14:textId="77777777" w:rsidR="00637CC9" w:rsidRPr="00A81AB1" w:rsidRDefault="00637CC9" w:rsidP="00957B22">
            <w:r w:rsidRPr="00A81AB1">
              <w:t>Interstitial lung disease, No. (%)</w:t>
            </w:r>
          </w:p>
        </w:tc>
        <w:tc>
          <w:tcPr>
            <w:tcW w:w="2684" w:type="dxa"/>
          </w:tcPr>
          <w:p w14:paraId="4718DCC2" w14:textId="77777777" w:rsidR="00637CC9" w:rsidRPr="00A81AB1" w:rsidRDefault="00637CC9" w:rsidP="00957B22">
            <w:r w:rsidRPr="00A81AB1">
              <w:t>2 (0.7)</w:t>
            </w:r>
          </w:p>
        </w:tc>
        <w:tc>
          <w:tcPr>
            <w:tcW w:w="2833" w:type="dxa"/>
          </w:tcPr>
          <w:p w14:paraId="1FD9D851" w14:textId="77777777" w:rsidR="00637CC9" w:rsidRPr="00A81AB1" w:rsidRDefault="00637CC9" w:rsidP="00957B22">
            <w:r w:rsidRPr="00A81AB1">
              <w:t>0 (0)</w:t>
            </w:r>
          </w:p>
        </w:tc>
      </w:tr>
      <w:tr w:rsidR="00637CC9" w:rsidRPr="00A81AB1" w14:paraId="70652C4A" w14:textId="77777777" w:rsidTr="00637CC9">
        <w:trPr>
          <w:trHeight w:val="776"/>
        </w:trPr>
        <w:tc>
          <w:tcPr>
            <w:tcW w:w="3864" w:type="dxa"/>
          </w:tcPr>
          <w:p w14:paraId="26023179" w14:textId="77777777" w:rsidR="00637CC9" w:rsidRPr="00A81AB1" w:rsidRDefault="00637CC9" w:rsidP="00957B22">
            <w:r w:rsidRPr="00A81AB1">
              <w:t>Current or prior tobacco use, No. (%)</w:t>
            </w:r>
          </w:p>
        </w:tc>
        <w:tc>
          <w:tcPr>
            <w:tcW w:w="2684" w:type="dxa"/>
          </w:tcPr>
          <w:p w14:paraId="3D30BD2F" w14:textId="77777777" w:rsidR="00637CC9" w:rsidRPr="00A81AB1" w:rsidRDefault="00637CC9" w:rsidP="00957B22">
            <w:r w:rsidRPr="00A81AB1">
              <w:t>144 (55.0)</w:t>
            </w:r>
          </w:p>
        </w:tc>
        <w:tc>
          <w:tcPr>
            <w:tcW w:w="2833" w:type="dxa"/>
          </w:tcPr>
          <w:p w14:paraId="11D696D5" w14:textId="77777777" w:rsidR="00637CC9" w:rsidRPr="00A81AB1" w:rsidRDefault="00637CC9" w:rsidP="00957B22">
            <w:r w:rsidRPr="00A81AB1">
              <w:t>8 (88.9)</w:t>
            </w:r>
          </w:p>
        </w:tc>
      </w:tr>
      <w:tr w:rsidR="00637CC9" w:rsidRPr="00A81AB1" w14:paraId="77CD285F" w14:textId="77777777" w:rsidTr="00637CC9">
        <w:trPr>
          <w:trHeight w:val="758"/>
        </w:trPr>
        <w:tc>
          <w:tcPr>
            <w:tcW w:w="3864" w:type="dxa"/>
          </w:tcPr>
          <w:p w14:paraId="7460F496" w14:textId="77777777" w:rsidR="00637CC9" w:rsidRPr="00A81AB1" w:rsidRDefault="00637CC9" w:rsidP="00957B22">
            <w:r w:rsidRPr="00A81AB1">
              <w:t>Baseline SpO2, mean (</w:t>
            </w:r>
            <w:proofErr w:type="spellStart"/>
            <w:r w:rsidRPr="00A81AB1">
              <w:t>sd</w:t>
            </w:r>
            <w:proofErr w:type="spellEnd"/>
            <w:r w:rsidRPr="00A81AB1">
              <w:t>), (% saturation)</w:t>
            </w:r>
          </w:p>
        </w:tc>
        <w:tc>
          <w:tcPr>
            <w:tcW w:w="2684" w:type="dxa"/>
          </w:tcPr>
          <w:p w14:paraId="4694194D" w14:textId="77777777" w:rsidR="00637CC9" w:rsidRPr="00A81AB1" w:rsidRDefault="00637CC9" w:rsidP="00957B22">
            <w:r w:rsidRPr="00A81AB1">
              <w:t>97 (2)</w:t>
            </w:r>
          </w:p>
        </w:tc>
        <w:tc>
          <w:tcPr>
            <w:tcW w:w="2833" w:type="dxa"/>
          </w:tcPr>
          <w:p w14:paraId="3A9B6DB9" w14:textId="77777777" w:rsidR="00637CC9" w:rsidRPr="00A81AB1" w:rsidRDefault="00637CC9" w:rsidP="00957B22">
            <w:r w:rsidRPr="00A81AB1">
              <w:t>98 (2)</w:t>
            </w:r>
          </w:p>
        </w:tc>
      </w:tr>
      <w:tr w:rsidR="00637CC9" w:rsidRPr="00A81AB1" w14:paraId="4C8B494E" w14:textId="77777777" w:rsidTr="00637CC9">
        <w:trPr>
          <w:trHeight w:val="794"/>
        </w:trPr>
        <w:tc>
          <w:tcPr>
            <w:tcW w:w="3864" w:type="dxa"/>
          </w:tcPr>
          <w:p w14:paraId="1492C05F" w14:textId="77777777" w:rsidR="00637CC9" w:rsidRPr="00A81AB1" w:rsidRDefault="00637CC9" w:rsidP="00957B22">
            <w:r w:rsidRPr="00A81AB1">
              <w:t>Baseline mean arterial pressure, mean (</w:t>
            </w:r>
            <w:proofErr w:type="spellStart"/>
            <w:r w:rsidRPr="00A81AB1">
              <w:t>sd</w:t>
            </w:r>
            <w:proofErr w:type="spellEnd"/>
            <w:r w:rsidRPr="00A81AB1">
              <w:t>), mmHg</w:t>
            </w:r>
          </w:p>
        </w:tc>
        <w:tc>
          <w:tcPr>
            <w:tcW w:w="2684" w:type="dxa"/>
          </w:tcPr>
          <w:p w14:paraId="5CEAB9BA" w14:textId="77777777" w:rsidR="00637CC9" w:rsidRPr="00A81AB1" w:rsidRDefault="00637CC9" w:rsidP="00957B22">
            <w:r w:rsidRPr="00A81AB1">
              <w:t>100 (13)</w:t>
            </w:r>
          </w:p>
        </w:tc>
        <w:tc>
          <w:tcPr>
            <w:tcW w:w="2833" w:type="dxa"/>
          </w:tcPr>
          <w:p w14:paraId="33E3FDC5" w14:textId="77777777" w:rsidR="00637CC9" w:rsidRPr="00A81AB1" w:rsidRDefault="00637CC9" w:rsidP="00957B22">
            <w:r w:rsidRPr="00A81AB1">
              <w:t>102 (17)</w:t>
            </w:r>
          </w:p>
        </w:tc>
      </w:tr>
    </w:tbl>
    <w:p w14:paraId="16880DE7" w14:textId="77777777" w:rsidR="00637CC9" w:rsidRPr="00A81AB1" w:rsidRDefault="00637CC9" w:rsidP="00637CC9">
      <w:pPr>
        <w:rPr>
          <w:sz w:val="24"/>
          <w:szCs w:val="24"/>
        </w:rPr>
      </w:pPr>
      <w:r w:rsidRPr="00A81AB1">
        <w:rPr>
          <w:sz w:val="24"/>
          <w:szCs w:val="24"/>
        </w:rPr>
        <w:br/>
        <w:t>COPD=chronic obstructive pulmonary disease,</w:t>
      </w:r>
    </w:p>
    <w:p w14:paraId="3E1F83B7" w14:textId="5C3EA9C8" w:rsidR="00637CC9" w:rsidRPr="00A81AB1" w:rsidRDefault="00637CC9">
      <w:pPr>
        <w:rPr>
          <w:sz w:val="24"/>
          <w:szCs w:val="24"/>
        </w:rPr>
      </w:pPr>
    </w:p>
    <w:p w14:paraId="35D249FF" w14:textId="0A7B7AB7" w:rsidR="00637CC9" w:rsidRPr="00A81AB1" w:rsidRDefault="00637CC9" w:rsidP="00637CC9">
      <w:pPr>
        <w:rPr>
          <w:sz w:val="24"/>
          <w:szCs w:val="24"/>
        </w:rPr>
      </w:pPr>
      <w:r w:rsidRPr="00A81AB1">
        <w:rPr>
          <w:sz w:val="24"/>
          <w:szCs w:val="24"/>
        </w:rPr>
        <w:lastRenderedPageBreak/>
        <w:t xml:space="preserve">Supplementary Figure 1.  Panel A) </w:t>
      </w:r>
      <w:proofErr w:type="spellStart"/>
      <w:r w:rsidRPr="00A81AB1">
        <w:rPr>
          <w:sz w:val="24"/>
          <w:szCs w:val="24"/>
        </w:rPr>
        <w:t>Vapotherm</w:t>
      </w:r>
      <w:proofErr w:type="spellEnd"/>
      <w:r w:rsidRPr="00A81AB1">
        <w:rPr>
          <w:sz w:val="24"/>
          <w:szCs w:val="24"/>
        </w:rPr>
        <w:t xml:space="preserve"> Precision Flow® high flow nasal cannula oxygen delivery system control panel.  Panel B) </w:t>
      </w:r>
      <w:proofErr w:type="spellStart"/>
      <w:r w:rsidRPr="00A81AB1">
        <w:rPr>
          <w:sz w:val="24"/>
          <w:szCs w:val="24"/>
        </w:rPr>
        <w:t>Vapotherm</w:t>
      </w:r>
      <w:proofErr w:type="spellEnd"/>
      <w:r w:rsidRPr="00A81AB1">
        <w:rPr>
          <w:sz w:val="24"/>
          <w:szCs w:val="24"/>
        </w:rPr>
        <w:t xml:space="preserve"> Precision Flow® disposable circuit insert, nasal cannula, and gas connections.</w:t>
      </w:r>
    </w:p>
    <w:p w14:paraId="5F6D921A" w14:textId="3BF29DD4" w:rsidR="00637CC9" w:rsidRPr="00A81AB1" w:rsidRDefault="00637CC9" w:rsidP="00637CC9">
      <w:pPr>
        <w:rPr>
          <w:sz w:val="24"/>
          <w:szCs w:val="24"/>
        </w:rPr>
      </w:pPr>
    </w:p>
    <w:p w14:paraId="659DAC33" w14:textId="3CF3E89F" w:rsidR="00637CC9" w:rsidRPr="00A81AB1" w:rsidRDefault="00637CC9" w:rsidP="00637CC9">
      <w:pPr>
        <w:rPr>
          <w:sz w:val="24"/>
          <w:szCs w:val="24"/>
        </w:rPr>
      </w:pPr>
      <w:r w:rsidRPr="00A81AB1">
        <w:rPr>
          <w:noProof/>
          <w:sz w:val="24"/>
          <w:szCs w:val="24"/>
        </w:rPr>
        <w:drawing>
          <wp:inline distT="0" distB="0" distL="0" distR="0" wp14:anchorId="75E720C3" wp14:editId="66FE1837">
            <wp:extent cx="5937885" cy="28028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2802890"/>
                    </a:xfrm>
                    <a:prstGeom prst="rect">
                      <a:avLst/>
                    </a:prstGeom>
                    <a:noFill/>
                    <a:ln>
                      <a:noFill/>
                    </a:ln>
                  </pic:spPr>
                </pic:pic>
              </a:graphicData>
            </a:graphic>
          </wp:inline>
        </w:drawing>
      </w:r>
    </w:p>
    <w:p w14:paraId="1BC37575" w14:textId="77777777" w:rsidR="00637CC9" w:rsidRPr="00A81AB1" w:rsidRDefault="00637CC9">
      <w:pPr>
        <w:rPr>
          <w:sz w:val="24"/>
          <w:szCs w:val="24"/>
        </w:rPr>
      </w:pPr>
      <w:r w:rsidRPr="00A81AB1">
        <w:rPr>
          <w:sz w:val="24"/>
          <w:szCs w:val="24"/>
        </w:rPr>
        <w:br w:type="page"/>
      </w:r>
    </w:p>
    <w:p w14:paraId="098AE0D1" w14:textId="340260F6" w:rsidR="00637CC9" w:rsidRPr="00A81AB1" w:rsidRDefault="00637CC9" w:rsidP="00637CC9">
      <w:pPr>
        <w:rPr>
          <w:sz w:val="24"/>
          <w:szCs w:val="24"/>
        </w:rPr>
      </w:pPr>
      <w:r w:rsidRPr="00A81AB1">
        <w:rPr>
          <w:sz w:val="24"/>
          <w:szCs w:val="24"/>
        </w:rPr>
        <w:lastRenderedPageBreak/>
        <w:t xml:space="preserve">Supplementary Figure 2.  Lowest arterial oxygen saturation in patients with one or more hypoxemia events in the standard nasal cannula (SNC) oxygen and high flow nasal cannula (HFNC) oxygen groups.  The number of patients in each category are listed above each bar.  </w:t>
      </w:r>
    </w:p>
    <w:p w14:paraId="5A4E90A6" w14:textId="77777777" w:rsidR="00637CC9" w:rsidRPr="00A81AB1" w:rsidRDefault="00637CC9" w:rsidP="00637CC9">
      <w:pPr>
        <w:rPr>
          <w:sz w:val="24"/>
          <w:szCs w:val="24"/>
        </w:rPr>
      </w:pPr>
    </w:p>
    <w:p w14:paraId="39145131" w14:textId="04932327" w:rsidR="00637CC9" w:rsidRPr="00A81AB1" w:rsidRDefault="00637CC9" w:rsidP="00637CC9">
      <w:pPr>
        <w:rPr>
          <w:sz w:val="24"/>
          <w:szCs w:val="24"/>
        </w:rPr>
      </w:pPr>
      <w:r w:rsidRPr="00A81AB1">
        <w:rPr>
          <w:noProof/>
          <w:sz w:val="24"/>
          <w:szCs w:val="24"/>
        </w:rPr>
        <w:drawing>
          <wp:inline distT="0" distB="0" distL="0" distR="0" wp14:anchorId="122A0368" wp14:editId="1BE4CFBE">
            <wp:extent cx="5842660" cy="437183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7745" cy="4465431"/>
                    </a:xfrm>
                    <a:prstGeom prst="rect">
                      <a:avLst/>
                    </a:prstGeom>
                    <a:noFill/>
                    <a:ln>
                      <a:noFill/>
                    </a:ln>
                  </pic:spPr>
                </pic:pic>
              </a:graphicData>
            </a:graphic>
          </wp:inline>
        </w:drawing>
      </w:r>
    </w:p>
    <w:p w14:paraId="6BA53517" w14:textId="77777777" w:rsidR="00637CC9" w:rsidRPr="00A81AB1" w:rsidRDefault="00637CC9" w:rsidP="00637CC9">
      <w:pPr>
        <w:rPr>
          <w:sz w:val="24"/>
          <w:szCs w:val="24"/>
        </w:rPr>
      </w:pPr>
    </w:p>
    <w:p w14:paraId="2FDF5E96" w14:textId="1310193F" w:rsidR="0038646A" w:rsidRPr="00A81AB1" w:rsidRDefault="00637CC9" w:rsidP="00637CC9">
      <w:pPr>
        <w:rPr>
          <w:sz w:val="24"/>
          <w:szCs w:val="24"/>
        </w:rPr>
      </w:pPr>
      <w:r w:rsidRPr="00A81AB1">
        <w:rPr>
          <w:sz w:val="24"/>
          <w:szCs w:val="24"/>
        </w:rPr>
        <w:t>*87 patients in the SNC group and 104 patients in the HFNC group did not have a hypoxemia event.</w:t>
      </w:r>
    </w:p>
    <w:sectPr w:rsidR="0038646A" w:rsidRPr="00A81A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0D14A2"/>
    <w:multiLevelType w:val="hybridMultilevel"/>
    <w:tmpl w:val="BC6AAB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626C66"/>
    <w:multiLevelType w:val="hybridMultilevel"/>
    <w:tmpl w:val="18A6E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6E3FEC"/>
    <w:multiLevelType w:val="hybridMultilevel"/>
    <w:tmpl w:val="18A6E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CA0E90"/>
    <w:multiLevelType w:val="hybridMultilevel"/>
    <w:tmpl w:val="77A0B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A52F6E"/>
    <w:multiLevelType w:val="hybridMultilevel"/>
    <w:tmpl w:val="8EA6ED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551910"/>
    <w:multiLevelType w:val="hybridMultilevel"/>
    <w:tmpl w:val="477A6424"/>
    <w:lvl w:ilvl="0" w:tplc="ADE6C8DC">
      <w:start w:val="1"/>
      <w:numFmt w:val="decimal"/>
      <w:pStyle w:val="Heading1"/>
      <w:lvlText w:val="%1."/>
      <w:lvlJc w:val="left"/>
      <w:pPr>
        <w:ind w:left="1620" w:hanging="360"/>
      </w:pPr>
      <w:rPr>
        <w:rFonts w:cs="Times New Roman" w:hint="default"/>
      </w:rPr>
    </w:lvl>
    <w:lvl w:ilvl="1" w:tplc="5016E9DA">
      <w:start w:val="1"/>
      <w:numFmt w:val="lowerLetter"/>
      <w:pStyle w:val="Heading2"/>
      <w:lvlText w:val="%2."/>
      <w:lvlJc w:val="left"/>
      <w:pPr>
        <w:ind w:left="2430" w:hanging="360"/>
      </w:pPr>
      <w:rPr>
        <w:rFonts w:cs="Times New Roman"/>
      </w:rPr>
    </w:lvl>
    <w:lvl w:ilvl="2" w:tplc="3F32F028">
      <w:start w:val="1"/>
      <w:numFmt w:val="lowerRoman"/>
      <w:pStyle w:val="Heading3"/>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7A5C600C"/>
    <w:multiLevelType w:val="hybridMultilevel"/>
    <w:tmpl w:val="8EA6ED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B142EE"/>
    <w:multiLevelType w:val="multilevel"/>
    <w:tmpl w:val="AC74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1417E5"/>
    <w:multiLevelType w:val="multilevel"/>
    <w:tmpl w:val="E5F6CF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
  </w:num>
  <w:num w:numId="3">
    <w:abstractNumId w:val="6"/>
  </w:num>
  <w:num w:numId="4">
    <w:abstractNumId w:val="0"/>
  </w:num>
  <w:num w:numId="5">
    <w:abstractNumId w:val="3"/>
  </w:num>
  <w:num w:numId="6">
    <w:abstractNumId w:val="1"/>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CC9"/>
    <w:rsid w:val="0038646A"/>
    <w:rsid w:val="00440988"/>
    <w:rsid w:val="00637CC9"/>
    <w:rsid w:val="00A81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5FA36"/>
  <w15:chartTrackingRefBased/>
  <w15:docId w15:val="{DDAD20C4-3BB8-4468-B33C-C3778C9A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qFormat/>
    <w:rsid w:val="00A81AB1"/>
    <w:pPr>
      <w:numPr>
        <w:numId w:val="8"/>
      </w:numPr>
      <w:spacing w:after="240"/>
      <w:ind w:left="360"/>
      <w:outlineLvl w:val="0"/>
    </w:pPr>
    <w:rPr>
      <w:rFonts w:ascii="Arial" w:eastAsia="Calibri" w:hAnsi="Arial" w:cs="Arial"/>
      <w:b/>
      <w:szCs w:val="28"/>
      <w:lang w:eastAsia="en-US"/>
    </w:rPr>
  </w:style>
  <w:style w:type="paragraph" w:styleId="Heading2">
    <w:name w:val="heading 2"/>
    <w:basedOn w:val="Heading1"/>
    <w:next w:val="Normal"/>
    <w:link w:val="Heading2Char"/>
    <w:uiPriority w:val="99"/>
    <w:qFormat/>
    <w:rsid w:val="00A81AB1"/>
    <w:pPr>
      <w:numPr>
        <w:ilvl w:val="1"/>
      </w:numPr>
      <w:outlineLvl w:val="1"/>
    </w:pPr>
  </w:style>
  <w:style w:type="paragraph" w:styleId="Heading3">
    <w:name w:val="heading 3"/>
    <w:basedOn w:val="ListParagraph"/>
    <w:next w:val="Normal"/>
    <w:link w:val="Heading3Char"/>
    <w:unhideWhenUsed/>
    <w:qFormat/>
    <w:rsid w:val="00A81AB1"/>
    <w:pPr>
      <w:numPr>
        <w:ilvl w:val="2"/>
        <w:numId w:val="8"/>
      </w:numPr>
      <w:spacing w:after="240"/>
      <w:ind w:left="1627" w:hanging="187"/>
      <w:outlineLvl w:val="2"/>
    </w:pPr>
    <w:rPr>
      <w:rFonts w:ascii="Arial" w:eastAsia="Calibri" w:hAnsi="Arial" w:cs="Arial"/>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7CC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B1"/>
    <w:pPr>
      <w:spacing w:after="0" w:line="240" w:lineRule="auto"/>
      <w:ind w:left="720"/>
      <w:contextualSpacing/>
    </w:pPr>
    <w:rPr>
      <w:rFonts w:eastAsiaTheme="minorEastAsia"/>
      <w:sz w:val="24"/>
      <w:szCs w:val="24"/>
      <w:lang w:eastAsia="ja-JP"/>
    </w:rPr>
  </w:style>
  <w:style w:type="paragraph" w:customStyle="1" w:styleId="Default">
    <w:name w:val="Default"/>
    <w:rsid w:val="00A81AB1"/>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character" w:styleId="Hyperlink">
    <w:name w:val="Hyperlink"/>
    <w:basedOn w:val="DefaultParagraphFont"/>
    <w:uiPriority w:val="99"/>
    <w:unhideWhenUsed/>
    <w:rsid w:val="00A81AB1"/>
    <w:rPr>
      <w:color w:val="0563C1" w:themeColor="hyperlink"/>
      <w:u w:val="single"/>
    </w:rPr>
  </w:style>
  <w:style w:type="character" w:customStyle="1" w:styleId="Heading1Char">
    <w:name w:val="Heading 1 Char"/>
    <w:basedOn w:val="DefaultParagraphFont"/>
    <w:link w:val="Heading1"/>
    <w:rsid w:val="00A81AB1"/>
    <w:rPr>
      <w:rFonts w:ascii="Arial" w:eastAsia="Calibri" w:hAnsi="Arial" w:cs="Arial"/>
      <w:b/>
      <w:sz w:val="24"/>
      <w:szCs w:val="28"/>
    </w:rPr>
  </w:style>
  <w:style w:type="character" w:customStyle="1" w:styleId="Heading2Char">
    <w:name w:val="Heading 2 Char"/>
    <w:basedOn w:val="DefaultParagraphFont"/>
    <w:link w:val="Heading2"/>
    <w:uiPriority w:val="99"/>
    <w:rsid w:val="00A81AB1"/>
    <w:rPr>
      <w:rFonts w:ascii="Arial" w:eastAsia="Calibri" w:hAnsi="Arial" w:cs="Arial"/>
      <w:b/>
      <w:sz w:val="24"/>
      <w:szCs w:val="28"/>
    </w:rPr>
  </w:style>
  <w:style w:type="character" w:customStyle="1" w:styleId="Heading3Char">
    <w:name w:val="Heading 3 Char"/>
    <w:basedOn w:val="DefaultParagraphFont"/>
    <w:link w:val="Heading3"/>
    <w:rsid w:val="00A81AB1"/>
    <w:rPr>
      <w:rFonts w:ascii="Arial" w:eastAsia="Calibri"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Peeples</dc:creator>
  <cp:keywords/>
  <dc:description/>
  <cp:lastModifiedBy>Justin Peeples</cp:lastModifiedBy>
  <cp:revision>1</cp:revision>
  <dcterms:created xsi:type="dcterms:W3CDTF">2020-03-30T17:13:00Z</dcterms:created>
  <dcterms:modified xsi:type="dcterms:W3CDTF">2020-03-30T17:38:00Z</dcterms:modified>
</cp:coreProperties>
</file>