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9" w:tblpY="1664"/>
        <w:tblOverlap w:val="never"/>
        <w:tblW w:w="867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409"/>
        <w:gridCol w:w="1332"/>
        <w:gridCol w:w="2188"/>
        <w:gridCol w:w="12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Characteristics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or </w:t>
            </w:r>
            <w:r>
              <w:rPr>
                <w:sz w:val="24"/>
                <w:szCs w:val="24"/>
              </w:rPr>
              <w:t>Variables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Diprospan group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N=48)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group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N=48)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i w:val="0"/>
                <w:iCs/>
                <w:sz w:val="24"/>
                <w:szCs w:val="24"/>
              </w:rPr>
              <w:t>Absolute standardized difference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Times New Roman" w:hAnsi="Times New Roman" w:eastAsia="宋体" w:cs="Times New Roman"/>
                <w:i w:val="0"/>
                <w:iCs/>
                <w:sz w:val="24"/>
                <w:szCs w:val="24"/>
                <w:lang w:val="en-US" w:eastAsia="zh-CN" w:bidi="ar-SA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rFonts w:hint="eastAsia"/>
                <w:i/>
                <w:sz w:val="24"/>
                <w:szCs w:val="24"/>
                <w:lang w:val="en-US" w:eastAsia="zh-CN"/>
              </w:rPr>
              <w:t>-</w:t>
            </w:r>
            <w:r>
              <w:rPr>
                <w:sz w:val="24"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Pathology type of tumor (n [%])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Astrocytoma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(8.3)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(16.7)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Abs. diff. (%):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-8.4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Oligodendroglioma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(16.7)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(12.5)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Abs. diff. (%):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4.2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Glioblastoma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(8.3)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(12.5)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Abs. diff. (%):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-4.2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Meningoma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(45.8)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(41.7)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Abs. diff. (%):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4.1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Metastasis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(2.1)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(2.1)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Abs. diff. (%):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(18.8)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(14.6)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Abs. diff. (%):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4.2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35" w:type="dxa"/>
            <w:vAlign w:val="top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Duration of surgery (min)</w:t>
            </w:r>
          </w:p>
        </w:tc>
        <w:tc>
          <w:tcPr>
            <w:tcW w:w="1409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232.2±12.1</w:t>
            </w:r>
          </w:p>
        </w:tc>
        <w:tc>
          <w:tcPr>
            <w:tcW w:w="1332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218.6±12.5</w:t>
            </w:r>
          </w:p>
        </w:tc>
        <w:tc>
          <w:tcPr>
            <w:tcW w:w="2188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Mean diff. = 14.4</w:t>
            </w: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0.438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35" w:type="dxa"/>
            <w:vAlign w:val="top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Time to extubation (min)</w:t>
            </w:r>
          </w:p>
        </w:tc>
        <w:tc>
          <w:tcPr>
            <w:tcW w:w="1409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22.6±1.5</w:t>
            </w:r>
          </w:p>
        </w:tc>
        <w:tc>
          <w:tcPr>
            <w:tcW w:w="1332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21.4±1.8</w:t>
            </w:r>
          </w:p>
        </w:tc>
        <w:tc>
          <w:tcPr>
            <w:tcW w:w="2188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Mean diff. = 1.2</w:t>
            </w: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0.600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535" w:type="dxa"/>
            <w:vAlign w:val="top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Volume of local infiltration solution (ml)</w:t>
            </w:r>
          </w:p>
        </w:tc>
        <w:tc>
          <w:tcPr>
            <w:tcW w:w="1409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1.9±0.4</w:t>
            </w:r>
          </w:p>
        </w:tc>
        <w:tc>
          <w:tcPr>
            <w:tcW w:w="1332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2.5±0.4</w:t>
            </w:r>
          </w:p>
        </w:tc>
        <w:tc>
          <w:tcPr>
            <w:tcW w:w="2188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Mean diff. = -0.6</w:t>
            </w: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0.271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535" w:type="dxa"/>
            <w:vAlign w:val="top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The total amount of sufentanil consumption (μg) in surgery</w:t>
            </w:r>
          </w:p>
        </w:tc>
        <w:tc>
          <w:tcPr>
            <w:tcW w:w="1409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36.9±0.8</w:t>
            </w:r>
          </w:p>
        </w:tc>
        <w:tc>
          <w:tcPr>
            <w:tcW w:w="1332" w:type="dxa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36.3±0.9</w:t>
            </w:r>
          </w:p>
        </w:tc>
        <w:tc>
          <w:tcPr>
            <w:tcW w:w="2188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Mean diff. = 0.6</w:t>
            </w:r>
          </w:p>
        </w:tc>
        <w:tc>
          <w:tcPr>
            <w:tcW w:w="1213" w:type="dxa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0.629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total amount of remifentanil consumption (μg/kg/h) 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8.2±0.3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11.6±0.6</w:t>
            </w:r>
          </w:p>
        </w:tc>
        <w:tc>
          <w:tcPr>
            <w:tcW w:w="21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Mean diff. =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-3.4</w:t>
            </w:r>
          </w:p>
        </w:tc>
        <w:tc>
          <w:tcPr>
            <w:tcW w:w="12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</w:tr>
    </w:tbl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Values are presented as mean ± standard deviation </w:t>
      </w:r>
      <w:r>
        <w:rPr>
          <w:rFonts w:hint="eastAsia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ontinuous data or number (%) for 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ategorical data;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Diprospan group: ropivacaine plus diprospan group; Control group: ropivacaine alone group. </w:t>
      </w:r>
    </w:p>
    <w:p>
      <w:bookmarkStart w:id="0" w:name="_GoBack"/>
      <w:bookmarkEnd w:id="0"/>
      <w:r>
        <w:rPr>
          <w:rFonts w:hint="eastAsia"/>
          <w:sz w:val="24"/>
          <w:szCs w:val="24"/>
          <w:vertAlign w:val="superscript"/>
          <w:lang w:val="en-US" w:eastAsia="zh-CN"/>
        </w:rPr>
        <w:t xml:space="preserve">* </w:t>
      </w:r>
      <w:r>
        <w:rPr>
          <w:rFonts w:hint="eastAsia"/>
          <w:sz w:val="24"/>
          <w:szCs w:val="24"/>
          <w:vertAlign w:val="baseline"/>
          <w:lang w:val="en-US" w:eastAsia="zh-CN"/>
        </w:rPr>
        <w:t>two independent samples t-test</w:t>
      </w:r>
      <w:r>
        <w:rPr>
          <w:rFonts w:hint="eastAsia"/>
          <w:sz w:val="24"/>
          <w:szCs w:val="24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A52DD"/>
    <w:rsid w:val="1105757F"/>
    <w:rsid w:val="211365C1"/>
    <w:rsid w:val="4DAA52DD"/>
    <w:rsid w:val="5B5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2021-12-09T01:20:00Z</dcterms:created>
  <dc:creator>雪野</dc:creator>
  <cp:lastModifiedBy>雪野</cp:lastModifiedBy>
  <dcterms:modified xsi:type="dcterms:W3CDTF">2021-12-09T04:13:44Z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D7A1FB646AC647B7B72D2768A8E4AD41</vt:lpwstr>
  </property>
</Properties>
</file>