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7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1517"/>
        <w:gridCol w:w="1351"/>
        <w:gridCol w:w="1832"/>
        <w:gridCol w:w="10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Variables</w:t>
            </w:r>
          </w:p>
        </w:tc>
        <w:tc>
          <w:tcPr>
            <w:tcW w:w="15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Diprospan group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N=48)</w:t>
            </w: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grou</w:t>
            </w:r>
            <w:r>
              <w:rPr>
                <w:rFonts w:hint="eastAsia"/>
                <w:sz w:val="24"/>
                <w:szCs w:val="24"/>
              </w:rPr>
              <w:t>p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N=48)</w:t>
            </w:r>
          </w:p>
        </w:tc>
        <w:tc>
          <w:tcPr>
            <w:tcW w:w="18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i w:val="0"/>
                <w:iCs/>
                <w:sz w:val="24"/>
                <w:szCs w:val="24"/>
              </w:rPr>
              <w:t>Mean difference or RR (estimate 95%CI)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48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Wound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Healing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Score (n [%])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48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weeks 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.608</w:t>
            </w:r>
            <w:r>
              <w:rPr>
                <w:rFonts w:hint="eastAsia"/>
                <w:sz w:val="24"/>
                <w:szCs w:val="24"/>
                <w:vertAlign w:val="superscript"/>
                <w:lang w:val="en-US" w:eastAsia="zh-CN"/>
              </w:rPr>
              <w:t>#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(29.1)</w:t>
            </w: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(22.9)</w:t>
            </w: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ood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 (56.3)</w:t>
            </w: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(62.5)</w:t>
            </w: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suboptimal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(14.7)</w:t>
            </w: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(14.7)</w:t>
            </w: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48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weeks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.916</w:t>
            </w:r>
            <w:r>
              <w:rPr>
                <w:rFonts w:hint="eastAsia"/>
                <w:sz w:val="24"/>
                <w:szCs w:val="24"/>
                <w:vertAlign w:val="superscript"/>
                <w:lang w:val="en-US" w:eastAsia="zh-CN"/>
              </w:rPr>
              <w:t>#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 (56.3)</w:t>
            </w: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 (58.3)</w:t>
            </w: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ood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 (39.6)</w:t>
            </w: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 (35.4)</w:t>
            </w: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suboptimal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(4.2)</w:t>
            </w: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(6.3)</w:t>
            </w:r>
          </w:p>
        </w:tc>
        <w:tc>
          <w:tcPr>
            <w:tcW w:w="183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Values presented as median and interquartile range (25 %, 75 %)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Diprospan group: ropivacaine plus diprospan group; Control group: ropivacaine alone group</w:t>
      </w:r>
      <w:r>
        <w:rPr>
          <w:rFonts w:hint="eastAsia"/>
          <w:sz w:val="24"/>
          <w:szCs w:val="24"/>
          <w:lang w:val="en-US" w:eastAsia="zh-CN"/>
        </w:rPr>
        <w:t>.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0DA0"/>
    <w:rsid w:val="2AF80DA0"/>
    <w:rsid w:val="3D4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2021-12-09T01:51:00Z</dcterms:created>
  <dc:creator>雪野</dc:creator>
  <cp:lastModifiedBy>雪野</cp:lastModifiedBy>
  <dcterms:modified xsi:type="dcterms:W3CDTF">2021-12-09T04:19:25Z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66936A9EADC243BCB4D24F93BD045529</vt:lpwstr>
  </property>
</Properties>
</file>