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B2B6" w14:textId="77777777" w:rsidR="00552E7D" w:rsidRDefault="00552E7D"/>
    <w:p w14:paraId="7161BD5A" w14:textId="77777777" w:rsidR="00552E7D" w:rsidRDefault="00552E7D"/>
    <w:p w14:paraId="1306F69C" w14:textId="77777777" w:rsidR="00552E7D" w:rsidRDefault="00552E7D"/>
    <w:p w14:paraId="722C371A" w14:textId="77777777" w:rsidR="00552E7D" w:rsidRDefault="00552E7D"/>
    <w:p w14:paraId="412C5992" w14:textId="77777777" w:rsidR="00552E7D" w:rsidRDefault="00552E7D"/>
    <w:p w14:paraId="066228A6" w14:textId="3B599C7B" w:rsidR="00552E7D" w:rsidRDefault="00552E7D">
      <w:pPr>
        <w:rPr>
          <w:b/>
          <w:bCs/>
        </w:rPr>
      </w:pPr>
      <w:r w:rsidRPr="00552E7D">
        <w:rPr>
          <w:b/>
          <w:bCs/>
        </w:rPr>
        <w:t xml:space="preserve">Supplemental Content 1. </w:t>
      </w:r>
    </w:p>
    <w:p w14:paraId="77D4FA84" w14:textId="77777777" w:rsidR="00552E7D" w:rsidRPr="00552E7D" w:rsidRDefault="00552E7D">
      <w:pPr>
        <w:rPr>
          <w:b/>
          <w:bCs/>
        </w:rPr>
      </w:pPr>
    </w:p>
    <w:p w14:paraId="5EB833C4" w14:textId="77777777" w:rsidR="00552E7D" w:rsidRPr="00552E7D" w:rsidRDefault="00552E7D">
      <w:pPr>
        <w:rPr>
          <w:b/>
          <w:bCs/>
        </w:rPr>
      </w:pPr>
    </w:p>
    <w:p w14:paraId="5BDAFDB6" w14:textId="78286F41" w:rsidR="00552E7D" w:rsidRDefault="00552E7D" w:rsidP="00552E7D">
      <w:pPr>
        <w:rPr>
          <w:b/>
          <w:bCs/>
          <w:u w:val="single"/>
        </w:rPr>
      </w:pPr>
      <w:r w:rsidRPr="00552E7D">
        <w:rPr>
          <w:b/>
          <w:bCs/>
          <w:u w:val="single"/>
        </w:rPr>
        <w:t xml:space="preserve">Journals </w:t>
      </w:r>
      <w:r w:rsidR="006B0FBF">
        <w:rPr>
          <w:b/>
          <w:bCs/>
          <w:u w:val="single"/>
        </w:rPr>
        <w:t>I</w:t>
      </w:r>
      <w:r w:rsidRPr="00552E7D">
        <w:rPr>
          <w:b/>
          <w:bCs/>
          <w:u w:val="single"/>
        </w:rPr>
        <w:t>ncluded in th</w:t>
      </w:r>
      <w:r w:rsidR="006B0FBF">
        <w:rPr>
          <w:b/>
          <w:bCs/>
          <w:u w:val="single"/>
        </w:rPr>
        <w:t>e</w:t>
      </w:r>
      <w:r w:rsidRPr="00552E7D">
        <w:rPr>
          <w:b/>
          <w:bCs/>
          <w:u w:val="single"/>
        </w:rPr>
        <w:t xml:space="preserve"> </w:t>
      </w:r>
      <w:r w:rsidR="006B0FBF">
        <w:rPr>
          <w:b/>
          <w:bCs/>
          <w:u w:val="single"/>
        </w:rPr>
        <w:t>R</w:t>
      </w:r>
      <w:r w:rsidRPr="00552E7D">
        <w:rPr>
          <w:b/>
          <w:bCs/>
          <w:u w:val="single"/>
        </w:rPr>
        <w:t>eview</w:t>
      </w:r>
    </w:p>
    <w:p w14:paraId="288A8F7D" w14:textId="77777777" w:rsidR="00552E7D" w:rsidRPr="00552E7D" w:rsidRDefault="00552E7D" w:rsidP="00552E7D">
      <w:pPr>
        <w:rPr>
          <w:b/>
          <w:bCs/>
          <w:u w:val="single"/>
        </w:rPr>
      </w:pPr>
    </w:p>
    <w:p w14:paraId="7E239923" w14:textId="77777777" w:rsidR="00552E7D" w:rsidRPr="00552E7D" w:rsidRDefault="00552E7D">
      <w:pPr>
        <w:rPr>
          <w:b/>
          <w:bCs/>
        </w:rPr>
      </w:pPr>
    </w:p>
    <w:p w14:paraId="74BD9036" w14:textId="77777777" w:rsidR="005355C2" w:rsidRDefault="005355C2">
      <w:pPr>
        <w:rPr>
          <w:b/>
          <w:bCs/>
          <w:i/>
          <w:iCs/>
        </w:rPr>
        <w:sectPr w:rsidR="005355C2" w:rsidSect="0046234B">
          <w:footerReference w:type="default" r:id="rId7"/>
          <w:pgSz w:w="12240" w:h="15840"/>
          <w:pgMar w:top="720" w:right="720" w:bottom="720" w:left="720" w:header="720" w:footer="720" w:gutter="0"/>
          <w:cols w:space="720"/>
          <w:docGrid w:linePitch="360"/>
        </w:sectPr>
      </w:pPr>
    </w:p>
    <w:p w14:paraId="5E89E0FF" w14:textId="2AC578F1" w:rsidR="00552E7D" w:rsidRPr="005355C2" w:rsidRDefault="00552E7D">
      <w:pPr>
        <w:rPr>
          <w:rFonts w:cs="Arial"/>
          <w:b/>
          <w:bCs/>
          <w:i/>
          <w:iCs/>
          <w:sz w:val="20"/>
          <w:szCs w:val="20"/>
        </w:rPr>
      </w:pPr>
      <w:r w:rsidRPr="005355C2">
        <w:rPr>
          <w:rFonts w:cs="Arial"/>
          <w:b/>
          <w:bCs/>
          <w:i/>
          <w:iCs/>
          <w:sz w:val="20"/>
          <w:szCs w:val="20"/>
        </w:rPr>
        <w:t>Anesthesiology</w:t>
      </w:r>
      <w:r w:rsidR="005355C2" w:rsidRPr="005355C2">
        <w:rPr>
          <w:rFonts w:cs="Arial"/>
          <w:b/>
          <w:bCs/>
          <w:i/>
          <w:iCs/>
          <w:sz w:val="20"/>
          <w:szCs w:val="20"/>
        </w:rPr>
        <w:t xml:space="preserve"> &amp; Critical Care Medicine</w:t>
      </w:r>
      <w:r w:rsidRPr="005355C2">
        <w:rPr>
          <w:rFonts w:cs="Arial"/>
          <w:b/>
          <w:bCs/>
          <w:i/>
          <w:iCs/>
          <w:sz w:val="20"/>
          <w:szCs w:val="20"/>
        </w:rPr>
        <w:t xml:space="preserve"> Journals</w:t>
      </w:r>
    </w:p>
    <w:p w14:paraId="7815D57C"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Anaesthesia</w:t>
      </w:r>
    </w:p>
    <w:p w14:paraId="78ABEF94"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Anesthesia &amp; Analgesia</w:t>
      </w:r>
    </w:p>
    <w:p w14:paraId="7712F294"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Anesthesiology</w:t>
      </w:r>
    </w:p>
    <w:p w14:paraId="2CF114AC"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British Journal of Anaesthesia</w:t>
      </w:r>
    </w:p>
    <w:p w14:paraId="37B2DC88"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Canadian Journal of Anesthesia</w:t>
      </w:r>
    </w:p>
    <w:p w14:paraId="63C32346"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Critical Care Medicine</w:t>
      </w:r>
    </w:p>
    <w:p w14:paraId="502D146A"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 xml:space="preserve">International Journal of Obstetric Anesthesia </w:t>
      </w:r>
    </w:p>
    <w:p w14:paraId="6C74F422" w14:textId="0E01EA61" w:rsidR="005355C2" w:rsidRPr="006B0FBF" w:rsidRDefault="005355C2" w:rsidP="006B0FBF">
      <w:pPr>
        <w:pStyle w:val="ListParagraph"/>
        <w:numPr>
          <w:ilvl w:val="0"/>
          <w:numId w:val="2"/>
        </w:numPr>
        <w:rPr>
          <w:rFonts w:cs="Arial"/>
          <w:sz w:val="20"/>
          <w:szCs w:val="20"/>
        </w:rPr>
      </w:pPr>
      <w:r w:rsidRPr="006B0FBF">
        <w:rPr>
          <w:rFonts w:cs="Arial"/>
          <w:sz w:val="20"/>
          <w:szCs w:val="20"/>
        </w:rPr>
        <w:t>Journal of Anesthesia</w:t>
      </w:r>
    </w:p>
    <w:p w14:paraId="23CDBBEA" w14:textId="6631BBB4" w:rsidR="00552E7D" w:rsidRPr="006B0FBF" w:rsidRDefault="005355C2" w:rsidP="006B0FBF">
      <w:pPr>
        <w:pStyle w:val="ListParagraph"/>
        <w:numPr>
          <w:ilvl w:val="0"/>
          <w:numId w:val="2"/>
        </w:numPr>
        <w:rPr>
          <w:rFonts w:cs="Arial"/>
          <w:sz w:val="20"/>
          <w:szCs w:val="20"/>
        </w:rPr>
      </w:pPr>
      <w:r w:rsidRPr="006B0FBF">
        <w:rPr>
          <w:rFonts w:cs="Arial"/>
          <w:sz w:val="20"/>
          <w:szCs w:val="20"/>
        </w:rPr>
        <w:t>Journal of Critical Care</w:t>
      </w:r>
    </w:p>
    <w:p w14:paraId="34976156" w14:textId="77777777" w:rsidR="005355C2" w:rsidRPr="005355C2" w:rsidRDefault="005355C2" w:rsidP="005355C2">
      <w:pPr>
        <w:rPr>
          <w:rFonts w:cs="Arial"/>
          <w:b/>
          <w:bCs/>
          <w:i/>
          <w:iCs/>
          <w:sz w:val="20"/>
          <w:szCs w:val="20"/>
        </w:rPr>
      </w:pPr>
    </w:p>
    <w:p w14:paraId="0FEC9AC5" w14:textId="77777777" w:rsidR="00552E7D" w:rsidRPr="005355C2" w:rsidRDefault="00552E7D">
      <w:pPr>
        <w:rPr>
          <w:rFonts w:cs="Arial"/>
          <w:b/>
          <w:bCs/>
          <w:i/>
          <w:iCs/>
          <w:sz w:val="20"/>
          <w:szCs w:val="20"/>
        </w:rPr>
      </w:pPr>
      <w:r w:rsidRPr="005355C2">
        <w:rPr>
          <w:rFonts w:cs="Arial"/>
          <w:b/>
          <w:bCs/>
          <w:i/>
          <w:iCs/>
          <w:sz w:val="20"/>
          <w:szCs w:val="20"/>
        </w:rPr>
        <w:t>Obstetrics &amp; Gynecology Journals</w:t>
      </w:r>
    </w:p>
    <w:p w14:paraId="60021B4B" w14:textId="4EC10961" w:rsidR="005355C2" w:rsidRPr="006B0FBF" w:rsidRDefault="005355C2" w:rsidP="006B0FBF">
      <w:pPr>
        <w:pStyle w:val="ListParagraph"/>
        <w:numPr>
          <w:ilvl w:val="0"/>
          <w:numId w:val="2"/>
        </w:numPr>
        <w:rPr>
          <w:rFonts w:cs="Arial"/>
          <w:sz w:val="20"/>
          <w:szCs w:val="20"/>
        </w:rPr>
      </w:pPr>
      <w:r w:rsidRPr="006B0FBF">
        <w:rPr>
          <w:rFonts w:cs="Arial"/>
          <w:sz w:val="20"/>
          <w:szCs w:val="20"/>
        </w:rPr>
        <w:t xml:space="preserve">Acta </w:t>
      </w:r>
      <w:proofErr w:type="spellStart"/>
      <w:r w:rsidRPr="006B0FBF">
        <w:rPr>
          <w:rFonts w:cs="Arial"/>
          <w:sz w:val="20"/>
          <w:szCs w:val="20"/>
        </w:rPr>
        <w:t>Obstetricia</w:t>
      </w:r>
      <w:proofErr w:type="spellEnd"/>
      <w:r w:rsidRPr="006B0FBF">
        <w:rPr>
          <w:rFonts w:cs="Arial"/>
          <w:sz w:val="20"/>
          <w:szCs w:val="20"/>
        </w:rPr>
        <w:t xml:space="preserve"> et </w:t>
      </w:r>
      <w:proofErr w:type="spellStart"/>
      <w:r w:rsidRPr="006B0FBF">
        <w:rPr>
          <w:rFonts w:cs="Arial"/>
          <w:sz w:val="20"/>
          <w:szCs w:val="20"/>
        </w:rPr>
        <w:t>Gynecologica</w:t>
      </w:r>
      <w:proofErr w:type="spellEnd"/>
      <w:r w:rsidRPr="006B0FBF">
        <w:rPr>
          <w:rFonts w:cs="Arial"/>
          <w:sz w:val="20"/>
          <w:szCs w:val="20"/>
        </w:rPr>
        <w:t xml:space="preserve"> Scandinavica</w:t>
      </w:r>
    </w:p>
    <w:p w14:paraId="4BDE0481"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American Journal of Obstetrics &amp; Gynecology</w:t>
      </w:r>
    </w:p>
    <w:p w14:paraId="1F5FB729" w14:textId="161A8B3B" w:rsidR="005355C2" w:rsidRPr="006B0FBF" w:rsidRDefault="005355C2" w:rsidP="006B0FBF">
      <w:pPr>
        <w:pStyle w:val="ListParagraph"/>
        <w:numPr>
          <w:ilvl w:val="0"/>
          <w:numId w:val="2"/>
        </w:numPr>
        <w:rPr>
          <w:rFonts w:cs="Arial"/>
          <w:sz w:val="20"/>
          <w:szCs w:val="20"/>
        </w:rPr>
      </w:pPr>
      <w:r w:rsidRPr="006B0FBF">
        <w:rPr>
          <w:rFonts w:cs="Arial"/>
          <w:sz w:val="20"/>
          <w:szCs w:val="20"/>
        </w:rPr>
        <w:t>American Journal of Obstetrics &amp; Gynecology - MFM</w:t>
      </w:r>
    </w:p>
    <w:p w14:paraId="360261C2"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 xml:space="preserve">British Journal of Obstetrics and </w:t>
      </w:r>
      <w:proofErr w:type="spellStart"/>
      <w:r w:rsidRPr="006B0FBF">
        <w:rPr>
          <w:rFonts w:cs="Arial"/>
          <w:sz w:val="20"/>
          <w:szCs w:val="20"/>
        </w:rPr>
        <w:t>Gynaecology</w:t>
      </w:r>
      <w:proofErr w:type="spellEnd"/>
      <w:r w:rsidRPr="006B0FBF">
        <w:rPr>
          <w:rFonts w:cs="Arial"/>
          <w:sz w:val="20"/>
          <w:szCs w:val="20"/>
        </w:rPr>
        <w:t xml:space="preserve"> - BJOG</w:t>
      </w:r>
    </w:p>
    <w:p w14:paraId="146D1C5B"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 xml:space="preserve">Gynecology &amp; Obstetrics </w:t>
      </w:r>
    </w:p>
    <w:p w14:paraId="38E59079"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 xml:space="preserve">International Journal of Gynecology &amp; Obstetrics </w:t>
      </w:r>
    </w:p>
    <w:p w14:paraId="59E43B63"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JAMA OBGYN</w:t>
      </w:r>
    </w:p>
    <w:p w14:paraId="513B4336" w14:textId="290115FE" w:rsidR="00552E7D" w:rsidRPr="006B0FBF" w:rsidRDefault="005355C2" w:rsidP="006B0FBF">
      <w:pPr>
        <w:pStyle w:val="ListParagraph"/>
        <w:numPr>
          <w:ilvl w:val="0"/>
          <w:numId w:val="2"/>
        </w:numPr>
        <w:rPr>
          <w:rFonts w:cs="Arial"/>
          <w:sz w:val="20"/>
          <w:szCs w:val="20"/>
        </w:rPr>
      </w:pPr>
      <w:r w:rsidRPr="006B0FBF">
        <w:rPr>
          <w:rFonts w:cs="Arial"/>
          <w:sz w:val="20"/>
          <w:szCs w:val="20"/>
        </w:rPr>
        <w:t>Obstetrics &amp; Gynecology</w:t>
      </w:r>
    </w:p>
    <w:p w14:paraId="29B57A2E" w14:textId="77777777" w:rsidR="005355C2" w:rsidRPr="005355C2" w:rsidRDefault="005355C2" w:rsidP="005355C2">
      <w:pPr>
        <w:rPr>
          <w:rFonts w:cs="Arial"/>
          <w:i/>
          <w:iCs/>
          <w:sz w:val="20"/>
          <w:szCs w:val="20"/>
        </w:rPr>
      </w:pPr>
    </w:p>
    <w:p w14:paraId="5F62D6BE" w14:textId="77777777" w:rsidR="005355C2" w:rsidRPr="005355C2" w:rsidRDefault="005355C2">
      <w:pPr>
        <w:rPr>
          <w:rFonts w:cs="Arial"/>
          <w:b/>
          <w:bCs/>
          <w:i/>
          <w:iCs/>
          <w:sz w:val="20"/>
          <w:szCs w:val="20"/>
        </w:rPr>
      </w:pPr>
      <w:r w:rsidRPr="005355C2">
        <w:rPr>
          <w:rFonts w:cs="Arial"/>
          <w:b/>
          <w:bCs/>
          <w:i/>
          <w:iCs/>
          <w:sz w:val="20"/>
          <w:szCs w:val="20"/>
        </w:rPr>
        <w:t>Pain Journals</w:t>
      </w:r>
    </w:p>
    <w:p w14:paraId="4A6A2BB5"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European Journal of Pain</w:t>
      </w:r>
    </w:p>
    <w:p w14:paraId="661BA867"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Pain</w:t>
      </w:r>
    </w:p>
    <w:p w14:paraId="2239BCDB" w14:textId="563990EB" w:rsidR="005355C2" w:rsidRPr="006B0FBF" w:rsidRDefault="005355C2" w:rsidP="006B0FBF">
      <w:pPr>
        <w:pStyle w:val="ListParagraph"/>
        <w:numPr>
          <w:ilvl w:val="0"/>
          <w:numId w:val="2"/>
        </w:numPr>
        <w:rPr>
          <w:rFonts w:cs="Arial"/>
          <w:sz w:val="20"/>
          <w:szCs w:val="20"/>
        </w:rPr>
      </w:pPr>
      <w:r w:rsidRPr="006B0FBF">
        <w:rPr>
          <w:rFonts w:cs="Arial"/>
          <w:sz w:val="20"/>
          <w:szCs w:val="20"/>
        </w:rPr>
        <w:t>Scandinavian Journal of Pain</w:t>
      </w:r>
    </w:p>
    <w:p w14:paraId="011C115B" w14:textId="77777777" w:rsidR="005355C2" w:rsidRPr="005355C2" w:rsidRDefault="005355C2" w:rsidP="005355C2">
      <w:pPr>
        <w:rPr>
          <w:rFonts w:cs="Arial"/>
          <w:b/>
          <w:bCs/>
          <w:i/>
          <w:iCs/>
          <w:sz w:val="20"/>
          <w:szCs w:val="20"/>
        </w:rPr>
      </w:pPr>
    </w:p>
    <w:p w14:paraId="173DDAFC" w14:textId="77777777" w:rsidR="005355C2" w:rsidRDefault="005355C2">
      <w:pPr>
        <w:rPr>
          <w:rFonts w:cs="Arial"/>
          <w:b/>
          <w:bCs/>
          <w:i/>
          <w:iCs/>
          <w:sz w:val="20"/>
          <w:szCs w:val="20"/>
        </w:rPr>
      </w:pPr>
    </w:p>
    <w:p w14:paraId="0CB3F8A5" w14:textId="77777777" w:rsidR="005355C2" w:rsidRDefault="005355C2">
      <w:pPr>
        <w:rPr>
          <w:rFonts w:cs="Arial"/>
          <w:b/>
          <w:bCs/>
          <w:i/>
          <w:iCs/>
          <w:sz w:val="20"/>
          <w:szCs w:val="20"/>
        </w:rPr>
      </w:pPr>
    </w:p>
    <w:p w14:paraId="64C4F17D" w14:textId="77777777" w:rsidR="005355C2" w:rsidRDefault="005355C2">
      <w:pPr>
        <w:rPr>
          <w:rFonts w:cs="Arial"/>
          <w:b/>
          <w:bCs/>
          <w:i/>
          <w:iCs/>
          <w:sz w:val="20"/>
          <w:szCs w:val="20"/>
        </w:rPr>
      </w:pPr>
    </w:p>
    <w:p w14:paraId="7E94055C" w14:textId="18E3C48A" w:rsidR="005355C2" w:rsidRDefault="005355C2">
      <w:pPr>
        <w:rPr>
          <w:rFonts w:cs="Arial"/>
          <w:b/>
          <w:bCs/>
          <w:i/>
          <w:iCs/>
          <w:sz w:val="20"/>
          <w:szCs w:val="20"/>
        </w:rPr>
      </w:pPr>
    </w:p>
    <w:p w14:paraId="74F78F29" w14:textId="77777777" w:rsidR="006B0FBF" w:rsidRDefault="006B0FBF">
      <w:pPr>
        <w:rPr>
          <w:rFonts w:cs="Arial"/>
          <w:b/>
          <w:bCs/>
          <w:i/>
          <w:iCs/>
          <w:sz w:val="20"/>
          <w:szCs w:val="20"/>
        </w:rPr>
      </w:pPr>
    </w:p>
    <w:p w14:paraId="51CFC72F" w14:textId="77777777" w:rsidR="005355C2" w:rsidRDefault="005355C2">
      <w:pPr>
        <w:rPr>
          <w:rFonts w:cs="Arial"/>
          <w:b/>
          <w:bCs/>
          <w:i/>
          <w:iCs/>
          <w:sz w:val="20"/>
          <w:szCs w:val="20"/>
        </w:rPr>
      </w:pPr>
    </w:p>
    <w:p w14:paraId="33F34A50" w14:textId="77777777" w:rsidR="005355C2" w:rsidRDefault="005355C2">
      <w:pPr>
        <w:rPr>
          <w:rFonts w:cs="Arial"/>
          <w:b/>
          <w:bCs/>
          <w:i/>
          <w:iCs/>
          <w:sz w:val="20"/>
          <w:szCs w:val="20"/>
        </w:rPr>
      </w:pPr>
    </w:p>
    <w:p w14:paraId="7826C901" w14:textId="2D3A62F6" w:rsidR="00552E7D" w:rsidRPr="005355C2" w:rsidRDefault="005355C2">
      <w:pPr>
        <w:rPr>
          <w:rFonts w:cs="Arial"/>
          <w:b/>
          <w:bCs/>
          <w:i/>
          <w:iCs/>
          <w:sz w:val="20"/>
          <w:szCs w:val="20"/>
        </w:rPr>
      </w:pPr>
      <w:r>
        <w:rPr>
          <w:rFonts w:cs="Arial"/>
          <w:b/>
          <w:bCs/>
          <w:i/>
          <w:iCs/>
          <w:sz w:val="20"/>
          <w:szCs w:val="20"/>
        </w:rPr>
        <w:t>Pe</w:t>
      </w:r>
      <w:r w:rsidR="00552E7D" w:rsidRPr="005355C2">
        <w:rPr>
          <w:rFonts w:cs="Arial"/>
          <w:b/>
          <w:bCs/>
          <w:i/>
          <w:iCs/>
          <w:sz w:val="20"/>
          <w:szCs w:val="20"/>
        </w:rPr>
        <w:t>rinatology and Pediatric Journals</w:t>
      </w:r>
    </w:p>
    <w:p w14:paraId="311733E5"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JAMA Pediatrics</w:t>
      </w:r>
    </w:p>
    <w:p w14:paraId="622E97CE" w14:textId="38A67407" w:rsidR="005355C2" w:rsidRPr="006B0FBF" w:rsidRDefault="005355C2" w:rsidP="006B0FBF">
      <w:pPr>
        <w:pStyle w:val="ListParagraph"/>
        <w:numPr>
          <w:ilvl w:val="0"/>
          <w:numId w:val="2"/>
        </w:numPr>
        <w:rPr>
          <w:rFonts w:cs="Arial"/>
          <w:sz w:val="20"/>
          <w:szCs w:val="20"/>
        </w:rPr>
      </w:pPr>
      <w:r w:rsidRPr="006B0FBF">
        <w:rPr>
          <w:rFonts w:cs="Arial"/>
          <w:sz w:val="20"/>
          <w:szCs w:val="20"/>
        </w:rPr>
        <w:t xml:space="preserve">Maternal &amp; Child Health Journal </w:t>
      </w:r>
    </w:p>
    <w:p w14:paraId="30829BD8"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Pediatrics</w:t>
      </w:r>
    </w:p>
    <w:p w14:paraId="4E8957E9" w14:textId="566F4EC9" w:rsidR="00552E7D" w:rsidRPr="006B0FBF" w:rsidRDefault="005355C2" w:rsidP="006B0FBF">
      <w:pPr>
        <w:pStyle w:val="ListParagraph"/>
        <w:numPr>
          <w:ilvl w:val="0"/>
          <w:numId w:val="2"/>
        </w:numPr>
        <w:rPr>
          <w:rFonts w:cs="Arial"/>
          <w:sz w:val="20"/>
          <w:szCs w:val="20"/>
        </w:rPr>
      </w:pPr>
      <w:r w:rsidRPr="006B0FBF">
        <w:rPr>
          <w:rFonts w:cs="Arial"/>
          <w:sz w:val="20"/>
          <w:szCs w:val="20"/>
        </w:rPr>
        <w:t>The American Journal of Maternal/Child Nursing</w:t>
      </w:r>
    </w:p>
    <w:p w14:paraId="072E6C16" w14:textId="77777777" w:rsidR="005355C2" w:rsidRPr="005355C2" w:rsidRDefault="005355C2" w:rsidP="005355C2">
      <w:pPr>
        <w:rPr>
          <w:rFonts w:cs="Arial"/>
          <w:b/>
          <w:bCs/>
          <w:i/>
          <w:iCs/>
          <w:sz w:val="20"/>
          <w:szCs w:val="20"/>
        </w:rPr>
      </w:pPr>
    </w:p>
    <w:p w14:paraId="624CE8E5" w14:textId="77777777" w:rsidR="00552E7D" w:rsidRPr="005355C2" w:rsidRDefault="00552E7D">
      <w:pPr>
        <w:rPr>
          <w:rFonts w:cs="Arial"/>
          <w:b/>
          <w:bCs/>
          <w:i/>
          <w:iCs/>
          <w:sz w:val="20"/>
          <w:szCs w:val="20"/>
        </w:rPr>
      </w:pPr>
      <w:r w:rsidRPr="005355C2">
        <w:rPr>
          <w:rFonts w:cs="Arial"/>
          <w:b/>
          <w:bCs/>
          <w:i/>
          <w:iCs/>
          <w:sz w:val="20"/>
          <w:szCs w:val="20"/>
        </w:rPr>
        <w:t>General Medical Journals</w:t>
      </w:r>
    </w:p>
    <w:p w14:paraId="4CD5E595"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British Medical Journal</w:t>
      </w:r>
    </w:p>
    <w:p w14:paraId="44D573B9"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Cell Reports</w:t>
      </w:r>
    </w:p>
    <w:p w14:paraId="4BC55DF1"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Circulation</w:t>
      </w:r>
    </w:p>
    <w:p w14:paraId="6DB1C94E"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 xml:space="preserve">Cochrane Database of Systematic Reviews </w:t>
      </w:r>
    </w:p>
    <w:p w14:paraId="58849E9C" w14:textId="4F79A538" w:rsidR="005355C2" w:rsidRPr="006B0FBF" w:rsidRDefault="005355C2" w:rsidP="006B0FBF">
      <w:pPr>
        <w:pStyle w:val="ListParagraph"/>
        <w:numPr>
          <w:ilvl w:val="0"/>
          <w:numId w:val="2"/>
        </w:numPr>
        <w:rPr>
          <w:rFonts w:cs="Arial"/>
          <w:sz w:val="20"/>
          <w:szCs w:val="20"/>
        </w:rPr>
      </w:pPr>
      <w:r w:rsidRPr="006B0FBF">
        <w:rPr>
          <w:rFonts w:cs="Arial"/>
          <w:sz w:val="20"/>
          <w:szCs w:val="20"/>
        </w:rPr>
        <w:t>Frontiers in Cardiovascular Medicine </w:t>
      </w:r>
    </w:p>
    <w:p w14:paraId="72C5A873"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Heart</w:t>
      </w:r>
    </w:p>
    <w:p w14:paraId="23DC458E" w14:textId="7B16A8F4" w:rsidR="005355C2" w:rsidRPr="006B0FBF" w:rsidRDefault="005355C2" w:rsidP="006B0FBF">
      <w:pPr>
        <w:pStyle w:val="ListParagraph"/>
        <w:numPr>
          <w:ilvl w:val="0"/>
          <w:numId w:val="2"/>
        </w:numPr>
        <w:rPr>
          <w:rFonts w:cs="Arial"/>
          <w:sz w:val="20"/>
          <w:szCs w:val="20"/>
        </w:rPr>
      </w:pPr>
      <w:r w:rsidRPr="006B0FBF">
        <w:rPr>
          <w:rFonts w:cs="Arial"/>
          <w:sz w:val="20"/>
          <w:szCs w:val="20"/>
        </w:rPr>
        <w:t>United States Department of Health &amp; Human Services</w:t>
      </w:r>
    </w:p>
    <w:p w14:paraId="54652323"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Hypertension</w:t>
      </w:r>
    </w:p>
    <w:p w14:paraId="4701EBA7" w14:textId="07089E75" w:rsidR="005355C2" w:rsidRPr="006B0FBF" w:rsidRDefault="005355C2" w:rsidP="006B0FBF">
      <w:pPr>
        <w:pStyle w:val="ListParagraph"/>
        <w:numPr>
          <w:ilvl w:val="0"/>
          <w:numId w:val="2"/>
        </w:numPr>
        <w:rPr>
          <w:rFonts w:cs="Arial"/>
          <w:sz w:val="20"/>
          <w:szCs w:val="20"/>
        </w:rPr>
      </w:pPr>
      <w:r w:rsidRPr="006B0FBF">
        <w:rPr>
          <w:rFonts w:cs="Arial"/>
          <w:sz w:val="20"/>
          <w:szCs w:val="20"/>
        </w:rPr>
        <w:t>Journal of Psychosomatic Research</w:t>
      </w:r>
    </w:p>
    <w:p w14:paraId="1BFBFD8A"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JACC Heart Failure</w:t>
      </w:r>
    </w:p>
    <w:p w14:paraId="2FBA3BC3" w14:textId="093A4880" w:rsidR="005355C2" w:rsidRPr="006B0FBF" w:rsidRDefault="005355C2" w:rsidP="006B0FBF">
      <w:pPr>
        <w:pStyle w:val="ListParagraph"/>
        <w:numPr>
          <w:ilvl w:val="0"/>
          <w:numId w:val="2"/>
        </w:numPr>
        <w:rPr>
          <w:rFonts w:cs="Arial"/>
          <w:sz w:val="20"/>
          <w:szCs w:val="20"/>
        </w:rPr>
      </w:pPr>
      <w:r w:rsidRPr="006B0FBF">
        <w:rPr>
          <w:rFonts w:cs="Arial"/>
          <w:sz w:val="20"/>
          <w:szCs w:val="20"/>
        </w:rPr>
        <w:t xml:space="preserve">JAMA  </w:t>
      </w:r>
    </w:p>
    <w:p w14:paraId="1693765E"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JAMA Internal Medicine</w:t>
      </w:r>
    </w:p>
    <w:p w14:paraId="3230B56A"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JAMA Network</w:t>
      </w:r>
    </w:p>
    <w:p w14:paraId="11AC5F01"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 xml:space="preserve">JAMA Network Open </w:t>
      </w:r>
    </w:p>
    <w:p w14:paraId="1CC56562" w14:textId="09C27787" w:rsidR="005355C2" w:rsidRPr="006B0FBF" w:rsidRDefault="005355C2" w:rsidP="006B0FBF">
      <w:pPr>
        <w:pStyle w:val="ListParagraph"/>
        <w:numPr>
          <w:ilvl w:val="0"/>
          <w:numId w:val="2"/>
        </w:numPr>
        <w:rPr>
          <w:rFonts w:cs="Arial"/>
          <w:sz w:val="20"/>
          <w:szCs w:val="20"/>
        </w:rPr>
      </w:pPr>
      <w:r w:rsidRPr="006B0FBF">
        <w:rPr>
          <w:rFonts w:cs="Arial"/>
          <w:sz w:val="20"/>
          <w:szCs w:val="20"/>
        </w:rPr>
        <w:t>Journal of Medical Internet Research</w:t>
      </w:r>
    </w:p>
    <w:p w14:paraId="5BCF2708"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 xml:space="preserve">Journal of the American Medical Informatics Association </w:t>
      </w:r>
    </w:p>
    <w:p w14:paraId="35195438"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Lancet</w:t>
      </w:r>
    </w:p>
    <w:p w14:paraId="27C0BAEB"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 xml:space="preserve">Nature </w:t>
      </w:r>
    </w:p>
    <w:p w14:paraId="27CF834B"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 xml:space="preserve">Nature Medicine </w:t>
      </w:r>
    </w:p>
    <w:p w14:paraId="5EEC9761"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PLOS Medicine</w:t>
      </w:r>
    </w:p>
    <w:p w14:paraId="35785ADA"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Resuscitation</w:t>
      </w:r>
    </w:p>
    <w:p w14:paraId="65422546" w14:textId="39F3222E" w:rsidR="005355C2" w:rsidRPr="006B0FBF" w:rsidRDefault="005355C2" w:rsidP="006B0FBF">
      <w:pPr>
        <w:pStyle w:val="ListParagraph"/>
        <w:numPr>
          <w:ilvl w:val="0"/>
          <w:numId w:val="2"/>
        </w:numPr>
        <w:rPr>
          <w:rFonts w:cs="Arial"/>
          <w:sz w:val="20"/>
          <w:szCs w:val="20"/>
        </w:rPr>
      </w:pPr>
      <w:r w:rsidRPr="006B0FBF">
        <w:rPr>
          <w:rFonts w:cs="Arial"/>
          <w:sz w:val="20"/>
          <w:szCs w:val="20"/>
        </w:rPr>
        <w:t>Scientific Reports</w:t>
      </w:r>
    </w:p>
    <w:p w14:paraId="359CE498" w14:textId="77777777" w:rsidR="005355C2" w:rsidRPr="006B0FBF" w:rsidRDefault="005355C2" w:rsidP="006B0FBF">
      <w:pPr>
        <w:pStyle w:val="ListParagraph"/>
        <w:numPr>
          <w:ilvl w:val="0"/>
          <w:numId w:val="2"/>
        </w:numPr>
        <w:rPr>
          <w:rFonts w:cs="Arial"/>
          <w:sz w:val="20"/>
          <w:szCs w:val="20"/>
        </w:rPr>
      </w:pPr>
      <w:r w:rsidRPr="006B0FBF">
        <w:rPr>
          <w:rFonts w:cs="Arial"/>
          <w:sz w:val="20"/>
          <w:szCs w:val="20"/>
        </w:rPr>
        <w:t>The Lancet</w:t>
      </w:r>
    </w:p>
    <w:p w14:paraId="17BCBDEE" w14:textId="2E1D81B8" w:rsidR="00552E7D" w:rsidRDefault="005355C2" w:rsidP="006B0FBF">
      <w:pPr>
        <w:pStyle w:val="ListParagraph"/>
        <w:numPr>
          <w:ilvl w:val="0"/>
          <w:numId w:val="2"/>
        </w:numPr>
      </w:pPr>
      <w:r w:rsidRPr="006B0FBF">
        <w:rPr>
          <w:rFonts w:cs="Arial"/>
          <w:sz w:val="20"/>
          <w:szCs w:val="20"/>
        </w:rPr>
        <w:t xml:space="preserve">The New England Journal of Medicine </w:t>
      </w:r>
      <w:r w:rsidR="00552E7D">
        <w:br w:type="page"/>
      </w:r>
    </w:p>
    <w:p w14:paraId="1E298344" w14:textId="77777777" w:rsidR="005355C2" w:rsidRDefault="005355C2" w:rsidP="00552E7D">
      <w:pPr>
        <w:jc w:val="center"/>
        <w:rPr>
          <w:b/>
          <w:bCs/>
        </w:rPr>
        <w:sectPr w:rsidR="005355C2" w:rsidSect="005355C2">
          <w:type w:val="continuous"/>
          <w:pgSz w:w="12240" w:h="15840"/>
          <w:pgMar w:top="720" w:right="720" w:bottom="720" w:left="720" w:header="720" w:footer="720" w:gutter="0"/>
          <w:cols w:num="2" w:space="720"/>
          <w:docGrid w:linePitch="360"/>
        </w:sectPr>
      </w:pPr>
    </w:p>
    <w:p w14:paraId="66DD6389" w14:textId="27525F94" w:rsidR="00552E7D" w:rsidRDefault="00552E7D" w:rsidP="00552E7D">
      <w:pPr>
        <w:jc w:val="center"/>
        <w:rPr>
          <w:b/>
          <w:bCs/>
        </w:rPr>
      </w:pPr>
    </w:p>
    <w:p w14:paraId="7FA7F26A" w14:textId="77777777" w:rsidR="00552E7D" w:rsidRDefault="00552E7D" w:rsidP="00552E7D">
      <w:pPr>
        <w:jc w:val="center"/>
        <w:rPr>
          <w:b/>
          <w:bCs/>
        </w:rPr>
      </w:pPr>
    </w:p>
    <w:p w14:paraId="0562CC50" w14:textId="77777777" w:rsidR="00552E7D" w:rsidRDefault="00552E7D" w:rsidP="00552E7D">
      <w:pPr>
        <w:jc w:val="center"/>
        <w:rPr>
          <w:b/>
          <w:bCs/>
        </w:rPr>
      </w:pPr>
    </w:p>
    <w:p w14:paraId="7C7BBAE5" w14:textId="77777777" w:rsidR="00552E7D" w:rsidRDefault="00552E7D" w:rsidP="00552E7D">
      <w:pPr>
        <w:jc w:val="center"/>
        <w:rPr>
          <w:b/>
          <w:bCs/>
        </w:rPr>
      </w:pPr>
    </w:p>
    <w:p w14:paraId="5E253BB7" w14:textId="77777777" w:rsidR="00552E7D" w:rsidRDefault="00552E7D" w:rsidP="00552E7D">
      <w:pPr>
        <w:jc w:val="center"/>
        <w:rPr>
          <w:b/>
          <w:bCs/>
        </w:rPr>
      </w:pPr>
    </w:p>
    <w:p w14:paraId="5FDA7D1B" w14:textId="77777777" w:rsidR="00552E7D" w:rsidRDefault="00552E7D" w:rsidP="00552E7D">
      <w:pPr>
        <w:jc w:val="center"/>
        <w:rPr>
          <w:b/>
          <w:bCs/>
        </w:rPr>
      </w:pPr>
    </w:p>
    <w:p w14:paraId="49214530" w14:textId="77777777" w:rsidR="00552E7D" w:rsidRDefault="00552E7D" w:rsidP="00552E7D">
      <w:pPr>
        <w:jc w:val="center"/>
        <w:rPr>
          <w:b/>
          <w:bCs/>
        </w:rPr>
      </w:pPr>
    </w:p>
    <w:p w14:paraId="6198BB63" w14:textId="77777777" w:rsidR="00552E7D" w:rsidRDefault="00552E7D" w:rsidP="00552E7D">
      <w:pPr>
        <w:jc w:val="center"/>
        <w:rPr>
          <w:b/>
          <w:bCs/>
        </w:rPr>
      </w:pPr>
    </w:p>
    <w:p w14:paraId="52A5BC20" w14:textId="1C681FCD" w:rsidR="00245509" w:rsidRPr="00552E7D" w:rsidRDefault="00552E7D" w:rsidP="00552E7D">
      <w:pPr>
        <w:jc w:val="center"/>
        <w:rPr>
          <w:b/>
          <w:bCs/>
        </w:rPr>
      </w:pPr>
      <w:r w:rsidRPr="00552E7D">
        <w:rPr>
          <w:b/>
          <w:bCs/>
        </w:rPr>
        <w:t xml:space="preserve">Online Supplement: Gerard </w:t>
      </w:r>
      <w:r>
        <w:rPr>
          <w:b/>
          <w:bCs/>
        </w:rPr>
        <w:t xml:space="preserve">W. </w:t>
      </w:r>
      <w:proofErr w:type="spellStart"/>
      <w:r w:rsidRPr="00552E7D">
        <w:rPr>
          <w:b/>
          <w:bCs/>
        </w:rPr>
        <w:t>Ostheimer</w:t>
      </w:r>
      <w:proofErr w:type="spellEnd"/>
      <w:r w:rsidRPr="00552E7D">
        <w:rPr>
          <w:b/>
          <w:bCs/>
        </w:rPr>
        <w:t xml:space="preserve"> Lecture Syllabus</w:t>
      </w:r>
    </w:p>
    <w:p w14:paraId="59F329CE" w14:textId="57D54BC7" w:rsidR="00552E7D" w:rsidRPr="00552E7D" w:rsidRDefault="00552E7D" w:rsidP="00552E7D">
      <w:pPr>
        <w:jc w:val="center"/>
        <w:rPr>
          <w:b/>
          <w:bCs/>
          <w:i/>
          <w:iCs/>
        </w:rPr>
      </w:pPr>
      <w:r w:rsidRPr="00552E7D">
        <w:rPr>
          <w:b/>
          <w:bCs/>
          <w:i/>
          <w:iCs/>
        </w:rPr>
        <w:t>What Is New in Obstetric Anesthesia in 2020?</w:t>
      </w:r>
    </w:p>
    <w:p w14:paraId="2CC8EAD5" w14:textId="1906E31B" w:rsidR="00552E7D" w:rsidRPr="00552E7D" w:rsidRDefault="00552E7D" w:rsidP="00552E7D">
      <w:pPr>
        <w:jc w:val="center"/>
      </w:pPr>
      <w:r w:rsidRPr="00552E7D">
        <w:t>Grace Lim, M.D., M.S.</w:t>
      </w:r>
    </w:p>
    <w:p w14:paraId="38433443" w14:textId="77777777" w:rsidR="00552E7D" w:rsidRPr="00552E7D" w:rsidRDefault="00552E7D" w:rsidP="00552E7D">
      <w:pPr>
        <w:jc w:val="center"/>
        <w:rPr>
          <w:u w:val="single"/>
        </w:rPr>
      </w:pPr>
    </w:p>
    <w:p w14:paraId="352F3C5F" w14:textId="0D5541F0" w:rsidR="00552E7D" w:rsidRPr="00552E7D" w:rsidRDefault="00552E7D" w:rsidP="00552E7D">
      <w:pPr>
        <w:rPr>
          <w:b/>
          <w:bCs/>
          <w:u w:val="single"/>
        </w:rPr>
      </w:pPr>
      <w:r w:rsidRPr="00552E7D">
        <w:rPr>
          <w:b/>
          <w:bCs/>
          <w:u w:val="single"/>
        </w:rPr>
        <w:t>Article Summaries</w:t>
      </w:r>
    </w:p>
    <w:p w14:paraId="5BC121CD" w14:textId="77777777" w:rsidR="00127114" w:rsidRPr="00E66EE2" w:rsidRDefault="00127114" w:rsidP="001B40AF">
      <w:pPr>
        <w:pStyle w:val="ListParagraph"/>
        <w:ind w:left="360"/>
        <w:rPr>
          <w:rFonts w:cs="Arial"/>
        </w:rPr>
      </w:pPr>
    </w:p>
    <w:p w14:paraId="0ABCB485" w14:textId="77777777" w:rsidR="00406F89" w:rsidRPr="00E66EE2" w:rsidRDefault="00406F89" w:rsidP="00406F89">
      <w:pPr>
        <w:pStyle w:val="ListParagraph"/>
        <w:ind w:left="360"/>
        <w:rPr>
          <w:rFonts w:cs="Arial"/>
        </w:rPr>
      </w:pPr>
    </w:p>
    <w:p w14:paraId="0FE0FDF4" w14:textId="6E8B85CC" w:rsidR="000D687A" w:rsidRDefault="000D687A" w:rsidP="00406F89">
      <w:pPr>
        <w:pStyle w:val="ListParagraph"/>
        <w:numPr>
          <w:ilvl w:val="0"/>
          <w:numId w:val="1"/>
        </w:numPr>
        <w:rPr>
          <w:rFonts w:cs="Arial"/>
        </w:rPr>
      </w:pPr>
      <w:r w:rsidRPr="009C32D7">
        <w:rPr>
          <w:rFonts w:cs="Arial"/>
        </w:rPr>
        <w:t>Gestational Hypertension and Preeclampsia: ACOG Practice Bulletin, Number 222. (2020). </w:t>
      </w:r>
      <w:r w:rsidRPr="009C32D7">
        <w:rPr>
          <w:rFonts w:cs="Arial"/>
          <w:i/>
          <w:iCs/>
        </w:rPr>
        <w:t>Obstetrics and Gynecology (New York. 1953)</w:t>
      </w:r>
      <w:r w:rsidRPr="009C32D7">
        <w:rPr>
          <w:rFonts w:cs="Arial"/>
        </w:rPr>
        <w:t>, </w:t>
      </w:r>
      <w:r w:rsidRPr="009C32D7">
        <w:rPr>
          <w:rFonts w:cs="Arial"/>
          <w:i/>
          <w:iCs/>
        </w:rPr>
        <w:t>135</w:t>
      </w:r>
      <w:r w:rsidRPr="009C32D7">
        <w:rPr>
          <w:rFonts w:cs="Arial"/>
        </w:rPr>
        <w:t xml:space="preserve">(6), e237–e260. </w:t>
      </w:r>
      <w:r w:rsidRPr="00127114">
        <w:rPr>
          <w:rFonts w:cs="Arial"/>
        </w:rPr>
        <w:t>https://doi.org/10.1097/AOG.0000000000003891</w:t>
      </w:r>
      <w:r>
        <w:rPr>
          <w:rFonts w:cs="Arial"/>
        </w:rPr>
        <w:t>.</w:t>
      </w:r>
    </w:p>
    <w:p w14:paraId="7998C8EF" w14:textId="3360012C" w:rsidR="000D687A" w:rsidRDefault="000D687A" w:rsidP="000D687A">
      <w:pPr>
        <w:rPr>
          <w:rFonts w:cs="Arial"/>
        </w:rPr>
      </w:pPr>
    </w:p>
    <w:p w14:paraId="35104A5A" w14:textId="77777777" w:rsidR="000D687A" w:rsidRPr="00E66EE2" w:rsidRDefault="000D687A" w:rsidP="000D687A">
      <w:pPr>
        <w:pStyle w:val="ListParagraph"/>
        <w:ind w:left="360"/>
        <w:rPr>
          <w:rFonts w:cs="Arial"/>
        </w:rPr>
      </w:pPr>
      <w:r w:rsidRPr="00E66EE2">
        <w:rPr>
          <w:rFonts w:cs="Arial"/>
        </w:rPr>
        <w:t>Summary: A practice bulletin providing guidelines for the diagnosis and management of gestational hypertension and preeclampsia.</w:t>
      </w:r>
    </w:p>
    <w:p w14:paraId="0519BAE5" w14:textId="77777777" w:rsidR="000D687A" w:rsidRPr="000D687A" w:rsidRDefault="000D687A" w:rsidP="000D687A">
      <w:pPr>
        <w:ind w:left="360"/>
        <w:rPr>
          <w:rFonts w:cs="Arial"/>
        </w:rPr>
      </w:pPr>
    </w:p>
    <w:p w14:paraId="3ACFE77D" w14:textId="7DCEC93B" w:rsidR="00F80E0C" w:rsidRDefault="00F80E0C" w:rsidP="00406F89">
      <w:pPr>
        <w:pStyle w:val="ListParagraph"/>
        <w:numPr>
          <w:ilvl w:val="0"/>
          <w:numId w:val="1"/>
        </w:numPr>
        <w:rPr>
          <w:rFonts w:cs="Arial"/>
        </w:rPr>
      </w:pPr>
      <w:r w:rsidRPr="00F80E0C">
        <w:rPr>
          <w:rFonts w:cs="Arial"/>
        </w:rPr>
        <w:t>Aminu, M., Mathai, M., &amp; van den Broek, N. (2019). Application of the ICD-PM classification system to stillbirth in four sub-Saharan African countries. </w:t>
      </w:r>
      <w:proofErr w:type="spellStart"/>
      <w:r w:rsidRPr="00F80E0C">
        <w:rPr>
          <w:rFonts w:cs="Arial"/>
          <w:i/>
          <w:iCs/>
        </w:rPr>
        <w:t>PloS</w:t>
      </w:r>
      <w:proofErr w:type="spellEnd"/>
      <w:r w:rsidRPr="00F80E0C">
        <w:rPr>
          <w:rFonts w:cs="Arial"/>
          <w:i/>
          <w:iCs/>
        </w:rPr>
        <w:t xml:space="preserve"> One</w:t>
      </w:r>
      <w:r w:rsidRPr="00F80E0C">
        <w:rPr>
          <w:rFonts w:cs="Arial"/>
        </w:rPr>
        <w:t>, </w:t>
      </w:r>
      <w:r w:rsidRPr="00F80E0C">
        <w:rPr>
          <w:rFonts w:cs="Arial"/>
          <w:i/>
          <w:iCs/>
        </w:rPr>
        <w:t>14</w:t>
      </w:r>
      <w:r w:rsidRPr="00F80E0C">
        <w:rPr>
          <w:rFonts w:cs="Arial"/>
        </w:rPr>
        <w:t>(5), e0215864–e0215864. https://doi.org/10.1371/journal.pone.0215864</w:t>
      </w:r>
      <w:r>
        <w:rPr>
          <w:rFonts w:cs="Arial"/>
        </w:rPr>
        <w:t>.</w:t>
      </w:r>
    </w:p>
    <w:p w14:paraId="010ADC58" w14:textId="746C5168" w:rsidR="00F80E0C" w:rsidRDefault="00F80E0C" w:rsidP="00F80E0C">
      <w:pPr>
        <w:pStyle w:val="ListParagraph"/>
        <w:ind w:left="360"/>
        <w:rPr>
          <w:rFonts w:cs="Arial"/>
        </w:rPr>
      </w:pPr>
    </w:p>
    <w:p w14:paraId="7A7BF87E" w14:textId="3B1FC235" w:rsidR="00F80E0C" w:rsidRPr="006B1193" w:rsidRDefault="00F80E0C" w:rsidP="006B1193">
      <w:pPr>
        <w:pStyle w:val="ListParagraph"/>
        <w:ind w:left="360"/>
        <w:rPr>
          <w:rFonts w:cs="Arial"/>
        </w:rPr>
      </w:pPr>
      <w:r>
        <w:rPr>
          <w:rFonts w:cs="Arial"/>
        </w:rPr>
        <w:t xml:space="preserve">Summary: </w:t>
      </w:r>
      <w:r w:rsidR="006B1193" w:rsidRPr="006B1193">
        <w:rPr>
          <w:rFonts w:cs="Arial"/>
        </w:rPr>
        <w:t>Prospective, observational study in 12 hospitals across Africa showing weaknesses in diagnostic protocols and guidelines for generating data on cause of death, especially antepartum stillbirths</w:t>
      </w:r>
      <w:r w:rsidR="006B1193">
        <w:rPr>
          <w:rFonts w:cs="Arial"/>
        </w:rPr>
        <w:t>.</w:t>
      </w:r>
    </w:p>
    <w:p w14:paraId="7E4D3ED1" w14:textId="77777777" w:rsidR="00F80E0C" w:rsidRDefault="00F80E0C" w:rsidP="00F80E0C">
      <w:pPr>
        <w:pStyle w:val="ListParagraph"/>
        <w:ind w:left="360"/>
        <w:rPr>
          <w:rFonts w:cs="Arial"/>
        </w:rPr>
      </w:pPr>
    </w:p>
    <w:p w14:paraId="052E93DF" w14:textId="6B5FFF7B" w:rsidR="00CC647F" w:rsidRDefault="00CC647F" w:rsidP="00406F89">
      <w:pPr>
        <w:pStyle w:val="ListParagraph"/>
        <w:numPr>
          <w:ilvl w:val="0"/>
          <w:numId w:val="1"/>
        </w:numPr>
        <w:rPr>
          <w:rFonts w:cs="Arial"/>
        </w:rPr>
      </w:pPr>
      <w:r w:rsidRPr="00CC647F">
        <w:rPr>
          <w:rFonts w:cs="Arial"/>
        </w:rPr>
        <w:t>Anderson, K. N., Lind, J. N., Simeone, R. M., Bobo, W. V., Mitchell, A. A., Riehle-</w:t>
      </w:r>
      <w:proofErr w:type="spellStart"/>
      <w:r w:rsidRPr="00CC647F">
        <w:rPr>
          <w:rFonts w:cs="Arial"/>
        </w:rPr>
        <w:t>Colarusso</w:t>
      </w:r>
      <w:proofErr w:type="spellEnd"/>
      <w:r w:rsidRPr="00CC647F">
        <w:rPr>
          <w:rFonts w:cs="Arial"/>
        </w:rPr>
        <w:t xml:space="preserve">, T., </w:t>
      </w:r>
      <w:proofErr w:type="spellStart"/>
      <w:r w:rsidRPr="00CC647F">
        <w:rPr>
          <w:rFonts w:cs="Arial"/>
        </w:rPr>
        <w:t>Polen</w:t>
      </w:r>
      <w:proofErr w:type="spellEnd"/>
      <w:r w:rsidRPr="00CC647F">
        <w:rPr>
          <w:rFonts w:cs="Arial"/>
        </w:rPr>
        <w:t xml:space="preserve">, K. N., &amp; </w:t>
      </w:r>
      <w:proofErr w:type="spellStart"/>
      <w:r w:rsidRPr="00CC647F">
        <w:rPr>
          <w:rFonts w:cs="Arial"/>
        </w:rPr>
        <w:t>Reefhuis</w:t>
      </w:r>
      <w:proofErr w:type="spellEnd"/>
      <w:r w:rsidRPr="00CC647F">
        <w:rPr>
          <w:rFonts w:cs="Arial"/>
        </w:rPr>
        <w:t>, J. (2020). Maternal Use of Specific Antidepressant Medications During Early Pregnancy and the Risk of Selected Birth Defects. </w:t>
      </w:r>
      <w:r w:rsidRPr="00CC647F">
        <w:rPr>
          <w:rFonts w:cs="Arial"/>
          <w:i/>
          <w:iCs/>
        </w:rPr>
        <w:t>JAMA Psychiatry (Chicago, Ill.)</w:t>
      </w:r>
      <w:r w:rsidRPr="00CC647F">
        <w:rPr>
          <w:rFonts w:cs="Arial"/>
        </w:rPr>
        <w:t>, </w:t>
      </w:r>
      <w:r w:rsidRPr="00CC647F">
        <w:rPr>
          <w:rFonts w:cs="Arial"/>
          <w:i/>
          <w:iCs/>
        </w:rPr>
        <w:t>77</w:t>
      </w:r>
      <w:r w:rsidRPr="00CC647F">
        <w:rPr>
          <w:rFonts w:cs="Arial"/>
        </w:rPr>
        <w:t>(12), 1246–1255. https://doi.org/10.1001/jamapsychiatry.2020.2453</w:t>
      </w:r>
      <w:r>
        <w:rPr>
          <w:rFonts w:cs="Arial"/>
        </w:rPr>
        <w:t>.</w:t>
      </w:r>
    </w:p>
    <w:p w14:paraId="5CD8FFFA" w14:textId="322D9ED8" w:rsidR="00CC647F" w:rsidRDefault="00CC647F" w:rsidP="00CC647F">
      <w:pPr>
        <w:rPr>
          <w:rFonts w:cs="Arial"/>
        </w:rPr>
      </w:pPr>
    </w:p>
    <w:p w14:paraId="1B339ED6" w14:textId="31DFBEE0" w:rsidR="00CC647F" w:rsidRDefault="00CC647F" w:rsidP="00CC647F">
      <w:pPr>
        <w:ind w:left="360"/>
        <w:rPr>
          <w:rFonts w:cs="Arial"/>
        </w:rPr>
      </w:pPr>
      <w:r>
        <w:rPr>
          <w:rFonts w:cs="Arial"/>
        </w:rPr>
        <w:t xml:space="preserve">Summary: </w:t>
      </w:r>
      <w:r w:rsidRPr="00CC647F">
        <w:rPr>
          <w:rFonts w:cs="Arial"/>
        </w:rPr>
        <w:t>Population-based, multicenter case-control study of maternal antidepressant use and birth defects. Venlafaxine was associated with the highest number of defects; however, this result requires confirmation</w:t>
      </w:r>
      <w:r>
        <w:rPr>
          <w:rFonts w:cs="Arial"/>
        </w:rPr>
        <w:t>.</w:t>
      </w:r>
    </w:p>
    <w:p w14:paraId="51DEA858" w14:textId="77777777" w:rsidR="00CC647F" w:rsidRPr="00CC647F" w:rsidRDefault="00CC647F" w:rsidP="00CC647F">
      <w:pPr>
        <w:ind w:left="360"/>
        <w:rPr>
          <w:rFonts w:cs="Arial"/>
        </w:rPr>
      </w:pPr>
    </w:p>
    <w:p w14:paraId="0FFB5509" w14:textId="5B707B14" w:rsidR="001B40AF" w:rsidRPr="00595CB7" w:rsidRDefault="00D068FC" w:rsidP="00406F89">
      <w:pPr>
        <w:pStyle w:val="ListParagraph"/>
        <w:numPr>
          <w:ilvl w:val="0"/>
          <w:numId w:val="1"/>
        </w:numPr>
        <w:rPr>
          <w:rFonts w:cs="Arial"/>
        </w:rPr>
      </w:pPr>
      <w:r w:rsidRPr="00595CB7">
        <w:rPr>
          <w:rFonts w:cs="Arial"/>
        </w:rPr>
        <w:t xml:space="preserve">Ansari, J., Carvalho, B., </w:t>
      </w:r>
      <w:proofErr w:type="spellStart"/>
      <w:r w:rsidRPr="00595CB7">
        <w:rPr>
          <w:rFonts w:cs="Arial"/>
        </w:rPr>
        <w:t>Weiniger</w:t>
      </w:r>
      <w:proofErr w:type="spellEnd"/>
      <w:r w:rsidRPr="00595CB7">
        <w:rPr>
          <w:rFonts w:cs="Arial"/>
        </w:rPr>
        <w:t>, C. F., &amp; Riley, E. T. (2020). Confounders Not General Anesthesia Likely Explain Greater Postpartum Depression. </w:t>
      </w:r>
      <w:r w:rsidRPr="00595CB7">
        <w:rPr>
          <w:rFonts w:cs="Arial"/>
          <w:i/>
          <w:iCs/>
        </w:rPr>
        <w:t>Anesthesia and Analgesia</w:t>
      </w:r>
      <w:r w:rsidRPr="00595CB7">
        <w:rPr>
          <w:rFonts w:cs="Arial"/>
        </w:rPr>
        <w:t>, </w:t>
      </w:r>
      <w:r w:rsidRPr="00595CB7">
        <w:rPr>
          <w:rFonts w:cs="Arial"/>
          <w:i/>
          <w:iCs/>
        </w:rPr>
        <w:t>131</w:t>
      </w:r>
      <w:r w:rsidRPr="00595CB7">
        <w:rPr>
          <w:rFonts w:cs="Arial"/>
        </w:rPr>
        <w:t>(6), e248–e250. https://doi.org/10.1213/ANE.000000000000485</w:t>
      </w:r>
      <w:r w:rsidR="0069368E" w:rsidRPr="00595CB7">
        <w:rPr>
          <w:rFonts w:cs="Arial"/>
        </w:rPr>
        <w:t>.</w:t>
      </w:r>
    </w:p>
    <w:p w14:paraId="374D0D72" w14:textId="77777777" w:rsidR="00992134" w:rsidRPr="00595CB7" w:rsidRDefault="00992134" w:rsidP="00992134">
      <w:pPr>
        <w:ind w:left="360"/>
        <w:rPr>
          <w:rFonts w:cs="Arial"/>
        </w:rPr>
      </w:pPr>
    </w:p>
    <w:p w14:paraId="03B8112D" w14:textId="4661F6FC" w:rsidR="00992134" w:rsidRPr="00595CB7" w:rsidRDefault="00992134" w:rsidP="00992134">
      <w:pPr>
        <w:ind w:left="360"/>
        <w:rPr>
          <w:rFonts w:cs="Arial"/>
        </w:rPr>
      </w:pPr>
      <w:r w:rsidRPr="00595CB7">
        <w:rPr>
          <w:rFonts w:cs="Arial"/>
        </w:rPr>
        <w:t xml:space="preserve">Summary: Editorial arguing that </w:t>
      </w:r>
      <w:proofErr w:type="spellStart"/>
      <w:r w:rsidRPr="00595CB7">
        <w:rPr>
          <w:rFonts w:cs="Arial"/>
        </w:rPr>
        <w:t>Guglielminotti</w:t>
      </w:r>
      <w:proofErr w:type="spellEnd"/>
      <w:r w:rsidRPr="00595CB7">
        <w:rPr>
          <w:rFonts w:cs="Arial"/>
        </w:rPr>
        <w:t xml:space="preserve"> et al. miscalculated the risk of postpartum depression following general anesthesia by ignoring confounding factors and the biological implausibility of the correlation.</w:t>
      </w:r>
    </w:p>
    <w:p w14:paraId="74CFAB57" w14:textId="77777777" w:rsidR="00992134" w:rsidRPr="00595CB7" w:rsidRDefault="00992134" w:rsidP="00992134">
      <w:pPr>
        <w:rPr>
          <w:rFonts w:cs="Arial"/>
        </w:rPr>
      </w:pPr>
    </w:p>
    <w:p w14:paraId="247DDA08" w14:textId="514662C4" w:rsidR="003220E0" w:rsidRPr="00595CB7" w:rsidRDefault="003220E0" w:rsidP="00A05188">
      <w:pPr>
        <w:pStyle w:val="ListParagraph"/>
        <w:numPr>
          <w:ilvl w:val="0"/>
          <w:numId w:val="1"/>
        </w:numPr>
        <w:rPr>
          <w:rFonts w:cs="Arial"/>
        </w:rPr>
      </w:pPr>
      <w:r w:rsidRPr="00595CB7">
        <w:rPr>
          <w:rFonts w:cs="Arial"/>
        </w:rPr>
        <w:t>Arnolds</w:t>
      </w:r>
      <w:r w:rsidR="00901086" w:rsidRPr="00595CB7">
        <w:rPr>
          <w:rFonts w:cs="Arial"/>
        </w:rPr>
        <w:t>,</w:t>
      </w:r>
      <w:r w:rsidRPr="00595CB7">
        <w:rPr>
          <w:rFonts w:cs="Arial"/>
        </w:rPr>
        <w:t xml:space="preserve"> D</w:t>
      </w:r>
      <w:r w:rsidR="008F7761" w:rsidRPr="00595CB7">
        <w:rPr>
          <w:rFonts w:cs="Arial"/>
        </w:rPr>
        <w:t xml:space="preserve">. &amp; </w:t>
      </w:r>
      <w:proofErr w:type="spellStart"/>
      <w:r w:rsidR="008F7761" w:rsidRPr="00595CB7">
        <w:rPr>
          <w:rFonts w:cs="Arial"/>
        </w:rPr>
        <w:t>Scavone</w:t>
      </w:r>
      <w:proofErr w:type="spellEnd"/>
      <w:r w:rsidR="008F7761" w:rsidRPr="00595CB7">
        <w:rPr>
          <w:rFonts w:cs="Arial"/>
        </w:rPr>
        <w:t xml:space="preserve">, B. (2020). Thromboelastographic </w:t>
      </w:r>
      <w:r w:rsidR="006E15C4" w:rsidRPr="00595CB7">
        <w:rPr>
          <w:rFonts w:cs="Arial"/>
        </w:rPr>
        <w:t>a</w:t>
      </w:r>
      <w:r w:rsidR="008F7761" w:rsidRPr="00595CB7">
        <w:rPr>
          <w:rFonts w:cs="Arial"/>
        </w:rPr>
        <w:t xml:space="preserve">ssessment of </w:t>
      </w:r>
      <w:r w:rsidR="006E15C4" w:rsidRPr="00595CB7">
        <w:rPr>
          <w:rFonts w:cs="Arial"/>
        </w:rPr>
        <w:t>f</w:t>
      </w:r>
      <w:r w:rsidR="008F7761" w:rsidRPr="00595CB7">
        <w:rPr>
          <w:rFonts w:cs="Arial"/>
        </w:rPr>
        <w:t xml:space="preserve">ibrinolytic </w:t>
      </w:r>
      <w:r w:rsidR="006E15C4" w:rsidRPr="00595CB7">
        <w:rPr>
          <w:rFonts w:cs="Arial"/>
        </w:rPr>
        <w:t>a</w:t>
      </w:r>
      <w:r w:rsidR="008F7761" w:rsidRPr="00595CB7">
        <w:rPr>
          <w:rFonts w:cs="Arial"/>
        </w:rPr>
        <w:t xml:space="preserve">ctivity in </w:t>
      </w:r>
      <w:r w:rsidR="006E15C4" w:rsidRPr="00595CB7">
        <w:rPr>
          <w:rFonts w:cs="Arial"/>
        </w:rPr>
        <w:t>p</w:t>
      </w:r>
      <w:r w:rsidR="008F7761" w:rsidRPr="00595CB7">
        <w:rPr>
          <w:rFonts w:cs="Arial"/>
        </w:rPr>
        <w:t xml:space="preserve">ostpartum </w:t>
      </w:r>
      <w:r w:rsidR="006E15C4" w:rsidRPr="00595CB7">
        <w:rPr>
          <w:rFonts w:cs="Arial"/>
        </w:rPr>
        <w:t>h</w:t>
      </w:r>
      <w:r w:rsidR="008F7761" w:rsidRPr="00595CB7">
        <w:rPr>
          <w:rFonts w:cs="Arial"/>
        </w:rPr>
        <w:t xml:space="preserve">emorrhage: </w:t>
      </w:r>
      <w:r w:rsidR="006E15C4" w:rsidRPr="00595CB7">
        <w:rPr>
          <w:rFonts w:cs="Arial"/>
        </w:rPr>
        <w:t>a retrospective single-center observational study</w:t>
      </w:r>
      <w:r w:rsidR="00BC4200" w:rsidRPr="00595CB7">
        <w:rPr>
          <w:rFonts w:cs="Arial"/>
        </w:rPr>
        <w:t xml:space="preserve">. </w:t>
      </w:r>
      <w:r w:rsidR="00BC4200" w:rsidRPr="00595CB7">
        <w:rPr>
          <w:rFonts w:cs="Arial"/>
          <w:i/>
          <w:iCs/>
        </w:rPr>
        <w:t>Anesthesia and Analgesia</w:t>
      </w:r>
      <w:r w:rsidR="00BC4200" w:rsidRPr="00595CB7">
        <w:rPr>
          <w:rFonts w:cs="Arial"/>
        </w:rPr>
        <w:t>, 131(5)</w:t>
      </w:r>
      <w:r w:rsidR="001904F5" w:rsidRPr="00595CB7">
        <w:rPr>
          <w:rFonts w:cs="Arial"/>
        </w:rPr>
        <w:t>, 1373</w:t>
      </w:r>
      <w:r w:rsidR="005D231C" w:rsidRPr="00595CB7">
        <w:rPr>
          <w:rFonts w:cs="Arial"/>
        </w:rPr>
        <w:t xml:space="preserve">. </w:t>
      </w:r>
      <w:proofErr w:type="spellStart"/>
      <w:r w:rsidR="00B2463B" w:rsidRPr="00595CB7">
        <w:rPr>
          <w:rFonts w:cs="Arial"/>
        </w:rPr>
        <w:t>doi</w:t>
      </w:r>
      <w:proofErr w:type="spellEnd"/>
      <w:r w:rsidR="00B2463B" w:rsidRPr="00595CB7">
        <w:rPr>
          <w:rFonts w:cs="Arial"/>
        </w:rPr>
        <w:t>: 10.1213/ANE.0000000000004796.</w:t>
      </w:r>
    </w:p>
    <w:p w14:paraId="6F8EB116" w14:textId="5AFDBE8E" w:rsidR="003C615D" w:rsidRPr="00595CB7" w:rsidRDefault="003C615D" w:rsidP="003C615D">
      <w:pPr>
        <w:rPr>
          <w:rFonts w:cs="Arial"/>
        </w:rPr>
      </w:pPr>
    </w:p>
    <w:p w14:paraId="3AA832B3" w14:textId="21042350" w:rsidR="000F5FB8" w:rsidRPr="00595CB7" w:rsidRDefault="003C615D" w:rsidP="005A5375">
      <w:pPr>
        <w:ind w:left="360"/>
        <w:rPr>
          <w:rFonts w:cs="Arial"/>
        </w:rPr>
      </w:pPr>
      <w:r w:rsidRPr="00595CB7">
        <w:rPr>
          <w:rFonts w:cs="Arial"/>
        </w:rPr>
        <w:t xml:space="preserve">Summary: A single-center retrospective analysis of </w:t>
      </w:r>
      <w:proofErr w:type="spellStart"/>
      <w:r w:rsidRPr="00595CB7">
        <w:rPr>
          <w:rFonts w:cs="Arial"/>
        </w:rPr>
        <w:t>thromboelastography</w:t>
      </w:r>
      <w:proofErr w:type="spellEnd"/>
      <w:r w:rsidRPr="00595CB7">
        <w:rPr>
          <w:rFonts w:cs="Arial"/>
        </w:rPr>
        <w:t xml:space="preserve"> in treatment post-partum hemorrhage. The authors suggested that platelet-mediated clot retraction should be distinguished from fibrinolysis when assaying using viscoelastic techniques.</w:t>
      </w:r>
    </w:p>
    <w:p w14:paraId="3760B6A9" w14:textId="3422640A" w:rsidR="005A5375" w:rsidRPr="00595CB7" w:rsidRDefault="005A5375" w:rsidP="005A5375">
      <w:pPr>
        <w:rPr>
          <w:rFonts w:cs="Arial"/>
        </w:rPr>
      </w:pPr>
    </w:p>
    <w:p w14:paraId="2664B424" w14:textId="4231DCA3" w:rsidR="005A5375" w:rsidRPr="00595CB7" w:rsidRDefault="005A5375" w:rsidP="005A5375">
      <w:pPr>
        <w:pStyle w:val="ListParagraph"/>
        <w:numPr>
          <w:ilvl w:val="0"/>
          <w:numId w:val="1"/>
        </w:numPr>
        <w:rPr>
          <w:rFonts w:cs="Arial"/>
        </w:rPr>
      </w:pPr>
      <w:r w:rsidRPr="00595CB7">
        <w:rPr>
          <w:rFonts w:cs="Arial"/>
        </w:rPr>
        <w:lastRenderedPageBreak/>
        <w:t>Arnolds</w:t>
      </w:r>
      <w:r w:rsidR="00901086" w:rsidRPr="00595CB7">
        <w:rPr>
          <w:rFonts w:cs="Arial"/>
        </w:rPr>
        <w:t xml:space="preserve">, D., Hofer, J., </w:t>
      </w:r>
      <w:r w:rsidR="00AD32AD" w:rsidRPr="00595CB7">
        <w:rPr>
          <w:rFonts w:cs="Arial"/>
        </w:rPr>
        <w:t xml:space="preserve">&amp; </w:t>
      </w:r>
      <w:proofErr w:type="spellStart"/>
      <w:r w:rsidR="00AD32AD" w:rsidRPr="00595CB7">
        <w:rPr>
          <w:rFonts w:cs="Arial"/>
        </w:rPr>
        <w:t>Scavone</w:t>
      </w:r>
      <w:proofErr w:type="spellEnd"/>
      <w:r w:rsidR="00AD32AD" w:rsidRPr="00595CB7">
        <w:rPr>
          <w:rFonts w:cs="Arial"/>
        </w:rPr>
        <w:t>, B. (2020). Inadvertent neuraxial block placement at or above the L1-L2 interspace in the super-obese parturient: a retrospective study</w:t>
      </w:r>
      <w:r w:rsidR="00966434" w:rsidRPr="00595CB7">
        <w:rPr>
          <w:rFonts w:cs="Arial"/>
        </w:rPr>
        <w:t xml:space="preserve">. </w:t>
      </w:r>
      <w:r w:rsidR="00966434" w:rsidRPr="00595CB7">
        <w:rPr>
          <w:rFonts w:cs="Arial"/>
          <w:i/>
          <w:iCs/>
        </w:rPr>
        <w:t>International J</w:t>
      </w:r>
      <w:r w:rsidR="0065632E" w:rsidRPr="00595CB7">
        <w:rPr>
          <w:rFonts w:cs="Arial"/>
          <w:i/>
          <w:iCs/>
        </w:rPr>
        <w:t>ournal of Obstetric Anesthesia</w:t>
      </w:r>
      <w:r w:rsidR="0065632E" w:rsidRPr="00595CB7">
        <w:rPr>
          <w:rFonts w:cs="Arial"/>
        </w:rPr>
        <w:t xml:space="preserve">, (42), 20-25. </w:t>
      </w:r>
      <w:r w:rsidR="006530BE" w:rsidRPr="00595CB7">
        <w:rPr>
          <w:rFonts w:cs="Arial"/>
        </w:rPr>
        <w:t>https://doi.org/10.1016/j.ijoa.2019.11.005</w:t>
      </w:r>
    </w:p>
    <w:p w14:paraId="646A9E75" w14:textId="2F66095D" w:rsidR="00F367BF" w:rsidRPr="00595CB7" w:rsidRDefault="00F367BF" w:rsidP="00F367BF">
      <w:pPr>
        <w:rPr>
          <w:rFonts w:cs="Arial"/>
        </w:rPr>
      </w:pPr>
    </w:p>
    <w:p w14:paraId="40B2A7AF" w14:textId="1A9877FA" w:rsidR="00156190" w:rsidRPr="00E66EE2" w:rsidRDefault="004F5C85" w:rsidP="00156190">
      <w:pPr>
        <w:ind w:left="360"/>
        <w:rPr>
          <w:rFonts w:cs="Arial"/>
        </w:rPr>
      </w:pPr>
      <w:r w:rsidRPr="00595CB7">
        <w:rPr>
          <w:rFonts w:cs="Arial"/>
        </w:rPr>
        <w:t xml:space="preserve">Summary: </w:t>
      </w:r>
      <w:r w:rsidR="00156190" w:rsidRPr="00595CB7">
        <w:rPr>
          <w:rFonts w:cs="Arial"/>
        </w:rPr>
        <w:t xml:space="preserve">There was a high rate of inadvertently high epidural or intrathecal catheter placement in super-obese </w:t>
      </w:r>
      <w:proofErr w:type="spellStart"/>
      <w:r w:rsidR="00156190" w:rsidRPr="00595CB7">
        <w:rPr>
          <w:rFonts w:cs="Arial"/>
        </w:rPr>
        <w:t>parturients</w:t>
      </w:r>
      <w:proofErr w:type="spellEnd"/>
      <w:r w:rsidR="00156190" w:rsidRPr="00595CB7">
        <w:rPr>
          <w:rFonts w:cs="Arial"/>
        </w:rPr>
        <w:t>. Ultrasound did not prevent this.</w:t>
      </w:r>
    </w:p>
    <w:p w14:paraId="2E3EF2B4" w14:textId="147B57EF" w:rsidR="00156190" w:rsidRDefault="00156190" w:rsidP="00156190"/>
    <w:p w14:paraId="5AE930AF" w14:textId="774A5CBA" w:rsidR="00156190" w:rsidRPr="00AE2B0C" w:rsidRDefault="00AE2B0C" w:rsidP="00E66EE2">
      <w:pPr>
        <w:pStyle w:val="ListParagraph"/>
        <w:numPr>
          <w:ilvl w:val="0"/>
          <w:numId w:val="1"/>
        </w:numPr>
        <w:ind w:hanging="450"/>
      </w:pPr>
      <w:r w:rsidRPr="00AE2B0C">
        <w:t xml:space="preserve">Arnott, C., Patel, S., Hyett, J., Jennings, G., Woodward, M., &amp; </w:t>
      </w:r>
      <w:proofErr w:type="spellStart"/>
      <w:r w:rsidRPr="00AE2B0C">
        <w:t>Celermajer</w:t>
      </w:r>
      <w:proofErr w:type="spellEnd"/>
      <w:r w:rsidRPr="00AE2B0C">
        <w:t>, D. S. (2020). Women and cardiovascular disease: pregnancy, the forgotten risk factor. </w:t>
      </w:r>
      <w:r w:rsidRPr="00AE2B0C">
        <w:rPr>
          <w:i/>
          <w:iCs/>
        </w:rPr>
        <w:t>Heart, lung &amp; circulation</w:t>
      </w:r>
      <w:r w:rsidRPr="00AE2B0C">
        <w:t>, </w:t>
      </w:r>
      <w:r w:rsidRPr="00AE2B0C">
        <w:rPr>
          <w:i/>
          <w:iCs/>
        </w:rPr>
        <w:t>29</w:t>
      </w:r>
      <w:r w:rsidRPr="00AE2B0C">
        <w:t>(5), 662–667. https://doi.org/10.1016/j.hlc.2019.09.011.</w:t>
      </w:r>
    </w:p>
    <w:p w14:paraId="65CFC163" w14:textId="7E9E5C57" w:rsidR="00595CB7" w:rsidRDefault="00595CB7" w:rsidP="00595CB7"/>
    <w:p w14:paraId="646BE274" w14:textId="135930D7" w:rsidR="009811F0" w:rsidRPr="009811F0" w:rsidRDefault="00595CB7" w:rsidP="009811F0">
      <w:pPr>
        <w:ind w:left="360"/>
      </w:pPr>
      <w:r w:rsidRPr="009811F0">
        <w:t>Summary</w:t>
      </w:r>
      <w:r>
        <w:t>:</w:t>
      </w:r>
      <w:r w:rsidR="009811F0">
        <w:t xml:space="preserve"> </w:t>
      </w:r>
      <w:r w:rsidR="009811F0" w:rsidRPr="009811F0">
        <w:t>Retrospective cohort of women with singleton pregnancies Australia, showing that hypertensive disease of pregnancy especially early onset, conferred increased risk of cardiovascular disease, with amplification by smoking</w:t>
      </w:r>
      <w:r w:rsidR="009811F0">
        <w:t>.</w:t>
      </w:r>
    </w:p>
    <w:p w14:paraId="1C49829F" w14:textId="01AB4C85" w:rsidR="00595CB7" w:rsidRDefault="00595CB7" w:rsidP="00595CB7">
      <w:pPr>
        <w:ind w:left="360"/>
      </w:pPr>
    </w:p>
    <w:p w14:paraId="1D03C6A0" w14:textId="77777777" w:rsidR="002D66D1" w:rsidRDefault="002D66D1" w:rsidP="002D66D1">
      <w:pPr>
        <w:pStyle w:val="ListParagraph"/>
        <w:ind w:left="360"/>
      </w:pPr>
    </w:p>
    <w:p w14:paraId="7D893A08" w14:textId="42A023A4" w:rsidR="00982AD7" w:rsidRDefault="00AB2E1C" w:rsidP="00E66EE2">
      <w:pPr>
        <w:pStyle w:val="ListParagraph"/>
        <w:numPr>
          <w:ilvl w:val="0"/>
          <w:numId w:val="1"/>
        </w:numPr>
        <w:ind w:hanging="450"/>
      </w:pPr>
      <w:r w:rsidRPr="00AB2E1C">
        <w:t xml:space="preserve">Arora, K. S., </w:t>
      </w:r>
      <w:proofErr w:type="spellStart"/>
      <w:r w:rsidRPr="00AB2E1C">
        <w:t>Mauch</w:t>
      </w:r>
      <w:proofErr w:type="spellEnd"/>
      <w:r w:rsidRPr="00AB2E1C">
        <w:t>, J. T., &amp; Gibson, K. S. (2020). Labor and Delivery Visitor Policies During the COVID-19 Pandemic: Balancing Risks and Benefits. </w:t>
      </w:r>
      <w:proofErr w:type="gramStart"/>
      <w:r w:rsidRPr="00AB2E1C">
        <w:rPr>
          <w:i/>
          <w:iCs/>
        </w:rPr>
        <w:t>JAMA :</w:t>
      </w:r>
      <w:proofErr w:type="gramEnd"/>
      <w:r w:rsidRPr="00AB2E1C">
        <w:rPr>
          <w:i/>
          <w:iCs/>
        </w:rPr>
        <w:t xml:space="preserve"> the Journal of the American Medical Association</w:t>
      </w:r>
      <w:r w:rsidRPr="00AB2E1C">
        <w:t>, </w:t>
      </w:r>
      <w:r w:rsidRPr="00AB2E1C">
        <w:rPr>
          <w:i/>
          <w:iCs/>
        </w:rPr>
        <w:t>323</w:t>
      </w:r>
      <w:r w:rsidRPr="00AB2E1C">
        <w:t>(24), 2468–2469. https://doi.org/10.1001/jama.2020.7563</w:t>
      </w:r>
      <w:r>
        <w:t>.</w:t>
      </w:r>
    </w:p>
    <w:p w14:paraId="148426BE" w14:textId="16F28FFF" w:rsidR="00595CB7" w:rsidRDefault="00595CB7" w:rsidP="00595CB7"/>
    <w:p w14:paraId="728ADCBC" w14:textId="41CB1624" w:rsidR="00595CB7" w:rsidRDefault="00595CB7" w:rsidP="009811F0">
      <w:pPr>
        <w:ind w:left="360"/>
      </w:pPr>
      <w:r w:rsidRPr="009811F0">
        <w:t>Summary:</w:t>
      </w:r>
      <w:r w:rsidR="009811F0" w:rsidRPr="009811F0">
        <w:t xml:space="preserve"> Editorial arguing that labor and delivery unit visitor policies must balance risks and benefits in the face of uncertain and evolving information. Risks and benefits must be balanced in an evidence-based, </w:t>
      </w:r>
      <w:proofErr w:type="spellStart"/>
      <w:r w:rsidR="009811F0" w:rsidRPr="009811F0">
        <w:t>nonreactionary</w:t>
      </w:r>
      <w:proofErr w:type="spellEnd"/>
      <w:r w:rsidR="009811F0" w:rsidRPr="009811F0">
        <w:t>, and compassionate manner.</w:t>
      </w:r>
    </w:p>
    <w:p w14:paraId="3A4EE49F" w14:textId="77777777" w:rsidR="00AB2E1C" w:rsidRDefault="00AB2E1C" w:rsidP="00AB2E1C">
      <w:pPr>
        <w:pStyle w:val="ListParagraph"/>
      </w:pPr>
    </w:p>
    <w:p w14:paraId="0CF9A273" w14:textId="71F93261" w:rsidR="00AB2E1C" w:rsidRDefault="00053129" w:rsidP="00E66EE2">
      <w:pPr>
        <w:pStyle w:val="ListParagraph"/>
        <w:numPr>
          <w:ilvl w:val="0"/>
          <w:numId w:val="1"/>
        </w:numPr>
        <w:ind w:hanging="450"/>
      </w:pPr>
      <w:r w:rsidRPr="00053129">
        <w:t xml:space="preserve">Auger, N., Ayoub, A., &amp; </w:t>
      </w:r>
      <w:proofErr w:type="spellStart"/>
      <w:r w:rsidRPr="00053129">
        <w:t>Piché</w:t>
      </w:r>
      <w:proofErr w:type="spellEnd"/>
      <w:r w:rsidRPr="00053129">
        <w:t xml:space="preserve">, N. (2020). First trimester general </w:t>
      </w:r>
      <w:proofErr w:type="spellStart"/>
      <w:r w:rsidRPr="00053129">
        <w:t>anaesthesia</w:t>
      </w:r>
      <w:proofErr w:type="spellEnd"/>
      <w:r w:rsidRPr="00053129">
        <w:t xml:space="preserve"> and risk of central nervous system defects in offspring. </w:t>
      </w:r>
      <w:r w:rsidRPr="00053129">
        <w:rPr>
          <w:i/>
          <w:iCs/>
        </w:rPr>
        <w:t xml:space="preserve">British Journal of </w:t>
      </w:r>
      <w:proofErr w:type="gramStart"/>
      <w:r w:rsidRPr="00053129">
        <w:rPr>
          <w:i/>
          <w:iCs/>
        </w:rPr>
        <w:t>Anaesthesia :</w:t>
      </w:r>
      <w:proofErr w:type="gramEnd"/>
      <w:r w:rsidRPr="00053129">
        <w:rPr>
          <w:i/>
          <w:iCs/>
        </w:rPr>
        <w:t xml:space="preserve"> BJA</w:t>
      </w:r>
      <w:r w:rsidRPr="00053129">
        <w:t>, </w:t>
      </w:r>
      <w:r w:rsidRPr="00053129">
        <w:rPr>
          <w:i/>
          <w:iCs/>
        </w:rPr>
        <w:t>124</w:t>
      </w:r>
      <w:r w:rsidRPr="00053129">
        <w:t>(3), e92–e94. https://doi.org/10.1016/j.bja.2020.01.002</w:t>
      </w:r>
      <w:r>
        <w:t>.</w:t>
      </w:r>
    </w:p>
    <w:p w14:paraId="000EAB81" w14:textId="0D527D56" w:rsidR="00595CB7" w:rsidRDefault="00595CB7" w:rsidP="00595CB7"/>
    <w:p w14:paraId="309EF873" w14:textId="3086B947" w:rsidR="00595CB7" w:rsidRDefault="00595CB7" w:rsidP="00595CB7">
      <w:pPr>
        <w:ind w:left="360"/>
      </w:pPr>
      <w:r w:rsidRPr="00030B30">
        <w:t>Summary</w:t>
      </w:r>
      <w:r>
        <w:t>:</w:t>
      </w:r>
      <w:r w:rsidR="00030B30">
        <w:t xml:space="preserve"> </w:t>
      </w:r>
      <w:r w:rsidR="00030B30" w:rsidRPr="00030B30">
        <w:t xml:space="preserve">Letter to the editor presenting evidence to suggest that general </w:t>
      </w:r>
      <w:proofErr w:type="spellStart"/>
      <w:r w:rsidR="00030B30" w:rsidRPr="00030B30">
        <w:t>anaesthesia</w:t>
      </w:r>
      <w:proofErr w:type="spellEnd"/>
      <w:r w:rsidR="00030B30" w:rsidRPr="00030B30">
        <w:t xml:space="preserve"> in the first trimester might increase the risk of microcephaly. First trimester surgery may be an indication for early screening of CNS defects in pregnancy</w:t>
      </w:r>
      <w:r w:rsidR="00030B30">
        <w:t>.</w:t>
      </w:r>
    </w:p>
    <w:p w14:paraId="3E124F56" w14:textId="77777777" w:rsidR="00053129" w:rsidRDefault="00053129" w:rsidP="00053129">
      <w:pPr>
        <w:pStyle w:val="ListParagraph"/>
      </w:pPr>
    </w:p>
    <w:p w14:paraId="5B84DD4A" w14:textId="3B7E9436" w:rsidR="00053129" w:rsidRDefault="000937B9" w:rsidP="00E66EE2">
      <w:pPr>
        <w:pStyle w:val="ListParagraph"/>
        <w:numPr>
          <w:ilvl w:val="0"/>
          <w:numId w:val="1"/>
        </w:numPr>
        <w:ind w:hanging="450"/>
      </w:pPr>
      <w:proofErr w:type="spellStart"/>
      <w:r w:rsidRPr="000937B9">
        <w:t>Baluku</w:t>
      </w:r>
      <w:proofErr w:type="spellEnd"/>
      <w:r w:rsidRPr="000937B9">
        <w:t xml:space="preserve">, M., </w:t>
      </w:r>
      <w:proofErr w:type="spellStart"/>
      <w:r w:rsidRPr="000937B9">
        <w:t>Bajunirwe</w:t>
      </w:r>
      <w:proofErr w:type="spellEnd"/>
      <w:r w:rsidRPr="000937B9">
        <w:t xml:space="preserve">, F., </w:t>
      </w:r>
      <w:proofErr w:type="spellStart"/>
      <w:r w:rsidRPr="000937B9">
        <w:t>Ngonzi</w:t>
      </w:r>
      <w:proofErr w:type="spellEnd"/>
      <w:r w:rsidRPr="000937B9">
        <w:t xml:space="preserve">, J., Kiwanuka, J., &amp; </w:t>
      </w:r>
      <w:proofErr w:type="spellStart"/>
      <w:r w:rsidRPr="000937B9">
        <w:t>Ttendo</w:t>
      </w:r>
      <w:proofErr w:type="spellEnd"/>
      <w:r w:rsidRPr="000937B9">
        <w:t>, S. (2020). A Randomized Controlled Trial of Enhanced Recovery After Surgery Versus Standard of Care Recovery for Emergency Cesarean Deliveries at Mbarara Hospital, Uganda. </w:t>
      </w:r>
      <w:r w:rsidRPr="000937B9">
        <w:rPr>
          <w:i/>
          <w:iCs/>
        </w:rPr>
        <w:t>Anesthesia and Analgesia</w:t>
      </w:r>
      <w:r w:rsidRPr="000937B9">
        <w:t>, </w:t>
      </w:r>
      <w:r w:rsidRPr="000937B9">
        <w:rPr>
          <w:i/>
          <w:iCs/>
        </w:rPr>
        <w:t>130</w:t>
      </w:r>
      <w:r w:rsidRPr="000937B9">
        <w:t>(3), 769–776. https://doi.org/10.1213/ANE.0000000000004495</w:t>
      </w:r>
      <w:r>
        <w:t>.</w:t>
      </w:r>
    </w:p>
    <w:p w14:paraId="0208B709" w14:textId="67C47216" w:rsidR="00030B30" w:rsidRDefault="00030B30" w:rsidP="00030B30"/>
    <w:p w14:paraId="7659B418" w14:textId="778B63DD" w:rsidR="00030B30" w:rsidRDefault="00030B30" w:rsidP="00030B30">
      <w:pPr>
        <w:ind w:left="360"/>
      </w:pPr>
      <w:r>
        <w:t xml:space="preserve">Summary: </w:t>
      </w:r>
      <w:r w:rsidRPr="00030B30">
        <w:t>An enhanced recovery after anesthesia protocol for women undergoing emergency cesarean delivery in a low-income setting is feasible and reduces length of hospital stay without increasing the complication rate</w:t>
      </w:r>
      <w:r>
        <w:t>.</w:t>
      </w:r>
    </w:p>
    <w:p w14:paraId="71F43E14" w14:textId="77777777" w:rsidR="000937B9" w:rsidRDefault="000937B9" w:rsidP="000937B9"/>
    <w:p w14:paraId="31B58147" w14:textId="221C85E4" w:rsidR="00982AD7" w:rsidRDefault="00456D50" w:rsidP="00E66EE2">
      <w:pPr>
        <w:pStyle w:val="ListParagraph"/>
        <w:numPr>
          <w:ilvl w:val="0"/>
          <w:numId w:val="1"/>
        </w:numPr>
        <w:ind w:hanging="450"/>
      </w:pPr>
      <w:r w:rsidRPr="00456D50">
        <w:t xml:space="preserve">Bamber, J. H., Lucas, D. N., </w:t>
      </w:r>
      <w:proofErr w:type="spellStart"/>
      <w:r w:rsidRPr="00456D50">
        <w:t>Plaat</w:t>
      </w:r>
      <w:proofErr w:type="spellEnd"/>
      <w:r w:rsidRPr="00456D50">
        <w:t xml:space="preserve">, F., </w:t>
      </w:r>
      <w:proofErr w:type="spellStart"/>
      <w:r w:rsidRPr="00456D50">
        <w:t>Allin</w:t>
      </w:r>
      <w:proofErr w:type="spellEnd"/>
      <w:r w:rsidRPr="00456D50">
        <w:t xml:space="preserve">, B., Knight, M., Hinshaw, K., </w:t>
      </w:r>
      <w:proofErr w:type="spellStart"/>
      <w:r w:rsidRPr="00456D50">
        <w:t>Kuntumalla</w:t>
      </w:r>
      <w:proofErr w:type="spellEnd"/>
      <w:r w:rsidRPr="00456D50">
        <w:t xml:space="preserve">, K., Lo, Q., Stanford, S., Stocks, G., Tanqueray, T., &amp; </w:t>
      </w:r>
      <w:proofErr w:type="spellStart"/>
      <w:r w:rsidRPr="00456D50">
        <w:t>Wikner</w:t>
      </w:r>
      <w:proofErr w:type="spellEnd"/>
      <w:r w:rsidRPr="00456D50">
        <w:t xml:space="preserve">, M. (2020). The identification of key indicators to drive quality improvement in obstetric </w:t>
      </w:r>
      <w:proofErr w:type="spellStart"/>
      <w:r w:rsidRPr="00456D50">
        <w:t>anaesthesia</w:t>
      </w:r>
      <w:proofErr w:type="spellEnd"/>
      <w:r w:rsidRPr="00456D50">
        <w:t xml:space="preserve">: results of the Obstetric </w:t>
      </w:r>
      <w:proofErr w:type="spellStart"/>
      <w:r w:rsidRPr="00456D50">
        <w:t>Anaesthetists’</w:t>
      </w:r>
      <w:proofErr w:type="spellEnd"/>
      <w:r w:rsidRPr="00456D50">
        <w:t xml:space="preserve"> Association/National Perinatal Epidemiology Unit collaborative Delphi project. </w:t>
      </w:r>
      <w:r w:rsidRPr="00456D50">
        <w:rPr>
          <w:i/>
          <w:iCs/>
        </w:rPr>
        <w:t>Anaesthesia</w:t>
      </w:r>
      <w:r w:rsidRPr="00456D50">
        <w:t>, </w:t>
      </w:r>
      <w:r w:rsidRPr="00456D50">
        <w:rPr>
          <w:i/>
          <w:iCs/>
        </w:rPr>
        <w:t>75</w:t>
      </w:r>
      <w:r w:rsidRPr="00456D50">
        <w:t>(5), 617–625. https://doi.org/10.1111/anae.14861</w:t>
      </w:r>
      <w:r w:rsidR="00147524">
        <w:t>.</w:t>
      </w:r>
    </w:p>
    <w:p w14:paraId="3B495106" w14:textId="6E7F0E73" w:rsidR="00147524" w:rsidRDefault="00147524" w:rsidP="00147524"/>
    <w:p w14:paraId="1B5A3822" w14:textId="31E16AAA" w:rsidR="00147524" w:rsidRDefault="00147524" w:rsidP="00AD4548">
      <w:pPr>
        <w:ind w:left="360"/>
      </w:pPr>
      <w:r w:rsidRPr="00AD4548">
        <w:t>Summary</w:t>
      </w:r>
      <w:r>
        <w:t xml:space="preserve">: </w:t>
      </w:r>
      <w:r w:rsidR="00AD4548" w:rsidRPr="00AD4548">
        <w:t xml:space="preserve">Description of quality indicators for obstetric </w:t>
      </w:r>
      <w:proofErr w:type="spellStart"/>
      <w:r w:rsidR="00AD4548" w:rsidRPr="00AD4548">
        <w:t>anaesthesia</w:t>
      </w:r>
      <w:proofErr w:type="spellEnd"/>
      <w:r w:rsidR="00AD4548" w:rsidRPr="00AD4548">
        <w:t xml:space="preserve"> in the UK, including 5 of 11 indicators chosen by a panel</w:t>
      </w:r>
      <w:r w:rsidR="00AD4548">
        <w:t>.</w:t>
      </w:r>
    </w:p>
    <w:p w14:paraId="289BF1B4" w14:textId="77777777" w:rsidR="00147524" w:rsidRDefault="00147524" w:rsidP="00147524">
      <w:pPr>
        <w:ind w:left="360"/>
      </w:pPr>
    </w:p>
    <w:p w14:paraId="75EFF50A" w14:textId="2F90BD81" w:rsidR="00147524" w:rsidRDefault="00360276" w:rsidP="00E66EE2">
      <w:pPr>
        <w:pStyle w:val="ListParagraph"/>
        <w:numPr>
          <w:ilvl w:val="0"/>
          <w:numId w:val="1"/>
        </w:numPr>
        <w:ind w:hanging="450"/>
      </w:pPr>
      <w:r w:rsidRPr="00360276">
        <w:t xml:space="preserve">Bauer, M., Bernstein, K., </w:t>
      </w:r>
      <w:proofErr w:type="spellStart"/>
      <w:r w:rsidRPr="00360276">
        <w:t>Dinges</w:t>
      </w:r>
      <w:proofErr w:type="spellEnd"/>
      <w:r w:rsidRPr="00360276">
        <w:t>, E., Delgado, C., El-</w:t>
      </w:r>
      <w:proofErr w:type="spellStart"/>
      <w:r w:rsidRPr="00360276">
        <w:t>Sharawi</w:t>
      </w:r>
      <w:proofErr w:type="spellEnd"/>
      <w:r w:rsidRPr="00360276">
        <w:t xml:space="preserve">, N., Sultan, P., </w:t>
      </w:r>
      <w:proofErr w:type="spellStart"/>
      <w:r w:rsidRPr="00360276">
        <w:t>Mhyre</w:t>
      </w:r>
      <w:proofErr w:type="spellEnd"/>
      <w:r w:rsidRPr="00360276">
        <w:t xml:space="preserve">, J. M., &amp; Landau, R. (2020). Obstetric </w:t>
      </w:r>
      <w:r w:rsidR="00097108" w:rsidRPr="00360276">
        <w:t>anesthesia during the coronavirus disease 2019 pandemic</w:t>
      </w:r>
      <w:r w:rsidRPr="00360276">
        <w:t>. </w:t>
      </w:r>
      <w:r w:rsidRPr="00360276">
        <w:rPr>
          <w:i/>
          <w:iCs/>
        </w:rPr>
        <w:t>Anesthesia and Analgesia</w:t>
      </w:r>
      <w:r w:rsidRPr="00360276">
        <w:t>. https://doi.org/10.1213/ANE.0000000000004856</w:t>
      </w:r>
      <w:r>
        <w:t>.</w:t>
      </w:r>
    </w:p>
    <w:p w14:paraId="31CFA50A" w14:textId="79858308" w:rsidR="00147524" w:rsidRDefault="00147524" w:rsidP="00147524"/>
    <w:p w14:paraId="1200BB47" w14:textId="310AC1D8" w:rsidR="00147524" w:rsidRDefault="00147524" w:rsidP="00C60A1E">
      <w:pPr>
        <w:ind w:left="360"/>
      </w:pPr>
      <w:r w:rsidRPr="00C60A1E">
        <w:lastRenderedPageBreak/>
        <w:t>Summary</w:t>
      </w:r>
      <w:r>
        <w:t>:</w:t>
      </w:r>
      <w:r w:rsidR="00C60A1E" w:rsidRPr="00C60A1E">
        <w:rPr>
          <w:rFonts w:cs="Arial"/>
          <w:color w:val="212121"/>
          <w:sz w:val="18"/>
          <w:szCs w:val="18"/>
        </w:rPr>
        <w:t xml:space="preserve"> </w:t>
      </w:r>
      <w:r w:rsidR="00C60A1E" w:rsidRPr="00C60A1E">
        <w:t>Evidence-based or expert opinions for anesthesiologists caring for pregnant women during the COVID-19 pandemic with a focus on preparedness and best clinical obstetric anesthesia practice</w:t>
      </w:r>
      <w:r w:rsidR="00C60A1E">
        <w:t>.</w:t>
      </w:r>
    </w:p>
    <w:p w14:paraId="5C349119" w14:textId="77777777" w:rsidR="00147524" w:rsidRDefault="00147524" w:rsidP="00147524">
      <w:pPr>
        <w:ind w:left="360"/>
      </w:pPr>
    </w:p>
    <w:p w14:paraId="592F7231" w14:textId="7976D644" w:rsidR="00147524" w:rsidRDefault="00442F3C" w:rsidP="00E66EE2">
      <w:pPr>
        <w:pStyle w:val="ListParagraph"/>
        <w:numPr>
          <w:ilvl w:val="0"/>
          <w:numId w:val="1"/>
        </w:numPr>
        <w:ind w:hanging="450"/>
      </w:pPr>
      <w:r>
        <w:t xml:space="preserve">Belfort, M.A., </w:t>
      </w:r>
      <w:r w:rsidR="002B2200" w:rsidRPr="002B2200">
        <w:t xml:space="preserve">Stafford, I. A., </w:t>
      </w:r>
      <w:proofErr w:type="spellStart"/>
      <w:r w:rsidR="002B2200" w:rsidRPr="002B2200">
        <w:t>Moaddab</w:t>
      </w:r>
      <w:proofErr w:type="spellEnd"/>
      <w:r w:rsidR="002B2200" w:rsidRPr="002B2200">
        <w:t xml:space="preserve">, A., </w:t>
      </w:r>
      <w:proofErr w:type="spellStart"/>
      <w:r w:rsidR="002B2200" w:rsidRPr="002B2200">
        <w:t>Dildy</w:t>
      </w:r>
      <w:proofErr w:type="spellEnd"/>
      <w:r w:rsidR="002B2200" w:rsidRPr="002B2200">
        <w:t>, G. A., Klassen, M., Berra, A., Watters, C., Romero, R., &amp; Clark, S. L. (2020). Amniotic fluid embolism syndrome: analysis of the Unites States International Registry. </w:t>
      </w:r>
      <w:r w:rsidR="002B2200" w:rsidRPr="002B2200">
        <w:rPr>
          <w:i/>
          <w:iCs/>
        </w:rPr>
        <w:t>American journal of obstetrics &amp; gynecology MFM</w:t>
      </w:r>
      <w:r w:rsidR="002B2200" w:rsidRPr="002B2200">
        <w:t>, </w:t>
      </w:r>
      <w:r w:rsidR="002B2200" w:rsidRPr="002B2200">
        <w:rPr>
          <w:i/>
          <w:iCs/>
        </w:rPr>
        <w:t>2</w:t>
      </w:r>
      <w:r w:rsidR="002B2200" w:rsidRPr="002B2200">
        <w:t>(2), 100083. https://doi.org/10.1016/j.ajogmf.2019.100083</w:t>
      </w:r>
      <w:r>
        <w:t>.</w:t>
      </w:r>
    </w:p>
    <w:p w14:paraId="4C3F47B4" w14:textId="112395DD" w:rsidR="00147524" w:rsidRDefault="00147524" w:rsidP="00147524"/>
    <w:p w14:paraId="1D38F1B7" w14:textId="4FB77008" w:rsidR="00147524" w:rsidRDefault="00147524" w:rsidP="00C60A1E">
      <w:pPr>
        <w:ind w:left="360"/>
      </w:pPr>
      <w:r w:rsidRPr="00C60A1E">
        <w:t>Summary</w:t>
      </w:r>
      <w:r>
        <w:t>:</w:t>
      </w:r>
      <w:r w:rsidR="00C60A1E">
        <w:t xml:space="preserve"> </w:t>
      </w:r>
      <w:r w:rsidR="00C60A1E" w:rsidRPr="00C60A1E">
        <w:t>Database chart review of 129 presumed cases of amniotic fluid embolism. Placenta previa, reported allergy, and in-vitro fertilization were associated, though there were no definitive risk factors</w:t>
      </w:r>
      <w:r w:rsidR="00C60A1E">
        <w:t>.</w:t>
      </w:r>
    </w:p>
    <w:p w14:paraId="13CD5AA4" w14:textId="77777777" w:rsidR="00147524" w:rsidRDefault="00147524" w:rsidP="00147524">
      <w:pPr>
        <w:ind w:left="360"/>
      </w:pPr>
    </w:p>
    <w:p w14:paraId="31831F18" w14:textId="7D8D0F57" w:rsidR="00147524" w:rsidRDefault="00BF7AEA" w:rsidP="00E66EE2">
      <w:pPr>
        <w:pStyle w:val="ListParagraph"/>
        <w:numPr>
          <w:ilvl w:val="0"/>
          <w:numId w:val="1"/>
        </w:numPr>
        <w:ind w:hanging="450"/>
      </w:pPr>
      <w:r w:rsidRPr="00BF7AEA">
        <w:t xml:space="preserve">Blackwell, T. M., Dill, L. J., </w:t>
      </w:r>
      <w:proofErr w:type="spellStart"/>
      <w:r w:rsidRPr="00BF7AEA">
        <w:t>Hoepner</w:t>
      </w:r>
      <w:proofErr w:type="spellEnd"/>
      <w:r w:rsidRPr="00BF7AEA">
        <w:t xml:space="preserve">, L. A., &amp; Geer, L. A. (2020). </w:t>
      </w:r>
      <w:r w:rsidR="00097108">
        <w:t>U</w:t>
      </w:r>
      <w:r w:rsidR="00097108" w:rsidRPr="00BF7AEA">
        <w:t xml:space="preserve">sing text messaging to improve access to prenatal health information in urban </w:t>
      </w:r>
      <w:proofErr w:type="spellStart"/>
      <w:r w:rsidR="00097108" w:rsidRPr="00BF7AEA">
        <w:t>african</w:t>
      </w:r>
      <w:proofErr w:type="spellEnd"/>
      <w:r w:rsidR="00097108" w:rsidRPr="00BF7AEA">
        <w:t xml:space="preserve"> </w:t>
      </w:r>
      <w:proofErr w:type="spellStart"/>
      <w:r w:rsidR="00097108" w:rsidRPr="00BF7AEA">
        <w:t>american</w:t>
      </w:r>
      <w:proofErr w:type="spellEnd"/>
      <w:r w:rsidR="00097108" w:rsidRPr="00BF7AEA">
        <w:t xml:space="preserve"> and afro-</w:t>
      </w:r>
      <w:proofErr w:type="spellStart"/>
      <w:r w:rsidR="00097108" w:rsidRPr="00BF7AEA">
        <w:t>caribbean</w:t>
      </w:r>
      <w:proofErr w:type="spellEnd"/>
      <w:r w:rsidR="00097108" w:rsidRPr="00BF7AEA">
        <w:t xml:space="preserve"> immigrant pregnant women: mixed methods analysis of text4baby usage</w:t>
      </w:r>
      <w:r w:rsidRPr="00BF7AEA">
        <w:t>. </w:t>
      </w:r>
      <w:r w:rsidRPr="00BF7AEA">
        <w:rPr>
          <w:i/>
          <w:iCs/>
        </w:rPr>
        <w:t xml:space="preserve">JMIR mHealth and </w:t>
      </w:r>
      <w:proofErr w:type="spellStart"/>
      <w:r w:rsidRPr="00BF7AEA">
        <w:rPr>
          <w:i/>
          <w:iCs/>
        </w:rPr>
        <w:t>uHealth</w:t>
      </w:r>
      <w:proofErr w:type="spellEnd"/>
      <w:r w:rsidRPr="00BF7AEA">
        <w:t>, </w:t>
      </w:r>
      <w:r w:rsidRPr="00BF7AEA">
        <w:rPr>
          <w:i/>
          <w:iCs/>
        </w:rPr>
        <w:t>8</w:t>
      </w:r>
      <w:r w:rsidRPr="00BF7AEA">
        <w:t>(2), e14737–. https://doi.org/10.2196/14737</w:t>
      </w:r>
      <w:r>
        <w:t>.</w:t>
      </w:r>
    </w:p>
    <w:p w14:paraId="4EE55358" w14:textId="7029300F" w:rsidR="00147524" w:rsidRDefault="00147524" w:rsidP="00147524"/>
    <w:p w14:paraId="7725B305" w14:textId="48753591" w:rsidR="00147524" w:rsidRDefault="00147524" w:rsidP="00D5623B">
      <w:pPr>
        <w:ind w:left="360"/>
      </w:pPr>
      <w:r w:rsidRPr="00D5623B">
        <w:t>Summary</w:t>
      </w:r>
      <w:r>
        <w:t>:</w:t>
      </w:r>
      <w:r w:rsidR="00D5623B">
        <w:t xml:space="preserve"> </w:t>
      </w:r>
      <w:r w:rsidR="00D5623B" w:rsidRPr="00D5623B">
        <w:t>An exploratory sequential mixed methods study of the effects of a text message-based prenatal care information application. Participants in a low-income minority community in Brooklyn, NY expressed interest in using the application</w:t>
      </w:r>
      <w:r w:rsidR="00D5623B">
        <w:t>.</w:t>
      </w:r>
    </w:p>
    <w:p w14:paraId="62B57D5E" w14:textId="77777777" w:rsidR="00147524" w:rsidRDefault="00147524" w:rsidP="00147524">
      <w:pPr>
        <w:ind w:left="360"/>
      </w:pPr>
    </w:p>
    <w:p w14:paraId="7A107A84" w14:textId="58B5BCAF" w:rsidR="00147524" w:rsidRDefault="00ED3CA2" w:rsidP="00E66EE2">
      <w:pPr>
        <w:pStyle w:val="ListParagraph"/>
        <w:numPr>
          <w:ilvl w:val="0"/>
          <w:numId w:val="1"/>
        </w:numPr>
        <w:ind w:hanging="450"/>
      </w:pPr>
      <w:r w:rsidRPr="00ED3CA2">
        <w:t xml:space="preserve">Boardman, H., </w:t>
      </w:r>
      <w:proofErr w:type="spellStart"/>
      <w:r w:rsidRPr="00ED3CA2">
        <w:t>Lamata</w:t>
      </w:r>
      <w:proofErr w:type="spellEnd"/>
      <w:r w:rsidRPr="00ED3CA2">
        <w:t xml:space="preserve">, P., </w:t>
      </w:r>
      <w:proofErr w:type="spellStart"/>
      <w:r w:rsidRPr="00ED3CA2">
        <w:t>Lazdam</w:t>
      </w:r>
      <w:proofErr w:type="spellEnd"/>
      <w:r w:rsidRPr="00ED3CA2">
        <w:t xml:space="preserve">, M., </w:t>
      </w:r>
      <w:proofErr w:type="spellStart"/>
      <w:r w:rsidRPr="00ED3CA2">
        <w:t>Verburg</w:t>
      </w:r>
      <w:proofErr w:type="spellEnd"/>
      <w:r w:rsidRPr="00ED3CA2">
        <w:t xml:space="preserve">, A., </w:t>
      </w:r>
      <w:proofErr w:type="spellStart"/>
      <w:r w:rsidRPr="00ED3CA2">
        <w:t>Siepmann</w:t>
      </w:r>
      <w:proofErr w:type="spellEnd"/>
      <w:r w:rsidRPr="00ED3CA2">
        <w:t xml:space="preserve">, T., Upton, R., </w:t>
      </w:r>
      <w:proofErr w:type="spellStart"/>
      <w:r w:rsidRPr="00ED3CA2">
        <w:t>Bilderbeck</w:t>
      </w:r>
      <w:proofErr w:type="spellEnd"/>
      <w:r w:rsidRPr="00ED3CA2">
        <w:t xml:space="preserve">, A., Dore, R., Smedley, C., Kenworthy, Y., </w:t>
      </w:r>
      <w:proofErr w:type="spellStart"/>
      <w:r w:rsidRPr="00ED3CA2">
        <w:t>Sverrisdottir</w:t>
      </w:r>
      <w:proofErr w:type="spellEnd"/>
      <w:r w:rsidRPr="00ED3CA2">
        <w:t xml:space="preserve">, Y., Aye, C. Y., Williamson, W., </w:t>
      </w:r>
      <w:proofErr w:type="spellStart"/>
      <w:r w:rsidRPr="00ED3CA2">
        <w:t>Huckstep</w:t>
      </w:r>
      <w:proofErr w:type="spellEnd"/>
      <w:r w:rsidRPr="00ED3CA2">
        <w:t xml:space="preserve">, O., Francis, J. M., Neubauer, S., Lewandowski, A. J., &amp; Leeson, P. (2020). Variations in </w:t>
      </w:r>
      <w:r w:rsidR="00642901">
        <w:t>c</w:t>
      </w:r>
      <w:r w:rsidRPr="00ED3CA2">
        <w:t xml:space="preserve">ardiovascular </w:t>
      </w:r>
      <w:r w:rsidR="00642901">
        <w:t>s</w:t>
      </w:r>
      <w:r w:rsidRPr="00ED3CA2">
        <w:t xml:space="preserve">tructure, </w:t>
      </w:r>
      <w:r w:rsidR="00642901">
        <w:t>f</w:t>
      </w:r>
      <w:r w:rsidRPr="00ED3CA2">
        <w:t xml:space="preserve">unction, and </w:t>
      </w:r>
      <w:r w:rsidR="00642901">
        <w:t>g</w:t>
      </w:r>
      <w:r w:rsidRPr="00ED3CA2">
        <w:t xml:space="preserve">eometry in </w:t>
      </w:r>
      <w:r w:rsidR="00642901">
        <w:t>m</w:t>
      </w:r>
      <w:r w:rsidRPr="00ED3CA2">
        <w:t xml:space="preserve">idlife </w:t>
      </w:r>
      <w:r w:rsidR="00642901">
        <w:t>a</w:t>
      </w:r>
      <w:r w:rsidRPr="00ED3CA2">
        <w:t xml:space="preserve">ssociated </w:t>
      </w:r>
      <w:r w:rsidR="00642901" w:rsidRPr="00ED3CA2">
        <w:t>with</w:t>
      </w:r>
      <w:r w:rsidRPr="00ED3CA2">
        <w:t xml:space="preserve"> a </w:t>
      </w:r>
      <w:r w:rsidR="00642901">
        <w:t>h</w:t>
      </w:r>
      <w:r w:rsidRPr="00ED3CA2">
        <w:t xml:space="preserve">istory of </w:t>
      </w:r>
      <w:r w:rsidR="00642901">
        <w:t>h</w:t>
      </w:r>
      <w:r w:rsidRPr="00ED3CA2">
        <w:t xml:space="preserve">ypertensive </w:t>
      </w:r>
      <w:r w:rsidR="00642901">
        <w:t>p</w:t>
      </w:r>
      <w:r w:rsidRPr="00ED3CA2">
        <w:t>regnancy. </w:t>
      </w:r>
      <w:r w:rsidRPr="00ED3CA2">
        <w:rPr>
          <w:i/>
          <w:iCs/>
        </w:rPr>
        <w:t>Hypertension (Dallas, Tex. 1979)</w:t>
      </w:r>
      <w:r w:rsidRPr="00ED3CA2">
        <w:t>, </w:t>
      </w:r>
      <w:r w:rsidRPr="00ED3CA2">
        <w:rPr>
          <w:i/>
          <w:iCs/>
        </w:rPr>
        <w:t>75</w:t>
      </w:r>
      <w:r w:rsidRPr="00ED3CA2">
        <w:t>(6), 1542–1550. https://doi.org/10.1161/HYPERTENSIONAHA.119.14530</w:t>
      </w:r>
      <w:r>
        <w:t>.</w:t>
      </w:r>
    </w:p>
    <w:p w14:paraId="39091C5C" w14:textId="4478DB32" w:rsidR="00147524" w:rsidRDefault="00147524" w:rsidP="00147524"/>
    <w:p w14:paraId="6B7DE919" w14:textId="26D7887B" w:rsidR="00147524" w:rsidRDefault="00147524" w:rsidP="00D5623B">
      <w:pPr>
        <w:ind w:left="360"/>
      </w:pPr>
      <w:r w:rsidRPr="00D5623B">
        <w:t>Summary</w:t>
      </w:r>
      <w:r>
        <w:t xml:space="preserve">: </w:t>
      </w:r>
      <w:r w:rsidR="00D5623B" w:rsidRPr="00D5623B">
        <w:t>Multimodality imaging study finding that differences in cardiac structure and geometry and microvascular rarefaction are evident in midlife after a hypertensive pregnancy, independent of blood pressure</w:t>
      </w:r>
      <w:r w:rsidR="00D5623B">
        <w:t>.</w:t>
      </w:r>
    </w:p>
    <w:p w14:paraId="654E2138" w14:textId="77777777" w:rsidR="00147524" w:rsidRDefault="00147524" w:rsidP="00147524">
      <w:pPr>
        <w:ind w:left="360"/>
      </w:pPr>
    </w:p>
    <w:p w14:paraId="737D54B0" w14:textId="0D2777DB" w:rsidR="00147524" w:rsidRDefault="006E0AD5" w:rsidP="00E66EE2">
      <w:pPr>
        <w:pStyle w:val="ListParagraph"/>
        <w:numPr>
          <w:ilvl w:val="0"/>
          <w:numId w:val="1"/>
        </w:numPr>
        <w:ind w:hanging="450"/>
      </w:pPr>
      <w:r w:rsidRPr="006E0AD5">
        <w:t xml:space="preserve">Burgess, A. P., </w:t>
      </w:r>
      <w:proofErr w:type="spellStart"/>
      <w:r w:rsidRPr="006E0AD5">
        <w:t>Dongarwar</w:t>
      </w:r>
      <w:proofErr w:type="spellEnd"/>
      <w:r w:rsidRPr="006E0AD5">
        <w:t xml:space="preserve">, D., </w:t>
      </w:r>
      <w:proofErr w:type="spellStart"/>
      <w:r w:rsidRPr="006E0AD5">
        <w:t>Spigel</w:t>
      </w:r>
      <w:proofErr w:type="spellEnd"/>
      <w:r w:rsidRPr="006E0AD5">
        <w:t xml:space="preserve">, Z., </w:t>
      </w:r>
      <w:proofErr w:type="spellStart"/>
      <w:r w:rsidRPr="006E0AD5">
        <w:t>Salihu</w:t>
      </w:r>
      <w:proofErr w:type="spellEnd"/>
      <w:r w:rsidRPr="006E0AD5">
        <w:t xml:space="preserve">, H. M., </w:t>
      </w:r>
      <w:proofErr w:type="spellStart"/>
      <w:r w:rsidRPr="006E0AD5">
        <w:t>Moaddab</w:t>
      </w:r>
      <w:proofErr w:type="spellEnd"/>
      <w:r w:rsidRPr="006E0AD5">
        <w:t>, A., Clark, S. L., &amp; Fox, K. (2020). Pregnancy-related mortality in the United States, 2003–2016: age, race, and place of death. </w:t>
      </w:r>
      <w:r w:rsidRPr="006E0AD5">
        <w:rPr>
          <w:i/>
          <w:iCs/>
        </w:rPr>
        <w:t>American Journal of Obstetrics and Gynecology</w:t>
      </w:r>
      <w:r w:rsidRPr="006E0AD5">
        <w:t>, </w:t>
      </w:r>
      <w:r w:rsidRPr="006E0AD5">
        <w:rPr>
          <w:i/>
          <w:iCs/>
        </w:rPr>
        <w:t>222</w:t>
      </w:r>
      <w:r w:rsidRPr="006E0AD5">
        <w:t>(5), 489.e1–489.e8. https://doi.org/10.1016/j.ajog.2020.02.020</w:t>
      </w:r>
      <w:r>
        <w:t>.</w:t>
      </w:r>
    </w:p>
    <w:p w14:paraId="6CA6D699" w14:textId="1B380B1C" w:rsidR="00FC3136" w:rsidRDefault="00FC3136" w:rsidP="00FC3136"/>
    <w:p w14:paraId="106AE4B4" w14:textId="1F957051" w:rsidR="00471812" w:rsidRPr="00471812" w:rsidRDefault="00FC3136" w:rsidP="00471812">
      <w:pPr>
        <w:ind w:left="360"/>
      </w:pPr>
      <w:r w:rsidRPr="00471812">
        <w:t>Summary</w:t>
      </w:r>
      <w:r>
        <w:t>:</w:t>
      </w:r>
      <w:r w:rsidR="00471812">
        <w:t xml:space="preserve"> </w:t>
      </w:r>
      <w:r w:rsidR="00471812" w:rsidRPr="00471812">
        <w:t>Retrospective, cross-sectional study of maternal deaths 2003 to 2016. Relative risk of death for home deliveries doubled, while those of inpatient and outpatient centers fell by ~20%</w:t>
      </w:r>
      <w:r w:rsidR="00471812">
        <w:t>.</w:t>
      </w:r>
    </w:p>
    <w:p w14:paraId="50266017" w14:textId="77777777" w:rsidR="00FC3136" w:rsidRDefault="00FC3136" w:rsidP="00FC3136">
      <w:pPr>
        <w:ind w:left="360"/>
      </w:pPr>
    </w:p>
    <w:p w14:paraId="2C2844DA" w14:textId="0755366A" w:rsidR="00FC3136" w:rsidRDefault="00A22DDD" w:rsidP="00FC3136">
      <w:pPr>
        <w:pStyle w:val="ListParagraph"/>
        <w:numPr>
          <w:ilvl w:val="0"/>
          <w:numId w:val="1"/>
        </w:numPr>
        <w:ind w:hanging="450"/>
      </w:pPr>
      <w:r w:rsidRPr="00A22DDD">
        <w:t xml:space="preserve">Burstein, R., Henry, N. J., Collison, M. L., Marczak, L. B., </w:t>
      </w:r>
      <w:proofErr w:type="spellStart"/>
      <w:r w:rsidRPr="00A22DDD">
        <w:t>Sligar</w:t>
      </w:r>
      <w:proofErr w:type="spellEnd"/>
      <w:r w:rsidRPr="00A22DDD">
        <w:t xml:space="preserve">, A., Watson, S., Khan, M., </w:t>
      </w:r>
      <w:proofErr w:type="spellStart"/>
      <w:r w:rsidRPr="00A22DDD">
        <w:t>Listl</w:t>
      </w:r>
      <w:proofErr w:type="spellEnd"/>
      <w:r w:rsidRPr="00A22DDD">
        <w:t>, S., Murray, C. J., &amp; Hay, S. I. (2019). Mapping 123 million neonatal, infant and child deaths between 2000 and 2017. </w:t>
      </w:r>
      <w:r w:rsidRPr="00A22DDD">
        <w:rPr>
          <w:i/>
          <w:iCs/>
        </w:rPr>
        <w:t>Nature (London)</w:t>
      </w:r>
      <w:r w:rsidRPr="00A22DDD">
        <w:t>, </w:t>
      </w:r>
      <w:r w:rsidRPr="00A22DDD">
        <w:rPr>
          <w:i/>
          <w:iCs/>
        </w:rPr>
        <w:t>574</w:t>
      </w:r>
      <w:r w:rsidRPr="00A22DDD">
        <w:t>(7778), 353–+. https://doi.org/10.1038/s41586-019-1545-0</w:t>
      </w:r>
      <w:r>
        <w:t>.</w:t>
      </w:r>
    </w:p>
    <w:p w14:paraId="1FE6330B" w14:textId="77777777" w:rsidR="00FC3136" w:rsidRDefault="00FC3136" w:rsidP="00FC3136"/>
    <w:p w14:paraId="6C84F5AE" w14:textId="434AB1A4" w:rsidR="00471812" w:rsidRPr="00471812" w:rsidRDefault="00FC3136" w:rsidP="00471812">
      <w:pPr>
        <w:ind w:left="360"/>
      </w:pPr>
      <w:r w:rsidRPr="00471812">
        <w:t>Summary</w:t>
      </w:r>
      <w:r>
        <w:t>:</w:t>
      </w:r>
      <w:r w:rsidR="00471812">
        <w:t xml:space="preserve"> </w:t>
      </w:r>
      <w:r w:rsidR="00471812" w:rsidRPr="00471812">
        <w:t xml:space="preserve">Identification of high-mortality clusters using a geostatistical survival model to </w:t>
      </w:r>
      <w:r w:rsidR="00FE2A4E" w:rsidRPr="00471812">
        <w:t>measure</w:t>
      </w:r>
      <w:r w:rsidR="00471812" w:rsidRPr="00471812">
        <w:t xml:space="preserve"> subnational variation in mortality rates in low- and middle-income countries; 58% of deaths could have been averted in the absence of geographical inequality</w:t>
      </w:r>
      <w:r w:rsidR="00471812">
        <w:t>.</w:t>
      </w:r>
    </w:p>
    <w:p w14:paraId="3F817357" w14:textId="77777777" w:rsidR="00FC3136" w:rsidRDefault="00FC3136" w:rsidP="00471812"/>
    <w:p w14:paraId="1E68E2B1" w14:textId="0B1A7A5A" w:rsidR="00FC3136" w:rsidRDefault="00262FBC" w:rsidP="00FC3136">
      <w:pPr>
        <w:pStyle w:val="ListParagraph"/>
        <w:numPr>
          <w:ilvl w:val="0"/>
          <w:numId w:val="1"/>
        </w:numPr>
        <w:ind w:hanging="450"/>
      </w:pPr>
      <w:proofErr w:type="spellStart"/>
      <w:r w:rsidRPr="00262FBC">
        <w:t>Butwick</w:t>
      </w:r>
      <w:proofErr w:type="spellEnd"/>
      <w:r w:rsidRPr="00262FBC">
        <w:t xml:space="preserve">, A. J. (2020). Postpartum </w:t>
      </w:r>
      <w:r w:rsidR="00E52F02" w:rsidRPr="00262FBC">
        <w:t>hemorrhage: wherefore art thou, hyperfibrinolysis</w:t>
      </w:r>
      <w:r w:rsidRPr="00262FBC">
        <w:t>? </w:t>
      </w:r>
      <w:r w:rsidRPr="00262FBC">
        <w:rPr>
          <w:i/>
          <w:iCs/>
        </w:rPr>
        <w:t>Anesthesia and Analgesia</w:t>
      </w:r>
      <w:r w:rsidRPr="00262FBC">
        <w:t>, </w:t>
      </w:r>
      <w:r w:rsidRPr="00262FBC">
        <w:rPr>
          <w:i/>
          <w:iCs/>
        </w:rPr>
        <w:t>131</w:t>
      </w:r>
      <w:r w:rsidRPr="00262FBC">
        <w:t>(5), 1370–1372. https://doi.org/10.1213/ANE.0000000000004881</w:t>
      </w:r>
      <w:r>
        <w:t>.</w:t>
      </w:r>
    </w:p>
    <w:p w14:paraId="38CD508E" w14:textId="77777777" w:rsidR="00FC3136" w:rsidRDefault="00FC3136" w:rsidP="00FC3136"/>
    <w:p w14:paraId="0043BFF2" w14:textId="43948FC2" w:rsidR="00FE2A4E" w:rsidRPr="00FE2A4E" w:rsidRDefault="00FC3136" w:rsidP="00FE2A4E">
      <w:pPr>
        <w:ind w:left="360"/>
      </w:pPr>
      <w:r w:rsidRPr="00FE2A4E">
        <w:t>Summary</w:t>
      </w:r>
      <w:r>
        <w:t>:</w:t>
      </w:r>
      <w:r w:rsidR="00FE2A4E">
        <w:t xml:space="preserve"> </w:t>
      </w:r>
      <w:r w:rsidR="00FE2A4E" w:rsidRPr="00FE2A4E">
        <w:t xml:space="preserve">Summary of Arnolds and </w:t>
      </w:r>
      <w:proofErr w:type="spellStart"/>
      <w:r w:rsidR="00FE2A4E" w:rsidRPr="00FE2A4E">
        <w:t>Scarvone</w:t>
      </w:r>
      <w:proofErr w:type="spellEnd"/>
      <w:r w:rsidR="00FE2A4E" w:rsidRPr="00FE2A4E">
        <w:t xml:space="preserve"> applauding the authors for focusing on the pathophysiology of postpartum hemorrhage as distinct from other types of hemorrhage</w:t>
      </w:r>
      <w:r w:rsidR="00FE2A4E">
        <w:t>.</w:t>
      </w:r>
    </w:p>
    <w:p w14:paraId="0421075A" w14:textId="77777777" w:rsidR="00FC3136" w:rsidRDefault="00FC3136" w:rsidP="00FC3136">
      <w:pPr>
        <w:ind w:left="360"/>
      </w:pPr>
    </w:p>
    <w:p w14:paraId="41F72928" w14:textId="3BAF7569" w:rsidR="00824D42" w:rsidRDefault="00824D42" w:rsidP="00FC3136">
      <w:pPr>
        <w:pStyle w:val="ListParagraph"/>
        <w:numPr>
          <w:ilvl w:val="0"/>
          <w:numId w:val="1"/>
        </w:numPr>
        <w:ind w:hanging="450"/>
      </w:pPr>
      <w:r w:rsidRPr="00824D42">
        <w:t>Callaway, E. (2019). Geneticists retract study suggesting first CRISPR babies might die early. </w:t>
      </w:r>
      <w:r w:rsidRPr="00824D42">
        <w:rPr>
          <w:i/>
          <w:iCs/>
        </w:rPr>
        <w:t>Nature (London)</w:t>
      </w:r>
      <w:r w:rsidRPr="00824D42">
        <w:t>, </w:t>
      </w:r>
      <w:r w:rsidRPr="00824D42">
        <w:rPr>
          <w:i/>
          <w:iCs/>
        </w:rPr>
        <w:t>574</w:t>
      </w:r>
      <w:r w:rsidRPr="00824D42">
        <w:t>(7778), 307–. https://doi.org/10.1038/d41586-019-03032-2</w:t>
      </w:r>
      <w:r>
        <w:t>.</w:t>
      </w:r>
    </w:p>
    <w:p w14:paraId="553818B5" w14:textId="04244891" w:rsidR="00824D42" w:rsidRDefault="00824D42" w:rsidP="00824D42"/>
    <w:p w14:paraId="7F00A270" w14:textId="5D4F1506" w:rsidR="00824D42" w:rsidRDefault="00824D42" w:rsidP="00824D42">
      <w:pPr>
        <w:ind w:left="360"/>
      </w:pPr>
      <w:r>
        <w:lastRenderedPageBreak/>
        <w:t xml:space="preserve">Summary: </w:t>
      </w:r>
      <w:r w:rsidRPr="00824D42">
        <w:t>News report of a retraction of a paper that had suggested that patients with two disabled copies of the CCR5 gene are more likely to die early. Another paper had described CRISPR-mediated disruption of this gene in twin girls</w:t>
      </w:r>
      <w:r>
        <w:t>.</w:t>
      </w:r>
    </w:p>
    <w:p w14:paraId="3DE6654A" w14:textId="77777777" w:rsidR="00824D42" w:rsidRDefault="00824D42" w:rsidP="00824D42">
      <w:pPr>
        <w:ind w:left="360"/>
      </w:pPr>
    </w:p>
    <w:p w14:paraId="648A75D2" w14:textId="266669D7" w:rsidR="00FC3136" w:rsidRDefault="00CC7EE8" w:rsidP="00FC3136">
      <w:pPr>
        <w:pStyle w:val="ListParagraph"/>
        <w:numPr>
          <w:ilvl w:val="0"/>
          <w:numId w:val="1"/>
        </w:numPr>
        <w:ind w:hanging="450"/>
      </w:pPr>
      <w:r w:rsidRPr="00CC7EE8">
        <w:t>Callister, L. C. (2020). Survivin</w:t>
      </w:r>
      <w:r w:rsidR="00E52F02" w:rsidRPr="00CC7EE8">
        <w:t>g and having a healthy baby are low bars for childbirth: women have the right to expect much more</w:t>
      </w:r>
      <w:r w:rsidRPr="00CC7EE8">
        <w:t>. </w:t>
      </w:r>
      <w:r w:rsidRPr="00CC7EE8">
        <w:rPr>
          <w:i/>
          <w:iCs/>
        </w:rPr>
        <w:t>MCN, the American Journal of Maternal Child Nursing</w:t>
      </w:r>
      <w:r w:rsidRPr="00CC7EE8">
        <w:t>, </w:t>
      </w:r>
      <w:r w:rsidRPr="00CC7EE8">
        <w:rPr>
          <w:i/>
          <w:iCs/>
        </w:rPr>
        <w:t>45</w:t>
      </w:r>
      <w:r w:rsidRPr="00CC7EE8">
        <w:t>(2), 127–127. https://doi.org/10.1097/NMC.0000000000000607</w:t>
      </w:r>
      <w:r>
        <w:t>.</w:t>
      </w:r>
    </w:p>
    <w:p w14:paraId="2ED6DDC5" w14:textId="77777777" w:rsidR="00FC3136" w:rsidRDefault="00FC3136" w:rsidP="00FC3136"/>
    <w:p w14:paraId="54209724" w14:textId="66043904" w:rsidR="004233D0" w:rsidRPr="004233D0" w:rsidRDefault="00FC3136" w:rsidP="004233D0">
      <w:pPr>
        <w:ind w:left="360"/>
      </w:pPr>
      <w:r w:rsidRPr="004233D0">
        <w:t>Summary</w:t>
      </w:r>
      <w:r>
        <w:t>:</w:t>
      </w:r>
      <w:r w:rsidR="004233D0">
        <w:t xml:space="preserve"> </w:t>
      </w:r>
      <w:r w:rsidR="004233D0" w:rsidRPr="004233D0">
        <w:t>An editorial summary of recent studies and the recommendations for improvement in maternity care from the World Health Organization</w:t>
      </w:r>
      <w:r w:rsidR="004233D0">
        <w:t>.</w:t>
      </w:r>
    </w:p>
    <w:p w14:paraId="30885061" w14:textId="77777777" w:rsidR="00FC3136" w:rsidRDefault="00FC3136" w:rsidP="00FC3136">
      <w:pPr>
        <w:ind w:left="360"/>
      </w:pPr>
    </w:p>
    <w:p w14:paraId="0C0D6B43" w14:textId="7B3856DD" w:rsidR="00FC3136" w:rsidRDefault="00E52F02" w:rsidP="00FC3136">
      <w:pPr>
        <w:pStyle w:val="ListParagraph"/>
        <w:numPr>
          <w:ilvl w:val="0"/>
          <w:numId w:val="1"/>
        </w:numPr>
        <w:ind w:hanging="450"/>
      </w:pPr>
      <w:r w:rsidRPr="00E52F02">
        <w:t xml:space="preserve">Canales, C., Lee, C., &amp; </w:t>
      </w:r>
      <w:proofErr w:type="spellStart"/>
      <w:r w:rsidRPr="00E52F02">
        <w:t>Cannesson</w:t>
      </w:r>
      <w:proofErr w:type="spellEnd"/>
      <w:r w:rsidRPr="00E52F02">
        <w:t>, M. (2020). Science without conscience is but the ruin of the soul: the ethics of big data and artificial intelligence in perioperative medicine. </w:t>
      </w:r>
      <w:r w:rsidRPr="00E52F02">
        <w:rPr>
          <w:i/>
          <w:iCs/>
        </w:rPr>
        <w:t>Anesthesia and Analgesia</w:t>
      </w:r>
      <w:r w:rsidRPr="00E52F02">
        <w:t>, </w:t>
      </w:r>
      <w:r w:rsidRPr="00E52F02">
        <w:rPr>
          <w:i/>
          <w:iCs/>
        </w:rPr>
        <w:t>130</w:t>
      </w:r>
      <w:r w:rsidRPr="00E52F02">
        <w:t>(5), 1234–1243. https://doi.org/10.1213/ANE.0000000000004728</w:t>
      </w:r>
      <w:r w:rsidR="002A6CAB">
        <w:t>.</w:t>
      </w:r>
    </w:p>
    <w:p w14:paraId="79D8A009" w14:textId="77777777" w:rsidR="00FC3136" w:rsidRDefault="00FC3136" w:rsidP="00FC3136"/>
    <w:p w14:paraId="25964903" w14:textId="76078FC0" w:rsidR="004233D0" w:rsidRPr="004233D0" w:rsidRDefault="00FC3136" w:rsidP="004233D0">
      <w:pPr>
        <w:ind w:left="360"/>
      </w:pPr>
      <w:r w:rsidRPr="004233D0">
        <w:t>Summary</w:t>
      </w:r>
      <w:r>
        <w:t>:</w:t>
      </w:r>
      <w:r w:rsidR="004233D0">
        <w:t xml:space="preserve"> </w:t>
      </w:r>
      <w:r w:rsidR="004233D0" w:rsidRPr="004233D0">
        <w:t>An outline of principles of artificial intelligence for the perioperative physician and an exploration of limitations and ethical challenges in anesthesia</w:t>
      </w:r>
      <w:r w:rsidR="004233D0">
        <w:t>.</w:t>
      </w:r>
    </w:p>
    <w:p w14:paraId="73726770" w14:textId="77777777" w:rsidR="00FC3136" w:rsidRDefault="00FC3136" w:rsidP="00FC3136">
      <w:pPr>
        <w:ind w:left="360"/>
      </w:pPr>
    </w:p>
    <w:p w14:paraId="0770C359" w14:textId="1DCB98D4" w:rsidR="00FC3136" w:rsidRDefault="00B258A0" w:rsidP="00FC3136">
      <w:pPr>
        <w:pStyle w:val="ListParagraph"/>
        <w:numPr>
          <w:ilvl w:val="0"/>
          <w:numId w:val="1"/>
        </w:numPr>
        <w:ind w:hanging="450"/>
      </w:pPr>
      <w:r w:rsidRPr="00B258A0">
        <w:t xml:space="preserve">Carvalho, B., &amp; Kinsella, S. M. (2020). Obstetric </w:t>
      </w:r>
      <w:proofErr w:type="spellStart"/>
      <w:r w:rsidRPr="00B258A0">
        <w:t>Anaesthetists’</w:t>
      </w:r>
      <w:proofErr w:type="spellEnd"/>
      <w:r w:rsidRPr="00B258A0">
        <w:t xml:space="preserve"> Association/National Perinatal Epidemiology Unit collaborative project to develop key indicators for quality of care in obstetric </w:t>
      </w:r>
      <w:proofErr w:type="spellStart"/>
      <w:r w:rsidRPr="00B258A0">
        <w:t>anaesthesia</w:t>
      </w:r>
      <w:proofErr w:type="spellEnd"/>
      <w:r w:rsidRPr="00B258A0">
        <w:t>: first steps in the right direction. </w:t>
      </w:r>
      <w:r w:rsidRPr="00B258A0">
        <w:rPr>
          <w:i/>
          <w:iCs/>
        </w:rPr>
        <w:t>Anaesthesia</w:t>
      </w:r>
      <w:r w:rsidRPr="00B258A0">
        <w:t>, </w:t>
      </w:r>
      <w:r w:rsidRPr="00B258A0">
        <w:rPr>
          <w:i/>
          <w:iCs/>
        </w:rPr>
        <w:t>75</w:t>
      </w:r>
      <w:r w:rsidRPr="00B258A0">
        <w:t>(5), 573–575. https://doi.org/10.1111/anae.14935</w:t>
      </w:r>
      <w:r>
        <w:t>.</w:t>
      </w:r>
    </w:p>
    <w:p w14:paraId="0C02EC46" w14:textId="77777777" w:rsidR="00FC3136" w:rsidRDefault="00FC3136" w:rsidP="00FC3136"/>
    <w:p w14:paraId="672F0315" w14:textId="369EB24D" w:rsidR="00FC3136" w:rsidRDefault="00FC3136" w:rsidP="00C038AC">
      <w:pPr>
        <w:ind w:left="360"/>
      </w:pPr>
      <w:r w:rsidRPr="00C038AC">
        <w:t>Summary</w:t>
      </w:r>
      <w:r>
        <w:t>:</w:t>
      </w:r>
      <w:r w:rsidR="00C038AC">
        <w:t xml:space="preserve"> </w:t>
      </w:r>
      <w:r w:rsidR="00C038AC" w:rsidRPr="00C038AC">
        <w:t>Qualitative evaluation of the creation of quality indicators for obstetric anesthesia care in the UK. The authors suggested adding patient-centered input and balancing metrics</w:t>
      </w:r>
      <w:r w:rsidR="00C038AC">
        <w:t>.</w:t>
      </w:r>
    </w:p>
    <w:p w14:paraId="51D12321" w14:textId="77777777" w:rsidR="00FC3136" w:rsidRDefault="00FC3136" w:rsidP="00FC3136">
      <w:pPr>
        <w:ind w:left="360"/>
      </w:pPr>
    </w:p>
    <w:p w14:paraId="11962BAD" w14:textId="4B804BFA" w:rsidR="00FC3136" w:rsidRDefault="008959B8" w:rsidP="00FC3136">
      <w:pPr>
        <w:pStyle w:val="ListParagraph"/>
        <w:numPr>
          <w:ilvl w:val="0"/>
          <w:numId w:val="1"/>
        </w:numPr>
        <w:ind w:hanging="450"/>
      </w:pPr>
      <w:r w:rsidRPr="008959B8">
        <w:t xml:space="preserve">Catalano, A., Davis, N. L., Petersen, E. E., Harrison, C., </w:t>
      </w:r>
      <w:proofErr w:type="spellStart"/>
      <w:r w:rsidRPr="008959B8">
        <w:t>Kieltyka</w:t>
      </w:r>
      <w:proofErr w:type="spellEnd"/>
      <w:r w:rsidRPr="008959B8">
        <w:t xml:space="preserve">, L., You, M., </w:t>
      </w:r>
      <w:proofErr w:type="spellStart"/>
      <w:r w:rsidRPr="008959B8">
        <w:t>Conrey</w:t>
      </w:r>
      <w:proofErr w:type="spellEnd"/>
      <w:r w:rsidRPr="008959B8">
        <w:t>, E. J., Ewing, A. C., Callaghan, W. M., &amp; Goodman, D. A. (2020). Pregnant? Validity of the pregnancy checkbox on death certificates in four states, and characteristics associated with pregnancy checkbox errors. </w:t>
      </w:r>
      <w:r w:rsidRPr="008959B8">
        <w:rPr>
          <w:i/>
          <w:iCs/>
        </w:rPr>
        <w:t>American Journal of Obstetrics and Gynecology</w:t>
      </w:r>
      <w:r w:rsidRPr="008959B8">
        <w:t>, </w:t>
      </w:r>
      <w:r w:rsidRPr="008959B8">
        <w:rPr>
          <w:i/>
          <w:iCs/>
        </w:rPr>
        <w:t>222</w:t>
      </w:r>
      <w:r w:rsidRPr="008959B8">
        <w:t>(3), 269.e1–269.e8. https://doi.org/10.1016/j.ajog.2019.10.005</w:t>
      </w:r>
      <w:r>
        <w:t>.</w:t>
      </w:r>
    </w:p>
    <w:p w14:paraId="491646AB" w14:textId="77777777" w:rsidR="00FC3136" w:rsidRDefault="00FC3136" w:rsidP="00FC3136"/>
    <w:p w14:paraId="4A1A47BE" w14:textId="781DEAC9" w:rsidR="00A0310F" w:rsidRPr="00A0310F" w:rsidRDefault="00FC3136" w:rsidP="00A0310F">
      <w:pPr>
        <w:ind w:left="360"/>
      </w:pPr>
      <w:r w:rsidRPr="00A0310F">
        <w:t>Summary</w:t>
      </w:r>
      <w:r>
        <w:t>:</w:t>
      </w:r>
      <w:r w:rsidR="00A0310F">
        <w:t xml:space="preserve"> </w:t>
      </w:r>
      <w:r w:rsidR="00A0310F" w:rsidRPr="00A0310F">
        <w:t>Multi-state validity analysis of a pregnancy checkbox on death certificates. The sensitivity and positive predictive value of the checkbox were 62% and 68%, respectively.</w:t>
      </w:r>
    </w:p>
    <w:p w14:paraId="58015778" w14:textId="77777777" w:rsidR="00FC3136" w:rsidRDefault="00FC3136" w:rsidP="00FC3136">
      <w:pPr>
        <w:ind w:left="360"/>
      </w:pPr>
    </w:p>
    <w:p w14:paraId="45DB4093" w14:textId="2CDEAD67" w:rsidR="00824D42" w:rsidRDefault="00824D42" w:rsidP="00FC3136">
      <w:pPr>
        <w:pStyle w:val="ListParagraph"/>
        <w:numPr>
          <w:ilvl w:val="0"/>
          <w:numId w:val="1"/>
        </w:numPr>
        <w:ind w:hanging="450"/>
      </w:pPr>
      <w:r w:rsidRPr="00824D42">
        <w:t>Cells edited with CRISPR prove safe in humans. (2020). </w:t>
      </w:r>
      <w:r w:rsidRPr="00824D42">
        <w:rPr>
          <w:i/>
          <w:iCs/>
        </w:rPr>
        <w:t>Nature (London)</w:t>
      </w:r>
      <w:r w:rsidRPr="00824D42">
        <w:t>, </w:t>
      </w:r>
      <w:r w:rsidRPr="00824D42">
        <w:rPr>
          <w:i/>
          <w:iCs/>
        </w:rPr>
        <w:t>581</w:t>
      </w:r>
      <w:r w:rsidRPr="00824D42">
        <w:t>(7806), 11–11. https://doi.org/10.1038/d41586-020-01262-3</w:t>
      </w:r>
      <w:r>
        <w:t>.</w:t>
      </w:r>
    </w:p>
    <w:p w14:paraId="75AF0B40" w14:textId="59035401" w:rsidR="00824D42" w:rsidRDefault="00824D42" w:rsidP="00824D42"/>
    <w:p w14:paraId="6FBA94AF" w14:textId="3B741E5A" w:rsidR="00824D42" w:rsidRDefault="00824D42" w:rsidP="00824D42">
      <w:pPr>
        <w:ind w:left="360"/>
      </w:pPr>
      <w:r>
        <w:t xml:space="preserve">Summary: </w:t>
      </w:r>
      <w:r w:rsidRPr="00824D42">
        <w:t>Report of a paper in Nature Medicine on the first-in-human phase I clinical trial of CRISPR–Cas9 PD-1-edited T cells in patients with advanced non-small-cell lung cancer, suggesting that the technique is safe and feasible</w:t>
      </w:r>
      <w:r>
        <w:t>.</w:t>
      </w:r>
    </w:p>
    <w:p w14:paraId="70BD39FC" w14:textId="77777777" w:rsidR="00824D42" w:rsidRDefault="00824D42" w:rsidP="00824D42">
      <w:pPr>
        <w:ind w:left="360"/>
      </w:pPr>
    </w:p>
    <w:p w14:paraId="39EE1554" w14:textId="699CF7CC" w:rsidR="00FC3136" w:rsidRDefault="00C75775" w:rsidP="00FC3136">
      <w:pPr>
        <w:pStyle w:val="ListParagraph"/>
        <w:numPr>
          <w:ilvl w:val="0"/>
          <w:numId w:val="1"/>
        </w:numPr>
        <w:ind w:hanging="450"/>
      </w:pPr>
      <w:r w:rsidRPr="00C75775">
        <w:t xml:space="preserve">Chatterjee, D., Arendt, K. W., Moldenhauer, J. S., </w:t>
      </w:r>
      <w:proofErr w:type="spellStart"/>
      <w:r w:rsidRPr="00C75775">
        <w:t>Olutoye</w:t>
      </w:r>
      <w:proofErr w:type="spellEnd"/>
      <w:r w:rsidRPr="00C75775">
        <w:t xml:space="preserve">, O. A., Parikh, J. M., Tran, K. M., </w:t>
      </w:r>
      <w:proofErr w:type="spellStart"/>
      <w:r w:rsidRPr="00C75775">
        <w:t>Zaretsky</w:t>
      </w:r>
      <w:proofErr w:type="spellEnd"/>
      <w:r w:rsidRPr="00C75775">
        <w:t xml:space="preserve">, M. V., Zhou, J., &amp; Rollins, M. D. (2020). Anesthesia for Maternal–Fetal Interventions: A Consensus Statement </w:t>
      </w:r>
      <w:r>
        <w:t>f</w:t>
      </w:r>
      <w:r w:rsidRPr="00C75775">
        <w:t>rom the American Society of Anesthesiologists Committees on Obstetric and Pediatric Anesthesiology and the North American Fetal Therapy Network. </w:t>
      </w:r>
      <w:r w:rsidRPr="00C75775">
        <w:rPr>
          <w:i/>
          <w:iCs/>
        </w:rPr>
        <w:t>Anesthesia and Analgesia</w:t>
      </w:r>
      <w:r w:rsidRPr="00C75775">
        <w:t>, </w:t>
      </w:r>
      <w:r w:rsidRPr="00C75775">
        <w:rPr>
          <w:i/>
          <w:iCs/>
        </w:rPr>
        <w:t>132</w:t>
      </w:r>
      <w:r w:rsidRPr="00C75775">
        <w:t>(4), 1164–1173. https://doi.org/10.1213/ANE.0000000000005177</w:t>
      </w:r>
      <w:r>
        <w:t>.</w:t>
      </w:r>
    </w:p>
    <w:p w14:paraId="7DB5042A" w14:textId="77777777" w:rsidR="00FC3136" w:rsidRDefault="00FC3136" w:rsidP="00FC3136"/>
    <w:p w14:paraId="246DB87E" w14:textId="2B256989" w:rsidR="00FC3136" w:rsidRDefault="00FC3136" w:rsidP="006C3F56">
      <w:pPr>
        <w:ind w:left="360"/>
      </w:pPr>
      <w:r w:rsidRPr="006C3F56">
        <w:t>Summary</w:t>
      </w:r>
      <w:r>
        <w:t>:</w:t>
      </w:r>
      <w:r w:rsidR="006C3F56">
        <w:t xml:space="preserve"> </w:t>
      </w:r>
      <w:r w:rsidR="006C3F56" w:rsidRPr="006C3F56">
        <w:t>A consensus statement describing the comprehensive preoperative evaluation, intraoperative anesthetic management, and postoperative care for the various types of maternal-fetal interventions</w:t>
      </w:r>
      <w:r w:rsidR="006C3F56">
        <w:t>,</w:t>
      </w:r>
    </w:p>
    <w:p w14:paraId="08738149" w14:textId="77777777" w:rsidR="00FC3136" w:rsidRDefault="00FC3136" w:rsidP="00FC3136">
      <w:pPr>
        <w:ind w:left="360"/>
      </w:pPr>
    </w:p>
    <w:p w14:paraId="204B8FB8" w14:textId="4F21355E" w:rsidR="00FC3136" w:rsidRDefault="0049373F" w:rsidP="00FC3136">
      <w:pPr>
        <w:pStyle w:val="ListParagraph"/>
        <w:numPr>
          <w:ilvl w:val="0"/>
          <w:numId w:val="1"/>
        </w:numPr>
        <w:ind w:hanging="450"/>
      </w:pPr>
      <w:r w:rsidRPr="0049373F">
        <w:t>Cho, K.-J., Kwon, O., Kwon, J., Lee, Y., Park, H., Jeon, K.-H., Kim, K.-H., Park, J., &amp; Oh, B.-H. (2020). Detecting patient deterioration using artificial intelligence in a rapid response system. </w:t>
      </w:r>
      <w:r w:rsidRPr="0049373F">
        <w:rPr>
          <w:i/>
          <w:iCs/>
        </w:rPr>
        <w:t>Critical Care Medicine</w:t>
      </w:r>
      <w:r w:rsidRPr="0049373F">
        <w:t>, </w:t>
      </w:r>
      <w:r w:rsidRPr="0049373F">
        <w:rPr>
          <w:i/>
          <w:iCs/>
        </w:rPr>
        <w:t>48</w:t>
      </w:r>
      <w:r w:rsidRPr="0049373F">
        <w:t>(4), e285–e289. https://doi.org/10.1097/CCM.0000000000004236</w:t>
      </w:r>
      <w:r>
        <w:t>.</w:t>
      </w:r>
    </w:p>
    <w:p w14:paraId="0DD5466F" w14:textId="77777777" w:rsidR="00FC3136" w:rsidRDefault="00FC3136" w:rsidP="00FC3136"/>
    <w:p w14:paraId="49FBD9D4" w14:textId="6C6D1BCD" w:rsidR="00FC3136" w:rsidRDefault="00FC3136" w:rsidP="006C3F56">
      <w:pPr>
        <w:ind w:left="360"/>
      </w:pPr>
      <w:r w:rsidRPr="006C3F56">
        <w:lastRenderedPageBreak/>
        <w:t>Summary</w:t>
      </w:r>
      <w:r>
        <w:t>:</w:t>
      </w:r>
      <w:r w:rsidR="006C3F56">
        <w:t xml:space="preserve"> </w:t>
      </w:r>
      <w:r w:rsidR="006C3F56" w:rsidRPr="006C3F56">
        <w:t>A retrospective chart review conducted at a hospital with a deep learning-based early warning system. The system accurately predicted deterioration of patients in a general ward and outperformed conventional methods</w:t>
      </w:r>
      <w:r w:rsidR="006C3F56">
        <w:t>.</w:t>
      </w:r>
    </w:p>
    <w:p w14:paraId="1B5EBA07" w14:textId="77777777" w:rsidR="00FC3136" w:rsidRDefault="00FC3136" w:rsidP="00FC3136">
      <w:pPr>
        <w:ind w:left="360"/>
      </w:pPr>
    </w:p>
    <w:p w14:paraId="07E03DB1" w14:textId="601D4996" w:rsidR="00FC3136" w:rsidRDefault="0067327D" w:rsidP="00FC3136">
      <w:pPr>
        <w:pStyle w:val="ListParagraph"/>
        <w:numPr>
          <w:ilvl w:val="0"/>
          <w:numId w:val="1"/>
        </w:numPr>
        <w:ind w:hanging="450"/>
      </w:pPr>
      <w:proofErr w:type="spellStart"/>
      <w:r w:rsidRPr="0067327D">
        <w:t>Chooi</w:t>
      </w:r>
      <w:proofErr w:type="spellEnd"/>
      <w:r w:rsidRPr="0067327D">
        <w:t xml:space="preserve">, C., Cox, J. J., </w:t>
      </w:r>
      <w:proofErr w:type="spellStart"/>
      <w:r w:rsidRPr="0067327D">
        <w:t>Lumb</w:t>
      </w:r>
      <w:proofErr w:type="spellEnd"/>
      <w:r w:rsidRPr="0067327D">
        <w:t xml:space="preserve">, R. S., Middleton, P., </w:t>
      </w:r>
      <w:proofErr w:type="spellStart"/>
      <w:r w:rsidRPr="0067327D">
        <w:t>Chemali</w:t>
      </w:r>
      <w:proofErr w:type="spellEnd"/>
      <w:r w:rsidRPr="0067327D">
        <w:t xml:space="preserve">, M., Emmett, R. S., Simmons, S. W., &amp; </w:t>
      </w:r>
      <w:proofErr w:type="spellStart"/>
      <w:r w:rsidRPr="0067327D">
        <w:t>Cyna</w:t>
      </w:r>
      <w:proofErr w:type="spellEnd"/>
      <w:r w:rsidRPr="0067327D">
        <w:t xml:space="preserve">, A. M. (2017). Techniques for preventing hypotension during spinal </w:t>
      </w:r>
      <w:proofErr w:type="spellStart"/>
      <w:r w:rsidRPr="0067327D">
        <w:t>anaesthesia</w:t>
      </w:r>
      <w:proofErr w:type="spellEnd"/>
      <w:r w:rsidRPr="0067327D">
        <w:t xml:space="preserve"> for caesarean section. </w:t>
      </w:r>
      <w:r w:rsidRPr="0067327D">
        <w:rPr>
          <w:i/>
          <w:iCs/>
        </w:rPr>
        <w:t>The Cochrane database of systematic reviews</w:t>
      </w:r>
      <w:r w:rsidRPr="0067327D">
        <w:t>, </w:t>
      </w:r>
      <w:r w:rsidRPr="0067327D">
        <w:rPr>
          <w:i/>
          <w:iCs/>
        </w:rPr>
        <w:t>8</w:t>
      </w:r>
      <w:r w:rsidRPr="0067327D">
        <w:t>(8), CD002251. Advance online publication. https://doi.org/10.1002/14651858.CD002251.pub3</w:t>
      </w:r>
      <w:r>
        <w:t>.</w:t>
      </w:r>
    </w:p>
    <w:p w14:paraId="09C13CE9" w14:textId="77777777" w:rsidR="0067327D" w:rsidRDefault="0067327D" w:rsidP="0067327D">
      <w:pPr>
        <w:pStyle w:val="ListParagraph"/>
        <w:ind w:left="360"/>
      </w:pPr>
    </w:p>
    <w:p w14:paraId="40AB5238" w14:textId="39DB4E5A" w:rsidR="00FC3136" w:rsidRDefault="00FC3136" w:rsidP="00886662">
      <w:pPr>
        <w:ind w:left="360"/>
      </w:pPr>
      <w:r w:rsidRPr="00886662">
        <w:t>Summary</w:t>
      </w:r>
      <w:r>
        <w:t>:</w:t>
      </w:r>
      <w:r w:rsidR="00886662">
        <w:t xml:space="preserve"> </w:t>
      </w:r>
      <w:r w:rsidR="00886662" w:rsidRPr="00886662">
        <w:t>A Cochrane review of obstetrical anesthesia concluding that no single or combined prophylactic intervention avoids the need to treat some women for hypotension following spinal anesthesia for caesarean section.</w:t>
      </w:r>
    </w:p>
    <w:p w14:paraId="304C0CCE" w14:textId="77777777" w:rsidR="00FC3136" w:rsidRDefault="00FC3136" w:rsidP="00FC3136">
      <w:pPr>
        <w:ind w:left="360"/>
      </w:pPr>
    </w:p>
    <w:p w14:paraId="077DFA8D" w14:textId="2DB782C1" w:rsidR="00FC3136" w:rsidRDefault="00F22AE8" w:rsidP="00FC3136">
      <w:pPr>
        <w:pStyle w:val="ListParagraph"/>
        <w:numPr>
          <w:ilvl w:val="0"/>
          <w:numId w:val="1"/>
        </w:numPr>
        <w:ind w:hanging="450"/>
      </w:pPr>
      <w:r w:rsidRPr="00F22AE8">
        <w:t xml:space="preserve">Clapp, M. A., James, K. E., Bates, S. V., &amp; </w:t>
      </w:r>
      <w:proofErr w:type="spellStart"/>
      <w:r w:rsidRPr="00F22AE8">
        <w:t>Kaimal</w:t>
      </w:r>
      <w:proofErr w:type="spellEnd"/>
      <w:r w:rsidRPr="00F22AE8">
        <w:t>, A. J. (2020). Patient and hospital factors associated with unexpected newborn complications among term neonates in us hospitals. </w:t>
      </w:r>
      <w:r w:rsidRPr="00F22AE8">
        <w:rPr>
          <w:i/>
          <w:iCs/>
        </w:rPr>
        <w:t>JAMA Network Open</w:t>
      </w:r>
      <w:r w:rsidRPr="00F22AE8">
        <w:t>, </w:t>
      </w:r>
      <w:r w:rsidRPr="00F22AE8">
        <w:rPr>
          <w:i/>
          <w:iCs/>
        </w:rPr>
        <w:t>3</w:t>
      </w:r>
      <w:r w:rsidRPr="00F22AE8">
        <w:t>(2), e1919498–e1919498. https://doi.org/10.1001/jamanetworkopen.2019.19498</w:t>
      </w:r>
    </w:p>
    <w:p w14:paraId="07019C4A" w14:textId="77777777" w:rsidR="00FC3136" w:rsidRDefault="00FC3136" w:rsidP="00FC3136"/>
    <w:p w14:paraId="63D564AC" w14:textId="20D27182" w:rsidR="00FC3136" w:rsidRDefault="00FC3136" w:rsidP="00500749">
      <w:pPr>
        <w:ind w:left="360"/>
      </w:pPr>
      <w:r w:rsidRPr="00500749">
        <w:t>Summary</w:t>
      </w:r>
      <w:r>
        <w:t>:</w:t>
      </w:r>
      <w:r w:rsidR="00500749">
        <w:t xml:space="preserve"> </w:t>
      </w:r>
      <w:r w:rsidR="00500749" w:rsidRPr="00500749">
        <w:t>Cross-sectional analysis of birth certificate and survey data in the US. Neonatal transfer was the primary factor associated with complications. Transfers were more likely when infants were born in hospitals with lower levels of neonatal care</w:t>
      </w:r>
      <w:r w:rsidR="00500749">
        <w:t>.</w:t>
      </w:r>
    </w:p>
    <w:p w14:paraId="775DD6E5" w14:textId="77777777" w:rsidR="00FC3136" w:rsidRDefault="00FC3136" w:rsidP="00FC3136">
      <w:pPr>
        <w:ind w:left="360"/>
      </w:pPr>
    </w:p>
    <w:p w14:paraId="0C84179E" w14:textId="0C450779" w:rsidR="00FC3136" w:rsidRDefault="007B576D" w:rsidP="00FC3136">
      <w:pPr>
        <w:pStyle w:val="ListParagraph"/>
        <w:numPr>
          <w:ilvl w:val="0"/>
          <w:numId w:val="1"/>
        </w:numPr>
        <w:ind w:hanging="450"/>
      </w:pPr>
      <w:proofErr w:type="spellStart"/>
      <w:r w:rsidRPr="007B576D">
        <w:t>Creanga</w:t>
      </w:r>
      <w:proofErr w:type="spellEnd"/>
      <w:r w:rsidRPr="007B576D">
        <w:t xml:space="preserve">, A. A., </w:t>
      </w:r>
      <w:proofErr w:type="spellStart"/>
      <w:r w:rsidRPr="007B576D">
        <w:t>Thoma</w:t>
      </w:r>
      <w:proofErr w:type="spellEnd"/>
      <w:r w:rsidRPr="007B576D">
        <w:t xml:space="preserve">, M., &amp; </w:t>
      </w:r>
      <w:proofErr w:type="spellStart"/>
      <w:r w:rsidRPr="007B576D">
        <w:t>MacDorman</w:t>
      </w:r>
      <w:proofErr w:type="spellEnd"/>
      <w:r w:rsidRPr="007B576D">
        <w:t>, M. (2020). Value and disvalue of the pregnancy checkbox on death certificates in the United States–impact on newly released 2018 maternal mortality data. </w:t>
      </w:r>
      <w:r w:rsidRPr="007B576D">
        <w:rPr>
          <w:i/>
          <w:iCs/>
        </w:rPr>
        <w:t>American Journal of Obstetrics and Gynecology</w:t>
      </w:r>
      <w:r w:rsidRPr="007B576D">
        <w:t>, </w:t>
      </w:r>
      <w:r w:rsidRPr="007B576D">
        <w:rPr>
          <w:i/>
          <w:iCs/>
        </w:rPr>
        <w:t>223</w:t>
      </w:r>
      <w:r w:rsidRPr="007B576D">
        <w:t>(3), 393.e1–393.e4. https://doi.org/10.1016/j.ajog.2020.05.046</w:t>
      </w:r>
      <w:r>
        <w:t>.</w:t>
      </w:r>
    </w:p>
    <w:p w14:paraId="428AC8E9" w14:textId="77777777" w:rsidR="00FC3136" w:rsidRDefault="00FC3136" w:rsidP="00FC3136"/>
    <w:p w14:paraId="614A7B8B" w14:textId="7852E0C6" w:rsidR="00FC3136" w:rsidRDefault="00FC3136" w:rsidP="002E1E0B">
      <w:pPr>
        <w:ind w:left="360"/>
      </w:pPr>
      <w:r w:rsidRPr="002E1E0B">
        <w:t>Summary</w:t>
      </w:r>
      <w:r>
        <w:t>:</w:t>
      </w:r>
      <w:r w:rsidR="002E1E0B">
        <w:t xml:space="preserve"> </w:t>
      </w:r>
      <w:r w:rsidR="002E1E0B" w:rsidRPr="002E1E0B">
        <w:t>Criticism of the National Center for Health Statistics use of the checkbox on death certificates to measure maternal deaths. Citation of the high false-positive and false-negative rates, with an appeal for better validity analysis</w:t>
      </w:r>
      <w:r w:rsidR="002E1E0B">
        <w:t>.</w:t>
      </w:r>
    </w:p>
    <w:p w14:paraId="66CEF219" w14:textId="77777777" w:rsidR="00C21A9C" w:rsidRDefault="00C21A9C" w:rsidP="00C21A9C"/>
    <w:p w14:paraId="017268BA" w14:textId="140E46C4" w:rsidR="00FC3136" w:rsidRDefault="00C21A9C" w:rsidP="00C21A9C">
      <w:pPr>
        <w:pStyle w:val="ListParagraph"/>
        <w:numPr>
          <w:ilvl w:val="0"/>
          <w:numId w:val="1"/>
        </w:numPr>
      </w:pPr>
      <w:r>
        <w:t xml:space="preserve">Dhruva, S. S., &amp; </w:t>
      </w:r>
      <w:proofErr w:type="spellStart"/>
      <w:r>
        <w:t>Redberg</w:t>
      </w:r>
      <w:proofErr w:type="spellEnd"/>
      <w:r>
        <w:t xml:space="preserve">, R. F. (2020). A successful but underused strategy for reducing low-value care: stop paying for it. </w:t>
      </w:r>
      <w:r w:rsidRPr="00C21A9C">
        <w:rPr>
          <w:i/>
          <w:iCs/>
        </w:rPr>
        <w:t>JAMA Internal Medicine</w:t>
      </w:r>
      <w:r>
        <w:t>, 180(4), 532–532. https://doi.org/10.1001/jamainternmed.2019.7142</w:t>
      </w:r>
    </w:p>
    <w:p w14:paraId="1D286A42" w14:textId="77777777" w:rsidR="00FC3136" w:rsidRDefault="00FC3136" w:rsidP="00FC3136"/>
    <w:p w14:paraId="328132C8" w14:textId="3522B59A" w:rsidR="00FC3136" w:rsidRDefault="00FC3136" w:rsidP="00FC3136">
      <w:pPr>
        <w:ind w:left="360"/>
      </w:pPr>
      <w:r w:rsidRPr="00F41083">
        <w:t>Summary</w:t>
      </w:r>
      <w:r>
        <w:t>:</w:t>
      </w:r>
      <w:r w:rsidR="00F41083">
        <w:t xml:space="preserve"> </w:t>
      </w:r>
      <w:r w:rsidR="00F41083" w:rsidRPr="00F41083">
        <w:t>Editor’s note arguing efforts to reduce unnecessary testing including the Choosing Wisely campaign that has helped reduce screening for vitamin D deficiency. The editor recommends reducing funding for such tests</w:t>
      </w:r>
      <w:r w:rsidR="00F41083">
        <w:t>.</w:t>
      </w:r>
    </w:p>
    <w:p w14:paraId="38030627" w14:textId="77777777" w:rsidR="00FC3136" w:rsidRDefault="00FC3136" w:rsidP="00FC3136">
      <w:pPr>
        <w:ind w:left="360"/>
      </w:pPr>
    </w:p>
    <w:p w14:paraId="2185E89B" w14:textId="708CAB3D" w:rsidR="00FC3136" w:rsidRDefault="00276C80" w:rsidP="00FC3136">
      <w:pPr>
        <w:pStyle w:val="ListParagraph"/>
        <w:numPr>
          <w:ilvl w:val="0"/>
          <w:numId w:val="1"/>
        </w:numPr>
        <w:ind w:hanging="450"/>
      </w:pPr>
      <w:proofErr w:type="spellStart"/>
      <w:r w:rsidRPr="00276C80">
        <w:t>Drife</w:t>
      </w:r>
      <w:proofErr w:type="spellEnd"/>
      <w:r w:rsidRPr="00276C80">
        <w:t>, J. (2020). Point</w:t>
      </w:r>
      <w:r w:rsidRPr="00276C80">
        <w:rPr>
          <w:rFonts w:ascii="Cambria Math" w:hAnsi="Cambria Math" w:cs="Cambria Math"/>
        </w:rPr>
        <w:t>‐</w:t>
      </w:r>
      <w:r w:rsidRPr="00276C80">
        <w:t>of</w:t>
      </w:r>
      <w:r w:rsidRPr="00276C80">
        <w:rPr>
          <w:rFonts w:ascii="Cambria Math" w:hAnsi="Cambria Math" w:cs="Cambria Math"/>
        </w:rPr>
        <w:t>‐</w:t>
      </w:r>
      <w:r w:rsidRPr="00276C80">
        <w:t>care coagulation testing in obstetrics: more evidence, please? </w:t>
      </w:r>
      <w:proofErr w:type="gramStart"/>
      <w:r w:rsidRPr="00276C80">
        <w:rPr>
          <w:i/>
          <w:iCs/>
        </w:rPr>
        <w:t>BJOG :</w:t>
      </w:r>
      <w:proofErr w:type="gramEnd"/>
      <w:r w:rsidRPr="00276C80">
        <w:rPr>
          <w:i/>
          <w:iCs/>
        </w:rPr>
        <w:t xml:space="preserve"> an International Journal of Obstetrics and </w:t>
      </w:r>
      <w:proofErr w:type="spellStart"/>
      <w:r w:rsidRPr="00276C80">
        <w:rPr>
          <w:i/>
          <w:iCs/>
        </w:rPr>
        <w:t>Gynaecology</w:t>
      </w:r>
      <w:proofErr w:type="spellEnd"/>
      <w:r w:rsidRPr="00276C80">
        <w:t>, </w:t>
      </w:r>
      <w:r w:rsidRPr="00276C80">
        <w:rPr>
          <w:i/>
          <w:iCs/>
        </w:rPr>
        <w:t>127</w:t>
      </w:r>
      <w:r w:rsidRPr="00276C80">
        <w:t>(7), 828–828. https://doi.org/10.1111/1471-0528.16111</w:t>
      </w:r>
      <w:r w:rsidR="00C903C3">
        <w:t>.</w:t>
      </w:r>
    </w:p>
    <w:p w14:paraId="29393825" w14:textId="77777777" w:rsidR="00FC3136" w:rsidRDefault="00FC3136" w:rsidP="00FC3136"/>
    <w:p w14:paraId="132BBD9F" w14:textId="03EA60F5" w:rsidR="00FC3136" w:rsidRDefault="00FC3136" w:rsidP="00203EDE">
      <w:pPr>
        <w:ind w:left="360"/>
      </w:pPr>
      <w:r w:rsidRPr="00203EDE">
        <w:t>Summary</w:t>
      </w:r>
      <w:r>
        <w:t>:</w:t>
      </w:r>
      <w:r w:rsidR="00203EDE">
        <w:t xml:space="preserve"> </w:t>
      </w:r>
      <w:r w:rsidR="00203EDE" w:rsidRPr="00203EDE">
        <w:t>Mini-review that makes the case for point-of-care coagulation testing to reduce the incidence of postpartum hemorrhage</w:t>
      </w:r>
      <w:r w:rsidR="00203EDE">
        <w:t>.</w:t>
      </w:r>
    </w:p>
    <w:p w14:paraId="6331CB04" w14:textId="77777777" w:rsidR="00FC3136" w:rsidRDefault="00FC3136" w:rsidP="00FC3136">
      <w:pPr>
        <w:ind w:left="360"/>
      </w:pPr>
    </w:p>
    <w:p w14:paraId="10163440" w14:textId="2BD7194B" w:rsidR="00FC3136" w:rsidRDefault="00A24063" w:rsidP="00FC3136">
      <w:pPr>
        <w:pStyle w:val="ListParagraph"/>
        <w:numPr>
          <w:ilvl w:val="0"/>
          <w:numId w:val="1"/>
        </w:numPr>
        <w:ind w:hanging="450"/>
      </w:pPr>
      <w:proofErr w:type="spellStart"/>
      <w:r w:rsidRPr="00A24063">
        <w:t>Eckerdal</w:t>
      </w:r>
      <w:proofErr w:type="spellEnd"/>
      <w:r w:rsidRPr="00A24063">
        <w:t xml:space="preserve">, P., </w:t>
      </w:r>
      <w:proofErr w:type="spellStart"/>
      <w:r w:rsidRPr="00A24063">
        <w:t>Kollia</w:t>
      </w:r>
      <w:proofErr w:type="spellEnd"/>
      <w:r w:rsidRPr="00A24063">
        <w:t>, N., Karlsson, L., Skoog-</w:t>
      </w:r>
      <w:proofErr w:type="spellStart"/>
      <w:r w:rsidRPr="00A24063">
        <w:t>Svanberg</w:t>
      </w:r>
      <w:proofErr w:type="spellEnd"/>
      <w:r w:rsidRPr="00A24063">
        <w:t xml:space="preserve">, A., Wikström, A.-K., </w:t>
      </w:r>
      <w:proofErr w:type="spellStart"/>
      <w:r w:rsidRPr="00A24063">
        <w:t>Högberg</w:t>
      </w:r>
      <w:proofErr w:type="spellEnd"/>
      <w:r w:rsidRPr="00A24063">
        <w:t xml:space="preserve">, U., &amp; </w:t>
      </w:r>
      <w:proofErr w:type="spellStart"/>
      <w:r w:rsidRPr="00A24063">
        <w:t>Skalkidou</w:t>
      </w:r>
      <w:proofErr w:type="spellEnd"/>
      <w:r w:rsidRPr="00A24063">
        <w:t>, A. (2020). Epidural analgesia during childbirth and postpartum depressive symptoms: a population-based longitudinal cohort study. </w:t>
      </w:r>
      <w:r w:rsidRPr="00A24063">
        <w:rPr>
          <w:i/>
          <w:iCs/>
        </w:rPr>
        <w:t>Anesthesia and Analgesia</w:t>
      </w:r>
      <w:r w:rsidRPr="00A24063">
        <w:t>, </w:t>
      </w:r>
      <w:r w:rsidRPr="00A24063">
        <w:rPr>
          <w:i/>
          <w:iCs/>
        </w:rPr>
        <w:t>130</w:t>
      </w:r>
      <w:r w:rsidRPr="00A24063">
        <w:t>(3), 615–624.</w:t>
      </w:r>
      <w:r>
        <w:t xml:space="preserve"> </w:t>
      </w:r>
      <w:r w:rsidRPr="00A24063">
        <w:t>https://doi.org/10.1213/ANE.0000000000004292</w:t>
      </w:r>
      <w:r>
        <w:t>.</w:t>
      </w:r>
    </w:p>
    <w:p w14:paraId="3EDF2EEA" w14:textId="77777777" w:rsidR="00FC3136" w:rsidRDefault="00FC3136" w:rsidP="00FC3136"/>
    <w:p w14:paraId="131796EC" w14:textId="6DAF7F5A" w:rsidR="00FC3136" w:rsidRDefault="00FC3136" w:rsidP="003932CD">
      <w:pPr>
        <w:ind w:left="360"/>
      </w:pPr>
      <w:r w:rsidRPr="003932CD">
        <w:t>Summary</w:t>
      </w:r>
      <w:r>
        <w:t>:</w:t>
      </w:r>
      <w:r w:rsidR="003932CD">
        <w:t xml:space="preserve"> </w:t>
      </w:r>
      <w:r w:rsidR="003932CD" w:rsidRPr="003932CD">
        <w:t>Swedish population-based longitudinal cohort study showing that epidural anesthesia was not associated with the risk of postpartum depression at 6 weeks postpartum after adjusting for sociodemographic, psychosocial, and obstetric variables</w:t>
      </w:r>
      <w:r w:rsidR="003932CD">
        <w:t>.</w:t>
      </w:r>
    </w:p>
    <w:p w14:paraId="084C15B0" w14:textId="77777777" w:rsidR="00FC3136" w:rsidRDefault="00FC3136" w:rsidP="00FC3136">
      <w:pPr>
        <w:ind w:left="360"/>
      </w:pPr>
    </w:p>
    <w:p w14:paraId="54FE9E33" w14:textId="3AB3B449" w:rsidR="00BB72E3" w:rsidRDefault="00BB72E3" w:rsidP="00FC3136">
      <w:pPr>
        <w:pStyle w:val="ListParagraph"/>
        <w:numPr>
          <w:ilvl w:val="0"/>
          <w:numId w:val="1"/>
        </w:numPr>
        <w:ind w:hanging="450"/>
      </w:pPr>
      <w:r w:rsidRPr="00BB72E3">
        <w:lastRenderedPageBreak/>
        <w:t xml:space="preserve">El Shamy, T., Amer, S. A. K., Mohamed, A. A., James, C., &amp; </w:t>
      </w:r>
      <w:proofErr w:type="spellStart"/>
      <w:r w:rsidRPr="00BB72E3">
        <w:t>Jayaprakasan</w:t>
      </w:r>
      <w:proofErr w:type="spellEnd"/>
      <w:r w:rsidRPr="00BB72E3">
        <w:t>, K. (2020). The impact of uterine artery embolization on ovarian reserve: A systematic review and meta</w:t>
      </w:r>
      <w:r w:rsidRPr="00BB72E3">
        <w:rPr>
          <w:rFonts w:ascii="Cambria Math" w:hAnsi="Cambria Math" w:cs="Cambria Math"/>
        </w:rPr>
        <w:t>‐</w:t>
      </w:r>
      <w:r w:rsidRPr="00BB72E3">
        <w:t xml:space="preserve">analysis. Acta </w:t>
      </w:r>
      <w:proofErr w:type="spellStart"/>
      <w:r w:rsidRPr="00BB72E3">
        <w:t>Obstetricia</w:t>
      </w:r>
      <w:proofErr w:type="spellEnd"/>
      <w:r w:rsidRPr="00BB72E3">
        <w:t xml:space="preserve"> et </w:t>
      </w:r>
      <w:proofErr w:type="spellStart"/>
      <w:r w:rsidRPr="00BB72E3">
        <w:t>Gynecologica</w:t>
      </w:r>
      <w:proofErr w:type="spellEnd"/>
      <w:r w:rsidRPr="00BB72E3">
        <w:t xml:space="preserve"> Scandinavica, 99(1), 16</w:t>
      </w:r>
      <w:r w:rsidRPr="00BB72E3">
        <w:rPr>
          <w:rFonts w:cs="Arial"/>
        </w:rPr>
        <w:t>–</w:t>
      </w:r>
      <w:r w:rsidRPr="00BB72E3">
        <w:t xml:space="preserve">23. </w:t>
      </w:r>
      <w:r w:rsidRPr="0037538C">
        <w:t>https://doi.org/10.1111/aogs.13698</w:t>
      </w:r>
      <w:r>
        <w:t>.</w:t>
      </w:r>
    </w:p>
    <w:p w14:paraId="0DD05B15" w14:textId="7E7D78A7" w:rsidR="00BB72E3" w:rsidRDefault="00BB72E3" w:rsidP="00BB72E3"/>
    <w:p w14:paraId="2E8A9E92" w14:textId="7447E3BC" w:rsidR="00BB72E3" w:rsidRDefault="00BB72E3" w:rsidP="0037538C">
      <w:pPr>
        <w:ind w:left="360"/>
      </w:pPr>
      <w:r w:rsidRPr="003932CD">
        <w:t>Summary</w:t>
      </w:r>
      <w:r>
        <w:t>:</w:t>
      </w:r>
      <w:r w:rsidR="0037538C" w:rsidRPr="0037538C">
        <w:t xml:space="preserve"> Meta-analysis of 353 studies showing that </w:t>
      </w:r>
      <w:proofErr w:type="spellStart"/>
      <w:r w:rsidR="0037538C" w:rsidRPr="0037538C">
        <w:t>terine</w:t>
      </w:r>
      <w:proofErr w:type="spellEnd"/>
      <w:r w:rsidR="0037538C" w:rsidRPr="0037538C">
        <w:t xml:space="preserve"> artery embolization for uterine fibroids does not appear to affect ovarian reserve as measured by serum concentrations of anti-Mullerian hormone and FSH.</w:t>
      </w:r>
    </w:p>
    <w:p w14:paraId="04F89C89" w14:textId="77777777" w:rsidR="0037538C" w:rsidRDefault="0037538C" w:rsidP="00BB72E3">
      <w:pPr>
        <w:ind w:firstLine="360"/>
      </w:pPr>
    </w:p>
    <w:p w14:paraId="0B0597AE" w14:textId="3C103644" w:rsidR="00FC3136" w:rsidRDefault="00520F59" w:rsidP="00FC3136">
      <w:pPr>
        <w:pStyle w:val="ListParagraph"/>
        <w:numPr>
          <w:ilvl w:val="0"/>
          <w:numId w:val="1"/>
        </w:numPr>
        <w:ind w:hanging="450"/>
      </w:pPr>
      <w:r w:rsidRPr="00520F59">
        <w:t xml:space="preserve">Escobedo, M. B., Aziz, K., Kapadia, V. S., Lee, H. C., </w:t>
      </w:r>
      <w:proofErr w:type="spellStart"/>
      <w:r w:rsidRPr="00520F59">
        <w:t>Niermeyer</w:t>
      </w:r>
      <w:proofErr w:type="spellEnd"/>
      <w:r w:rsidRPr="00520F59">
        <w:t xml:space="preserve">, S., </w:t>
      </w:r>
      <w:proofErr w:type="spellStart"/>
      <w:r w:rsidRPr="00520F59">
        <w:t>Schmölzer</w:t>
      </w:r>
      <w:proofErr w:type="spellEnd"/>
      <w:r w:rsidRPr="00520F59">
        <w:t xml:space="preserve">, G. M., </w:t>
      </w:r>
      <w:proofErr w:type="spellStart"/>
      <w:r w:rsidRPr="00520F59">
        <w:t>Szyld</w:t>
      </w:r>
      <w:proofErr w:type="spellEnd"/>
      <w:r w:rsidRPr="00520F59">
        <w:t xml:space="preserve">, E., Weiner, G. M., Wyckoff, M. H., Yamada, N. K., &amp; </w:t>
      </w:r>
      <w:proofErr w:type="spellStart"/>
      <w:r w:rsidRPr="00520F59">
        <w:t>Zaichkin</w:t>
      </w:r>
      <w:proofErr w:type="spellEnd"/>
      <w:r w:rsidRPr="00520F59">
        <w:t>, J. G. (2019). 2019 American Heart Association focused update on neonatal resuscitation: an update to the American Heart Association guidelines for cardiopulmonary resuscitation and emergency cardiovascular care. </w:t>
      </w:r>
      <w:r w:rsidRPr="00520F59">
        <w:rPr>
          <w:i/>
          <w:iCs/>
        </w:rPr>
        <w:t>Circulation (New York, N.Y.)</w:t>
      </w:r>
      <w:r w:rsidRPr="00520F59">
        <w:t>, </w:t>
      </w:r>
      <w:r w:rsidRPr="00520F59">
        <w:rPr>
          <w:i/>
          <w:iCs/>
        </w:rPr>
        <w:t>140</w:t>
      </w:r>
      <w:r w:rsidRPr="00520F59">
        <w:t>(24), e922–e930. https://doi.org/10.1161/CIR.0000000000000729</w:t>
      </w:r>
      <w:r>
        <w:t>.</w:t>
      </w:r>
    </w:p>
    <w:p w14:paraId="7098ADAC" w14:textId="77777777" w:rsidR="00FC3136" w:rsidRDefault="00FC3136" w:rsidP="00FC3136"/>
    <w:p w14:paraId="2C4B99EB" w14:textId="72E0A82D" w:rsidR="00FC3136" w:rsidRDefault="00FC3136" w:rsidP="003932CD">
      <w:pPr>
        <w:ind w:left="360"/>
      </w:pPr>
      <w:r w:rsidRPr="003932CD">
        <w:t>Summary</w:t>
      </w:r>
      <w:r>
        <w:t>:</w:t>
      </w:r>
      <w:r w:rsidR="003932CD">
        <w:t xml:space="preserve"> </w:t>
      </w:r>
      <w:r w:rsidR="003932CD" w:rsidRPr="003932CD">
        <w:t>In term and late-preterm newborns receiving respiratory support at birth, initial use of 21% oxygen is reasonable; 100% oxygen is associated with excess mortality. In preterm newborns, it may be reasonable to begin with 21%–30% oxygen</w:t>
      </w:r>
      <w:r w:rsidR="003932CD">
        <w:t>.</w:t>
      </w:r>
    </w:p>
    <w:p w14:paraId="211BA423" w14:textId="77777777" w:rsidR="00FC3136" w:rsidRDefault="00FC3136" w:rsidP="00FC3136">
      <w:pPr>
        <w:ind w:left="360"/>
      </w:pPr>
    </w:p>
    <w:p w14:paraId="6B5C9EB7" w14:textId="09C49DE5" w:rsidR="00FC3136" w:rsidRDefault="00705FA7" w:rsidP="00FC3136">
      <w:pPr>
        <w:pStyle w:val="ListParagraph"/>
        <w:numPr>
          <w:ilvl w:val="0"/>
          <w:numId w:val="1"/>
        </w:numPr>
        <w:ind w:hanging="450"/>
      </w:pPr>
      <w:r w:rsidRPr="00705FA7">
        <w:t>Farquhar, C. M., Armstrong, S., Masson, V., Thompson, J. M. D., &amp; Sadler, L. (2020). Clinician identification of birth asphyxia using intrapartum cardiotocography among neonates with and without encephalopathy in New Zealand. </w:t>
      </w:r>
      <w:r w:rsidRPr="00705FA7">
        <w:rPr>
          <w:i/>
          <w:iCs/>
        </w:rPr>
        <w:t>JAMA Network Open</w:t>
      </w:r>
      <w:r w:rsidRPr="00705FA7">
        <w:t>, </w:t>
      </w:r>
      <w:r w:rsidRPr="00705FA7">
        <w:rPr>
          <w:i/>
          <w:iCs/>
        </w:rPr>
        <w:t>3</w:t>
      </w:r>
      <w:r w:rsidRPr="00705FA7">
        <w:t>(2), e1921363–e1921363. https://doi.org/10.1001/jamanetworkopen.2019.21363</w:t>
      </w:r>
      <w:r>
        <w:t>.</w:t>
      </w:r>
    </w:p>
    <w:p w14:paraId="5B41C438" w14:textId="77777777" w:rsidR="00FC3136" w:rsidRDefault="00FC3136" w:rsidP="00FC3136"/>
    <w:p w14:paraId="05118E5C" w14:textId="436EC5E3" w:rsidR="00FC3136" w:rsidRDefault="00FC3136" w:rsidP="00714A45">
      <w:pPr>
        <w:ind w:left="360"/>
      </w:pPr>
      <w:r w:rsidRPr="00714A45">
        <w:t>Summary</w:t>
      </w:r>
      <w:r>
        <w:t>:</w:t>
      </w:r>
      <w:r w:rsidR="00714A45">
        <w:t xml:space="preserve"> </w:t>
      </w:r>
      <w:r w:rsidR="00714A45" w:rsidRPr="00714A45">
        <w:t>Case-control study of obstetricians and midwives asked to predict neonatal encephalopathy based on cardiotography. Experienced clinicians detected 3 of 4 infants who were subsequently diagnosed with neonatal encephalopathy</w:t>
      </w:r>
      <w:r w:rsidR="00714A45">
        <w:t>.</w:t>
      </w:r>
    </w:p>
    <w:p w14:paraId="5F3E2119" w14:textId="77777777" w:rsidR="00FC3136" w:rsidRDefault="00FC3136" w:rsidP="00FC3136">
      <w:pPr>
        <w:ind w:left="360"/>
      </w:pPr>
    </w:p>
    <w:p w14:paraId="0D8F161F" w14:textId="253A2113" w:rsidR="00FC3136" w:rsidRDefault="00C0773D" w:rsidP="00FC3136">
      <w:pPr>
        <w:pStyle w:val="ListParagraph"/>
        <w:numPr>
          <w:ilvl w:val="0"/>
          <w:numId w:val="1"/>
        </w:numPr>
        <w:ind w:hanging="450"/>
      </w:pPr>
      <w:r w:rsidRPr="00C0773D">
        <w:t>Farrell, M. E., &amp; Evans, M. L. (2020). Leaving half the population behind—the continued fight to cover America’s mothers: a call to action. </w:t>
      </w:r>
      <w:r w:rsidRPr="00C0773D">
        <w:rPr>
          <w:i/>
          <w:iCs/>
        </w:rPr>
        <w:t>American Journal of Obstetrics and Gynecology</w:t>
      </w:r>
      <w:r w:rsidRPr="00C0773D">
        <w:t>, </w:t>
      </w:r>
      <w:r w:rsidRPr="00C0773D">
        <w:rPr>
          <w:i/>
          <w:iCs/>
        </w:rPr>
        <w:t>223</w:t>
      </w:r>
      <w:r w:rsidRPr="00C0773D">
        <w:t>(3), 379.e1–379.e5. https://doi.org/10.1016/j.ajog.2020.05.034</w:t>
      </w:r>
      <w:r>
        <w:t>.</w:t>
      </w:r>
    </w:p>
    <w:p w14:paraId="45506DAA" w14:textId="77777777" w:rsidR="00FC3136" w:rsidRDefault="00FC3136" w:rsidP="00FC3136"/>
    <w:p w14:paraId="0DF11E6C" w14:textId="71784C3D" w:rsidR="00FC3136" w:rsidRDefault="00FC3136" w:rsidP="00714A45">
      <w:pPr>
        <w:ind w:left="360"/>
      </w:pPr>
      <w:r w:rsidRPr="00714A45">
        <w:t>Summary</w:t>
      </w:r>
      <w:r>
        <w:t>:</w:t>
      </w:r>
      <w:r w:rsidR="00714A45">
        <w:t xml:space="preserve"> </w:t>
      </w:r>
      <w:r w:rsidR="00714A45" w:rsidRPr="00714A45">
        <w:t>Editorial arguing for extension of Medicaid benefits to 365 days postpartum</w:t>
      </w:r>
      <w:r w:rsidR="00714A45">
        <w:t>.</w:t>
      </w:r>
    </w:p>
    <w:p w14:paraId="60495DAE" w14:textId="4D45482C" w:rsidR="001C23C4" w:rsidRDefault="001C23C4" w:rsidP="001C23C4"/>
    <w:p w14:paraId="3FB23584" w14:textId="39AA9707" w:rsidR="00CC647F" w:rsidRDefault="00CC647F" w:rsidP="001C23C4">
      <w:pPr>
        <w:pStyle w:val="ListParagraph"/>
        <w:numPr>
          <w:ilvl w:val="0"/>
          <w:numId w:val="1"/>
        </w:numPr>
        <w:ind w:hanging="450"/>
      </w:pPr>
      <w:r w:rsidRPr="00CC647F">
        <w:t xml:space="preserve">Ferreira, E. C., Costa, M. L., </w:t>
      </w:r>
      <w:proofErr w:type="spellStart"/>
      <w:r w:rsidRPr="00CC647F">
        <w:t>Pacagnella</w:t>
      </w:r>
      <w:proofErr w:type="spellEnd"/>
      <w:r w:rsidRPr="00CC647F">
        <w:t xml:space="preserve">, R. C., Silveira, C., </w:t>
      </w:r>
      <w:proofErr w:type="spellStart"/>
      <w:r w:rsidRPr="00CC647F">
        <w:t>Andreucci</w:t>
      </w:r>
      <w:proofErr w:type="spellEnd"/>
      <w:r w:rsidRPr="00CC647F">
        <w:t xml:space="preserve">, C. B., </w:t>
      </w:r>
      <w:proofErr w:type="spellStart"/>
      <w:r w:rsidRPr="00CC647F">
        <w:t>Zanardi</w:t>
      </w:r>
      <w:proofErr w:type="spellEnd"/>
      <w:r w:rsidRPr="00CC647F">
        <w:t xml:space="preserve">, D. M., Santos, J. P., Angelini, C. R., Souza, R. T., </w:t>
      </w:r>
      <w:proofErr w:type="spellStart"/>
      <w:r w:rsidRPr="00CC647F">
        <w:t>Parpinelli</w:t>
      </w:r>
      <w:proofErr w:type="spellEnd"/>
      <w:r w:rsidRPr="00CC647F">
        <w:t xml:space="preserve">, M. A., Sousa, M. H., &amp; </w:t>
      </w:r>
      <w:proofErr w:type="spellStart"/>
      <w:r w:rsidRPr="00CC647F">
        <w:t>Cecatti</w:t>
      </w:r>
      <w:proofErr w:type="spellEnd"/>
      <w:r w:rsidRPr="00CC647F">
        <w:t>, J. G. (2020). General and reproductive health among women after an episode of severe maternal morbidity: Results from the COMMAG study. </w:t>
      </w:r>
      <w:r w:rsidRPr="00CC647F">
        <w:rPr>
          <w:i/>
          <w:iCs/>
        </w:rPr>
        <w:t>International Journal of Gynecology and Obstetrics</w:t>
      </w:r>
      <w:r w:rsidRPr="00CC647F">
        <w:t>, </w:t>
      </w:r>
      <w:r w:rsidRPr="00CC647F">
        <w:rPr>
          <w:i/>
          <w:iCs/>
        </w:rPr>
        <w:t>150</w:t>
      </w:r>
      <w:r w:rsidRPr="00CC647F">
        <w:t>(1), 83–91. https://doi.org/10.1002/ijgo.13161</w:t>
      </w:r>
      <w:r>
        <w:t>.</w:t>
      </w:r>
    </w:p>
    <w:p w14:paraId="6070C128" w14:textId="6D2A427F" w:rsidR="00CC647F" w:rsidRDefault="00CC647F" w:rsidP="00CC647F"/>
    <w:p w14:paraId="0945E32C" w14:textId="04BBC69E" w:rsidR="00CC647F" w:rsidRDefault="00CC647F" w:rsidP="00CC647F">
      <w:pPr>
        <w:ind w:left="360"/>
      </w:pPr>
      <w:r>
        <w:t xml:space="preserve">Summary: </w:t>
      </w:r>
      <w:r w:rsidRPr="00CC647F">
        <w:t>Retrospective cohort study at a tertiary maternity hospital showing that women experiencing severe maternal morbidity are at higher risk of general and reproductive health problems after pregnancy, including risk of death</w:t>
      </w:r>
      <w:r>
        <w:t>.</w:t>
      </w:r>
    </w:p>
    <w:p w14:paraId="3F8712B0" w14:textId="77777777" w:rsidR="00CC647F" w:rsidRDefault="00CC647F" w:rsidP="00CC647F">
      <w:pPr>
        <w:ind w:left="360"/>
      </w:pPr>
    </w:p>
    <w:p w14:paraId="60F6FE23" w14:textId="391A4412" w:rsidR="001C23C4" w:rsidRDefault="00462318" w:rsidP="001C23C4">
      <w:pPr>
        <w:pStyle w:val="ListParagraph"/>
        <w:numPr>
          <w:ilvl w:val="0"/>
          <w:numId w:val="1"/>
        </w:numPr>
        <w:ind w:hanging="450"/>
      </w:pPr>
      <w:proofErr w:type="spellStart"/>
      <w:r w:rsidRPr="00462318">
        <w:t>Ferschl</w:t>
      </w:r>
      <w:proofErr w:type="spellEnd"/>
      <w:r w:rsidRPr="00462318">
        <w:t xml:space="preserve">, M. B., </w:t>
      </w:r>
      <w:proofErr w:type="spellStart"/>
      <w:r w:rsidRPr="00462318">
        <w:t>Feiner</w:t>
      </w:r>
      <w:proofErr w:type="spellEnd"/>
      <w:r w:rsidRPr="00462318">
        <w:t>, J., Vu, L., Smith, D., &amp; Rollins, M. D. (2020). A comparison of spinal anesthesia versus monitored anesthesia care with local anesthesia in minimally invasive fetal surgery. </w:t>
      </w:r>
      <w:r w:rsidRPr="00462318">
        <w:rPr>
          <w:i/>
          <w:iCs/>
        </w:rPr>
        <w:t>Anesthesia and Analgesia</w:t>
      </w:r>
      <w:r w:rsidRPr="00462318">
        <w:t>, </w:t>
      </w:r>
      <w:r w:rsidRPr="00462318">
        <w:rPr>
          <w:i/>
          <w:iCs/>
        </w:rPr>
        <w:t>130</w:t>
      </w:r>
      <w:r w:rsidRPr="00462318">
        <w:t>(2), 409–415. https://doi.org/10.1213/ANE.0000000000003947</w:t>
      </w:r>
      <w:r>
        <w:t>.</w:t>
      </w:r>
    </w:p>
    <w:p w14:paraId="7E806F7C" w14:textId="77777777" w:rsidR="001C23C4" w:rsidRDefault="001C23C4" w:rsidP="001C23C4"/>
    <w:p w14:paraId="2041E208" w14:textId="1A91CC9C" w:rsidR="001C23C4" w:rsidRDefault="001C23C4" w:rsidP="006854A9">
      <w:pPr>
        <w:ind w:left="360"/>
      </w:pPr>
      <w:r w:rsidRPr="006854A9">
        <w:t>Summary</w:t>
      </w:r>
      <w:r>
        <w:t>:</w:t>
      </w:r>
      <w:r w:rsidR="006854A9">
        <w:t xml:space="preserve"> </w:t>
      </w:r>
      <w:r w:rsidR="006854A9" w:rsidRPr="006854A9">
        <w:t>Monitored anesthesia care plus local anesthesia is reliable and safe for minimally invasive fetal surgery. It decreases maternal hemodynamic instability and reduces preincision operating room time</w:t>
      </w:r>
      <w:r w:rsidR="006854A9">
        <w:t>.</w:t>
      </w:r>
    </w:p>
    <w:p w14:paraId="72593422" w14:textId="77777777" w:rsidR="001C23C4" w:rsidRPr="00156190" w:rsidRDefault="001C23C4" w:rsidP="001C23C4">
      <w:pPr>
        <w:ind w:left="360"/>
      </w:pPr>
    </w:p>
    <w:p w14:paraId="1A891BA9" w14:textId="26F7984B" w:rsidR="001C23C4" w:rsidRDefault="003E7628" w:rsidP="001C23C4">
      <w:pPr>
        <w:pStyle w:val="ListParagraph"/>
        <w:numPr>
          <w:ilvl w:val="0"/>
          <w:numId w:val="1"/>
        </w:numPr>
        <w:ind w:hanging="450"/>
      </w:pPr>
      <w:r w:rsidRPr="003E7628">
        <w:t>Garland, E. L. (2020). Psychosocial intervention and the reward system in pain and opioid misuse: new opportunities and directions. </w:t>
      </w:r>
      <w:r w:rsidRPr="003E7628">
        <w:rPr>
          <w:i/>
          <w:iCs/>
        </w:rPr>
        <w:t>Pain (Amsterdam)</w:t>
      </w:r>
      <w:r w:rsidRPr="003E7628">
        <w:t>, </w:t>
      </w:r>
      <w:r w:rsidRPr="003E7628">
        <w:rPr>
          <w:i/>
          <w:iCs/>
        </w:rPr>
        <w:t>161</w:t>
      </w:r>
      <w:r w:rsidRPr="003E7628">
        <w:t>(12), 2659–2666. https://doi.org/10.1097/j.pain.0000000000001988</w:t>
      </w:r>
      <w:r>
        <w:t>.</w:t>
      </w:r>
    </w:p>
    <w:p w14:paraId="18F6D234" w14:textId="77777777" w:rsidR="001C23C4" w:rsidRDefault="001C23C4" w:rsidP="001C23C4"/>
    <w:p w14:paraId="4FEAC405" w14:textId="33056381" w:rsidR="001C23C4" w:rsidRDefault="001C23C4" w:rsidP="00571EE5">
      <w:pPr>
        <w:ind w:left="360"/>
      </w:pPr>
      <w:r w:rsidRPr="00571EE5">
        <w:lastRenderedPageBreak/>
        <w:t>Summary</w:t>
      </w:r>
      <w:r>
        <w:t>:</w:t>
      </w:r>
      <w:r w:rsidR="00571EE5">
        <w:t xml:space="preserve"> </w:t>
      </w:r>
      <w:r w:rsidR="00571EE5" w:rsidRPr="00571EE5">
        <w:t>A topical review proposing a mechanistic model for optimizing psychosocial interventions by leveraging positive affective/reward-related mechanisms as a means of addressing chronic pain and opioid misuse</w:t>
      </w:r>
      <w:r w:rsidR="00571EE5">
        <w:t>.</w:t>
      </w:r>
    </w:p>
    <w:p w14:paraId="0E51152B" w14:textId="77777777" w:rsidR="001C23C4" w:rsidRPr="00156190" w:rsidRDefault="001C23C4" w:rsidP="001C23C4">
      <w:pPr>
        <w:ind w:left="360"/>
      </w:pPr>
    </w:p>
    <w:p w14:paraId="7C6ED751" w14:textId="7263767C" w:rsidR="001C23C4" w:rsidRDefault="00B12B88" w:rsidP="001C23C4">
      <w:pPr>
        <w:pStyle w:val="ListParagraph"/>
        <w:numPr>
          <w:ilvl w:val="0"/>
          <w:numId w:val="1"/>
        </w:numPr>
        <w:ind w:hanging="450"/>
      </w:pPr>
      <w:r w:rsidRPr="00B12B88">
        <w:t xml:space="preserve">Gómez-Pérez, L., </w:t>
      </w:r>
      <w:proofErr w:type="spellStart"/>
      <w:r w:rsidRPr="00B12B88">
        <w:t>Cumsille</w:t>
      </w:r>
      <w:proofErr w:type="spellEnd"/>
      <w:r w:rsidRPr="00B12B88">
        <w:t>, P., &amp; Román, C. (2020). Bidirectional relationship between physical health symptoms and depressive symptoms in the pre- and postpartum period. </w:t>
      </w:r>
      <w:r w:rsidRPr="00B12B88">
        <w:rPr>
          <w:i/>
          <w:iCs/>
        </w:rPr>
        <w:t>Journal of Psychosomatic Research</w:t>
      </w:r>
      <w:r w:rsidRPr="00B12B88">
        <w:t>, </w:t>
      </w:r>
      <w:r w:rsidRPr="00B12B88">
        <w:rPr>
          <w:i/>
          <w:iCs/>
        </w:rPr>
        <w:t>139</w:t>
      </w:r>
      <w:r w:rsidRPr="00B12B88">
        <w:t>, 110280–110280. https://doi.org/10.1016/j.jpsychores.2020.110280</w:t>
      </w:r>
      <w:r>
        <w:t>.</w:t>
      </w:r>
    </w:p>
    <w:p w14:paraId="43474705" w14:textId="77777777" w:rsidR="001C23C4" w:rsidRDefault="001C23C4" w:rsidP="001C23C4"/>
    <w:p w14:paraId="207C69C1" w14:textId="3748D7E1" w:rsidR="001C23C4" w:rsidRDefault="001C23C4" w:rsidP="00C57927">
      <w:pPr>
        <w:ind w:left="360"/>
      </w:pPr>
      <w:r w:rsidRPr="00C57927">
        <w:t>Summary</w:t>
      </w:r>
      <w:r>
        <w:t>:</w:t>
      </w:r>
      <w:r w:rsidR="00C57927">
        <w:t xml:space="preserve"> </w:t>
      </w:r>
      <w:r w:rsidR="00C57927" w:rsidRPr="00C57927">
        <w:t>A questionnaire-based study finding that concurrently intervening when physical and mental health symptoms appear could promote women's perinatal health</w:t>
      </w:r>
      <w:r w:rsidR="00C57927">
        <w:t>.</w:t>
      </w:r>
    </w:p>
    <w:p w14:paraId="0ED59170" w14:textId="77777777" w:rsidR="001C23C4" w:rsidRPr="00156190" w:rsidRDefault="001C23C4" w:rsidP="001C23C4">
      <w:pPr>
        <w:ind w:left="360"/>
      </w:pPr>
    </w:p>
    <w:p w14:paraId="5FF1C9E8" w14:textId="0D284277" w:rsidR="001C23C4" w:rsidRDefault="000130EC" w:rsidP="001C23C4">
      <w:pPr>
        <w:pStyle w:val="ListParagraph"/>
        <w:numPr>
          <w:ilvl w:val="0"/>
          <w:numId w:val="1"/>
        </w:numPr>
        <w:ind w:hanging="450"/>
      </w:pPr>
      <w:proofErr w:type="spellStart"/>
      <w:r w:rsidRPr="000130EC">
        <w:t>Guglielminotti</w:t>
      </w:r>
      <w:proofErr w:type="spellEnd"/>
      <w:r w:rsidRPr="000130EC">
        <w:t>, J., &amp; Li, G. (2020). Exposure to general anesthesia for cesarean delivery and odds of severe postpartum depression requiring hospitalization. </w:t>
      </w:r>
      <w:r w:rsidRPr="000130EC">
        <w:rPr>
          <w:i/>
          <w:iCs/>
        </w:rPr>
        <w:t>Anesthesia and Analgesia</w:t>
      </w:r>
      <w:r w:rsidRPr="000130EC">
        <w:t>, </w:t>
      </w:r>
      <w:r w:rsidRPr="000130EC">
        <w:rPr>
          <w:i/>
          <w:iCs/>
        </w:rPr>
        <w:t>131</w:t>
      </w:r>
      <w:r w:rsidRPr="000130EC">
        <w:t>(5), 1421–1429. https://doi.org/10.1213/ANE.0000000000004663</w:t>
      </w:r>
      <w:r>
        <w:t>.</w:t>
      </w:r>
    </w:p>
    <w:p w14:paraId="59DBBD58" w14:textId="77777777" w:rsidR="001C23C4" w:rsidRDefault="001C23C4" w:rsidP="001C23C4"/>
    <w:p w14:paraId="5DFBC0AB" w14:textId="0A6E363A" w:rsidR="001C23C4" w:rsidRDefault="001C23C4" w:rsidP="00C57927">
      <w:pPr>
        <w:ind w:left="360"/>
      </w:pPr>
      <w:r w:rsidRPr="00C57927">
        <w:t>Summary</w:t>
      </w:r>
      <w:r>
        <w:t>:</w:t>
      </w:r>
      <w:r w:rsidR="00C57927">
        <w:t xml:space="preserve"> </w:t>
      </w:r>
      <w:r w:rsidR="00C57927" w:rsidRPr="00C57927">
        <w:t>Retrospective cohort study of cesarean deliveries showing that general anesthesia was associated with increased risk of postpartum depression associated with hospitalization, suicidal ideation, and self-inflicted injury</w:t>
      </w:r>
      <w:r w:rsidR="00C57927">
        <w:t>.</w:t>
      </w:r>
    </w:p>
    <w:p w14:paraId="557CE6F9" w14:textId="77777777" w:rsidR="001C23C4" w:rsidRPr="00156190" w:rsidRDefault="001C23C4" w:rsidP="001C23C4">
      <w:pPr>
        <w:ind w:left="360"/>
      </w:pPr>
    </w:p>
    <w:p w14:paraId="1E1B48F3" w14:textId="650BA684" w:rsidR="001C23C4" w:rsidRDefault="00D871BD" w:rsidP="001C23C4">
      <w:pPr>
        <w:pStyle w:val="ListParagraph"/>
        <w:numPr>
          <w:ilvl w:val="0"/>
          <w:numId w:val="1"/>
        </w:numPr>
        <w:ind w:hanging="450"/>
      </w:pPr>
      <w:proofErr w:type="spellStart"/>
      <w:r w:rsidRPr="00D871BD">
        <w:t>Guille</w:t>
      </w:r>
      <w:proofErr w:type="spellEnd"/>
      <w:r w:rsidRPr="00D871BD">
        <w:t xml:space="preserve">, C., Simpson, A. N., Douglas, E., Boyars, L., </w:t>
      </w:r>
      <w:proofErr w:type="spellStart"/>
      <w:r w:rsidRPr="00D871BD">
        <w:t>Cristaldi</w:t>
      </w:r>
      <w:proofErr w:type="spellEnd"/>
      <w:r w:rsidRPr="00D871BD">
        <w:t xml:space="preserve">, K., </w:t>
      </w:r>
      <w:proofErr w:type="spellStart"/>
      <w:r w:rsidRPr="00D871BD">
        <w:t>McElligott</w:t>
      </w:r>
      <w:proofErr w:type="spellEnd"/>
      <w:r w:rsidRPr="00D871BD">
        <w:t>, J., Johnson, D., &amp; Brady, K. (2020). Treatment of opioid use disorder in pregnant women via telemedicine: a nonrandomized controlled trial. </w:t>
      </w:r>
      <w:r w:rsidRPr="00D871BD">
        <w:rPr>
          <w:i/>
          <w:iCs/>
        </w:rPr>
        <w:t>JAMA Network Open</w:t>
      </w:r>
      <w:r w:rsidRPr="00D871BD">
        <w:t>, </w:t>
      </w:r>
      <w:r w:rsidRPr="00D871BD">
        <w:rPr>
          <w:i/>
          <w:iCs/>
        </w:rPr>
        <w:t>3</w:t>
      </w:r>
      <w:r w:rsidRPr="00D871BD">
        <w:t>(1), e1920177–e1920177.</w:t>
      </w:r>
      <w:r>
        <w:t xml:space="preserve"> </w:t>
      </w:r>
      <w:r w:rsidRPr="00D871BD">
        <w:t>https://doi.org/10.1001/jamanetworkopen.2019.20177</w:t>
      </w:r>
      <w:r>
        <w:t>.</w:t>
      </w:r>
    </w:p>
    <w:p w14:paraId="17CA4A2D" w14:textId="77777777" w:rsidR="001C23C4" w:rsidRDefault="001C23C4" w:rsidP="001C23C4"/>
    <w:p w14:paraId="468C6728" w14:textId="22DE4CCA" w:rsidR="001C23C4" w:rsidRDefault="001C23C4" w:rsidP="001D2ADE">
      <w:pPr>
        <w:ind w:left="360"/>
      </w:pPr>
      <w:r w:rsidRPr="001D2ADE">
        <w:t>Summary</w:t>
      </w:r>
      <w:r>
        <w:t>:</w:t>
      </w:r>
      <w:r w:rsidR="001D2ADE">
        <w:t xml:space="preserve"> </w:t>
      </w:r>
      <w:r w:rsidR="001D2ADE" w:rsidRPr="001D2ADE">
        <w:t>A nonrandomized controlled trial of 98 women receiving perinatal opiate use disorder treatment. Virtually integrated care and in-person care for opiate use disorder produced similar maternal and newborn outcomes</w:t>
      </w:r>
      <w:r w:rsidR="001D2ADE">
        <w:t>.</w:t>
      </w:r>
    </w:p>
    <w:p w14:paraId="5E71A183" w14:textId="77777777" w:rsidR="001C23C4" w:rsidRPr="00156190" w:rsidRDefault="001C23C4" w:rsidP="001C23C4">
      <w:pPr>
        <w:ind w:left="360"/>
      </w:pPr>
    </w:p>
    <w:p w14:paraId="135E35F6" w14:textId="6B15B3D8" w:rsidR="001C23C4" w:rsidRDefault="005F3501" w:rsidP="001C23C4">
      <w:pPr>
        <w:pStyle w:val="ListParagraph"/>
        <w:numPr>
          <w:ilvl w:val="0"/>
          <w:numId w:val="1"/>
        </w:numPr>
        <w:ind w:hanging="450"/>
      </w:pPr>
      <w:r w:rsidRPr="005F3501">
        <w:t xml:space="preserve">Hao, Q., Hu, Y., Zhang, L., Ross, J., </w:t>
      </w:r>
      <w:proofErr w:type="spellStart"/>
      <w:r w:rsidRPr="005F3501">
        <w:t>Robishaw</w:t>
      </w:r>
      <w:proofErr w:type="spellEnd"/>
      <w:r w:rsidRPr="005F3501">
        <w:t>, S., Noble, C., Wu, X., &amp; Zhang, X. (2020). A systematic review and meta-analysis of clinical trials of neuraxial, intravenous, and inhalational anesthesia for external cephalic version. </w:t>
      </w:r>
      <w:r w:rsidRPr="005F3501">
        <w:rPr>
          <w:i/>
          <w:iCs/>
        </w:rPr>
        <w:t>Anesthesia and Analgesia</w:t>
      </w:r>
      <w:r w:rsidRPr="005F3501">
        <w:t>, </w:t>
      </w:r>
      <w:r w:rsidRPr="005F3501">
        <w:rPr>
          <w:i/>
          <w:iCs/>
        </w:rPr>
        <w:t>131</w:t>
      </w:r>
      <w:r w:rsidRPr="005F3501">
        <w:t>(6), 1800–1811. https://doi.org/10.1213/ANE.0000000000004795</w:t>
      </w:r>
      <w:r>
        <w:t>.</w:t>
      </w:r>
    </w:p>
    <w:p w14:paraId="2048DC56" w14:textId="77777777" w:rsidR="001C23C4" w:rsidRDefault="001C23C4" w:rsidP="001C23C4"/>
    <w:p w14:paraId="26398B09" w14:textId="502A6849" w:rsidR="001C23C4" w:rsidRDefault="001C23C4" w:rsidP="001D2ADE">
      <w:pPr>
        <w:ind w:left="360"/>
      </w:pPr>
      <w:r w:rsidRPr="001D2ADE">
        <w:t>Summary</w:t>
      </w:r>
      <w:r>
        <w:t>:</w:t>
      </w:r>
      <w:r w:rsidR="001D2ADE">
        <w:t xml:space="preserve"> </w:t>
      </w:r>
      <w:r w:rsidR="001D2ADE" w:rsidRPr="001D2ADE">
        <w:t>External cephalic version was significantly more successful with than without neuraxial anesthesia but significantly more maternal hypotension. Use of anesthesia had no effect on the cesarean rat</w:t>
      </w:r>
      <w:r w:rsidR="001D2ADE">
        <w:t>e.</w:t>
      </w:r>
    </w:p>
    <w:p w14:paraId="7379B789" w14:textId="77777777" w:rsidR="001C23C4" w:rsidRPr="00156190" w:rsidRDefault="001C23C4" w:rsidP="001C23C4">
      <w:pPr>
        <w:ind w:left="360"/>
      </w:pPr>
    </w:p>
    <w:p w14:paraId="0897B02A" w14:textId="3EB5B357" w:rsidR="001C23C4" w:rsidRDefault="00246A09" w:rsidP="001C23C4">
      <w:pPr>
        <w:pStyle w:val="ListParagraph"/>
        <w:numPr>
          <w:ilvl w:val="0"/>
          <w:numId w:val="1"/>
        </w:numPr>
        <w:ind w:hanging="450"/>
      </w:pPr>
      <w:r w:rsidRPr="00246A09">
        <w:t xml:space="preserve">Hasegawa, J., </w:t>
      </w:r>
      <w:proofErr w:type="spellStart"/>
      <w:r w:rsidRPr="00246A09">
        <w:t>Katsuragi</w:t>
      </w:r>
      <w:proofErr w:type="spellEnd"/>
      <w:r w:rsidRPr="00246A09">
        <w:t xml:space="preserve">, S., Tanaka, H., Kubo, T., </w:t>
      </w:r>
      <w:proofErr w:type="spellStart"/>
      <w:r w:rsidRPr="00246A09">
        <w:t>Sekizawa</w:t>
      </w:r>
      <w:proofErr w:type="spellEnd"/>
      <w:r w:rsidRPr="00246A09">
        <w:t xml:space="preserve">, A., </w:t>
      </w:r>
      <w:proofErr w:type="spellStart"/>
      <w:r w:rsidRPr="00246A09">
        <w:t>Ishiwata</w:t>
      </w:r>
      <w:proofErr w:type="spellEnd"/>
      <w:r w:rsidRPr="00246A09">
        <w:t>, I., &amp; Ikeda, T. (2020). How should maternal death due to suicide be classified? Discrepancy between ICD</w:t>
      </w:r>
      <w:r w:rsidRPr="00246A09">
        <w:rPr>
          <w:rFonts w:ascii="Cambria Math" w:hAnsi="Cambria Math" w:cs="Cambria Math"/>
        </w:rPr>
        <w:t>‐</w:t>
      </w:r>
      <w:r w:rsidRPr="00246A09">
        <w:t>10 and ICD</w:t>
      </w:r>
      <w:r w:rsidRPr="00246A09">
        <w:rPr>
          <w:rFonts w:ascii="Cambria Math" w:hAnsi="Cambria Math" w:cs="Cambria Math"/>
        </w:rPr>
        <w:t>‐</w:t>
      </w:r>
      <w:r w:rsidRPr="00246A09">
        <w:t>MM.</w:t>
      </w:r>
      <w:r w:rsidRPr="00246A09">
        <w:rPr>
          <w:rFonts w:cs="Arial"/>
        </w:rPr>
        <w:t> </w:t>
      </w:r>
      <w:r w:rsidRPr="00246A09">
        <w:rPr>
          <w:i/>
          <w:iCs/>
        </w:rPr>
        <w:t xml:space="preserve">BJOG: an International Journal of Obstetrics and </w:t>
      </w:r>
      <w:proofErr w:type="spellStart"/>
      <w:r w:rsidRPr="00246A09">
        <w:rPr>
          <w:i/>
          <w:iCs/>
        </w:rPr>
        <w:t>Gynaecology</w:t>
      </w:r>
      <w:proofErr w:type="spellEnd"/>
      <w:r w:rsidRPr="00246A09">
        <w:t>, </w:t>
      </w:r>
      <w:r w:rsidRPr="00246A09">
        <w:rPr>
          <w:i/>
          <w:iCs/>
        </w:rPr>
        <w:t>127</w:t>
      </w:r>
      <w:r w:rsidRPr="00246A09">
        <w:t>(6), 665–667. https://doi.org/10.1111/1471-0528.16087</w:t>
      </w:r>
      <w:r>
        <w:t>.</w:t>
      </w:r>
    </w:p>
    <w:p w14:paraId="3E4DF135" w14:textId="77777777" w:rsidR="001C23C4" w:rsidRDefault="001C23C4" w:rsidP="001C23C4"/>
    <w:p w14:paraId="4F2B4FB3" w14:textId="2F6487AD" w:rsidR="001C23C4" w:rsidRDefault="001C23C4" w:rsidP="00A22DBE">
      <w:pPr>
        <w:ind w:left="360"/>
      </w:pPr>
      <w:r w:rsidRPr="00A22DBE">
        <w:t>Summary</w:t>
      </w:r>
      <w:r>
        <w:t>:</w:t>
      </w:r>
      <w:r w:rsidR="00A22DBE">
        <w:t xml:space="preserve"> </w:t>
      </w:r>
      <w:r w:rsidR="00A22DBE" w:rsidRPr="00A22DBE">
        <w:t>Commentary making the case for inclusion of suicide as a direct or indirect cause of maternal death; it is also a call for improved management of mental health issues in pregnant women</w:t>
      </w:r>
      <w:r w:rsidR="00A22DBE">
        <w:t>.</w:t>
      </w:r>
    </w:p>
    <w:p w14:paraId="7BF12BFF" w14:textId="77777777" w:rsidR="001C23C4" w:rsidRPr="00156190" w:rsidRDefault="001C23C4" w:rsidP="001C23C4">
      <w:pPr>
        <w:ind w:left="360"/>
      </w:pPr>
    </w:p>
    <w:p w14:paraId="4B9D70E0" w14:textId="445DAEA9" w:rsidR="001C23C4" w:rsidRDefault="00CA51DC" w:rsidP="001C23C4">
      <w:pPr>
        <w:pStyle w:val="ListParagraph"/>
        <w:numPr>
          <w:ilvl w:val="0"/>
          <w:numId w:val="1"/>
        </w:numPr>
        <w:ind w:hanging="450"/>
      </w:pPr>
      <w:r w:rsidRPr="00CA51DC">
        <w:t xml:space="preserve">Hastie, R., Mol, B., &amp; Tong, S. (2020). Acupuncture in pregnancy; primum non </w:t>
      </w:r>
      <w:proofErr w:type="spellStart"/>
      <w:r w:rsidRPr="00CA51DC">
        <w:t>nocere</w:t>
      </w:r>
      <w:proofErr w:type="spellEnd"/>
      <w:r w:rsidRPr="00CA51DC">
        <w:t>. </w:t>
      </w:r>
      <w:proofErr w:type="gramStart"/>
      <w:r w:rsidRPr="00CA51DC">
        <w:rPr>
          <w:i/>
          <w:iCs/>
        </w:rPr>
        <w:t>BJOG :</w:t>
      </w:r>
      <w:proofErr w:type="gramEnd"/>
      <w:r w:rsidRPr="00CA51DC">
        <w:rPr>
          <w:i/>
          <w:iCs/>
        </w:rPr>
        <w:t xml:space="preserve"> an International Journal of Obstetrics and </w:t>
      </w:r>
      <w:proofErr w:type="spellStart"/>
      <w:r w:rsidRPr="00CA51DC">
        <w:rPr>
          <w:i/>
          <w:iCs/>
        </w:rPr>
        <w:t>Gynaecology</w:t>
      </w:r>
      <w:proofErr w:type="spellEnd"/>
      <w:r w:rsidRPr="00CA51DC">
        <w:t>, </w:t>
      </w:r>
      <w:r w:rsidRPr="00CA51DC">
        <w:rPr>
          <w:i/>
          <w:iCs/>
        </w:rPr>
        <w:t>127</w:t>
      </w:r>
      <w:r w:rsidRPr="00CA51DC">
        <w:t>(1), 87–87. https://doi.org/10.1111/1471-0528.15976</w:t>
      </w:r>
      <w:r>
        <w:t>.</w:t>
      </w:r>
    </w:p>
    <w:p w14:paraId="72001BF6" w14:textId="77777777" w:rsidR="001C23C4" w:rsidRDefault="001C23C4" w:rsidP="001C23C4"/>
    <w:p w14:paraId="093D9D5D" w14:textId="7E40CB1B" w:rsidR="001C23C4" w:rsidRDefault="001C23C4" w:rsidP="00E00BAD">
      <w:pPr>
        <w:ind w:left="360"/>
      </w:pPr>
      <w:r w:rsidRPr="00E00BAD">
        <w:t>Summary</w:t>
      </w:r>
      <w:r>
        <w:t>:</w:t>
      </w:r>
      <w:r w:rsidR="00E00BAD">
        <w:t xml:space="preserve"> </w:t>
      </w:r>
      <w:r w:rsidR="00E00BAD" w:rsidRPr="00E00BAD">
        <w:t>Editorial casting doubt on the literature supporting the efficacy of acupuncture for pregnancy-related conditions</w:t>
      </w:r>
      <w:r w:rsidR="00E00BAD">
        <w:t>.</w:t>
      </w:r>
    </w:p>
    <w:p w14:paraId="08D70B94" w14:textId="77777777" w:rsidR="001C23C4" w:rsidRPr="00156190" w:rsidRDefault="001C23C4" w:rsidP="001C23C4">
      <w:pPr>
        <w:ind w:left="360"/>
      </w:pPr>
    </w:p>
    <w:p w14:paraId="490223C3" w14:textId="37EF104B" w:rsidR="00CC647F" w:rsidRDefault="00CC647F" w:rsidP="001C23C4">
      <w:pPr>
        <w:pStyle w:val="ListParagraph"/>
        <w:numPr>
          <w:ilvl w:val="0"/>
          <w:numId w:val="1"/>
        </w:numPr>
        <w:ind w:hanging="450"/>
      </w:pPr>
      <w:proofErr w:type="spellStart"/>
      <w:r w:rsidRPr="00CC647F">
        <w:t>Hauspurg</w:t>
      </w:r>
      <w:proofErr w:type="spellEnd"/>
      <w:r w:rsidRPr="00CC647F">
        <w:t xml:space="preserve">, A., Lemon, L., Cabrera, C., Javaid, A., </w:t>
      </w:r>
      <w:proofErr w:type="spellStart"/>
      <w:r w:rsidRPr="00CC647F">
        <w:t>Binstock</w:t>
      </w:r>
      <w:proofErr w:type="spellEnd"/>
      <w:r w:rsidRPr="00CC647F">
        <w:t xml:space="preserve">, A., Quinn, B., Larkin, J., Watson, A. R., </w:t>
      </w:r>
      <w:proofErr w:type="spellStart"/>
      <w:r w:rsidRPr="00CC647F">
        <w:t>Beigi</w:t>
      </w:r>
      <w:proofErr w:type="spellEnd"/>
      <w:r w:rsidRPr="00CC647F">
        <w:t xml:space="preserve">, R. H., &amp; </w:t>
      </w:r>
      <w:proofErr w:type="spellStart"/>
      <w:r w:rsidRPr="00CC647F">
        <w:t>Simhan</w:t>
      </w:r>
      <w:proofErr w:type="spellEnd"/>
      <w:r w:rsidRPr="00CC647F">
        <w:t xml:space="preserve">, H. (2020). Racial differences in postpartum blood pressure trajectories among women </w:t>
      </w:r>
      <w:r w:rsidRPr="00CC647F">
        <w:lastRenderedPageBreak/>
        <w:t>after a hypertensive disorder of pregnancy. </w:t>
      </w:r>
      <w:r w:rsidRPr="00CC647F">
        <w:rPr>
          <w:i/>
          <w:iCs/>
        </w:rPr>
        <w:t>JAMA Network Open</w:t>
      </w:r>
      <w:r w:rsidRPr="00CC647F">
        <w:t>, </w:t>
      </w:r>
      <w:r w:rsidRPr="00CC647F">
        <w:rPr>
          <w:i/>
          <w:iCs/>
        </w:rPr>
        <w:t>3</w:t>
      </w:r>
      <w:r w:rsidRPr="00CC647F">
        <w:t>(12), e2030815–e2030815. https://doi.org/10.1001/jamanetworkopen.2020.30815</w:t>
      </w:r>
      <w:r>
        <w:t>.</w:t>
      </w:r>
    </w:p>
    <w:p w14:paraId="4A3B6ED5" w14:textId="0B49C258" w:rsidR="00CC647F" w:rsidRDefault="00CC647F" w:rsidP="00CC647F"/>
    <w:p w14:paraId="27B156A1" w14:textId="28BC50B2" w:rsidR="00CC647F" w:rsidRDefault="00CC647F" w:rsidP="00CC647F">
      <w:pPr>
        <w:ind w:left="360"/>
      </w:pPr>
      <w:r>
        <w:t>Summary:</w:t>
      </w:r>
      <w:r w:rsidRPr="00CC647F">
        <w:t xml:space="preserve"> Prospective cohort study of women with hypertensive disorder of pregnancy enrolled in a postpartum remote blood pressure monitoring program. Black </w:t>
      </w:r>
      <w:proofErr w:type="spellStart"/>
      <w:r w:rsidRPr="00CC647F">
        <w:t>womens</w:t>
      </w:r>
      <w:proofErr w:type="spellEnd"/>
      <w:r w:rsidRPr="00CC647F">
        <w:t>’ blood pressure declined more slowly than Whites and remained high at 6 weeks</w:t>
      </w:r>
      <w:r>
        <w:t>.</w:t>
      </w:r>
    </w:p>
    <w:p w14:paraId="23118D60" w14:textId="77777777" w:rsidR="00CC647F" w:rsidRDefault="00CC647F" w:rsidP="00CC647F">
      <w:pPr>
        <w:ind w:left="360"/>
      </w:pPr>
    </w:p>
    <w:p w14:paraId="1BCAA8F7" w14:textId="7F0A4B92" w:rsidR="001C23C4" w:rsidRDefault="009E66D1" w:rsidP="001C23C4">
      <w:pPr>
        <w:pStyle w:val="ListParagraph"/>
        <w:numPr>
          <w:ilvl w:val="0"/>
          <w:numId w:val="1"/>
        </w:numPr>
        <w:ind w:hanging="450"/>
      </w:pPr>
      <w:r w:rsidRPr="009E66D1">
        <w:t xml:space="preserve">Henderson, J., </w:t>
      </w:r>
      <w:proofErr w:type="spellStart"/>
      <w:r w:rsidRPr="009E66D1">
        <w:t>Bouck</w:t>
      </w:r>
      <w:proofErr w:type="spellEnd"/>
      <w:r w:rsidRPr="009E66D1">
        <w:t xml:space="preserve">, Z., Holleman, R., Chu, C., </w:t>
      </w:r>
      <w:proofErr w:type="spellStart"/>
      <w:r w:rsidRPr="009E66D1">
        <w:t>Klamerus</w:t>
      </w:r>
      <w:proofErr w:type="spellEnd"/>
      <w:r w:rsidRPr="009E66D1">
        <w:t>, M. L., Santiago, R., Bhatia, R. S., &amp; Kerr, E. A. (2020). Comparison of payment changes and choosing wisely recommendations for use of low-value laboratory tests in the United States and Canada. </w:t>
      </w:r>
      <w:r w:rsidRPr="009E66D1">
        <w:rPr>
          <w:i/>
          <w:iCs/>
        </w:rPr>
        <w:t>JAMA Internal Medicine</w:t>
      </w:r>
      <w:r w:rsidRPr="009E66D1">
        <w:t>, </w:t>
      </w:r>
      <w:r w:rsidRPr="009E66D1">
        <w:rPr>
          <w:i/>
          <w:iCs/>
        </w:rPr>
        <w:t>180</w:t>
      </w:r>
      <w:r w:rsidRPr="009E66D1">
        <w:t>(4), 524–531. https://doi.org/10.1001/jamainternmed.2019.7143</w:t>
      </w:r>
      <w:r>
        <w:t>.</w:t>
      </w:r>
    </w:p>
    <w:p w14:paraId="48C0DDB4" w14:textId="77777777" w:rsidR="001C23C4" w:rsidRDefault="001C23C4" w:rsidP="001C23C4"/>
    <w:p w14:paraId="2A06114B" w14:textId="7E345495" w:rsidR="001C23C4" w:rsidRDefault="001C23C4" w:rsidP="00E00BAD">
      <w:pPr>
        <w:ind w:left="360"/>
      </w:pPr>
      <w:r w:rsidRPr="00E00BAD">
        <w:t>Summary</w:t>
      </w:r>
      <w:r>
        <w:t>:</w:t>
      </w:r>
      <w:r w:rsidR="00E00BAD">
        <w:t xml:space="preserve"> </w:t>
      </w:r>
      <w:r w:rsidR="00E00BAD" w:rsidRPr="00E00BAD">
        <w:t>Cross-sectional population-based interrupted time series of adults showing that reimbursement guidelines may be more effective than recommendations in reducing the frequency of unnecessary testing</w:t>
      </w:r>
      <w:r w:rsidR="00E00BAD">
        <w:t>.</w:t>
      </w:r>
    </w:p>
    <w:p w14:paraId="0C7D8371" w14:textId="77777777" w:rsidR="001C23C4" w:rsidRPr="00156190" w:rsidRDefault="001C23C4" w:rsidP="001C23C4">
      <w:pPr>
        <w:ind w:left="360"/>
      </w:pPr>
    </w:p>
    <w:p w14:paraId="0EB70DD1" w14:textId="2BEA5AA1" w:rsidR="006B42FD" w:rsidRDefault="006B42FD" w:rsidP="001C23C4">
      <w:pPr>
        <w:pStyle w:val="ListParagraph"/>
        <w:numPr>
          <w:ilvl w:val="0"/>
          <w:numId w:val="1"/>
        </w:numPr>
        <w:ind w:hanging="450"/>
      </w:pPr>
      <w:r>
        <w:t>U.S. Department of Health and Human Services (</w:t>
      </w:r>
      <w:r w:rsidR="00BD23FA">
        <w:t xml:space="preserve">2020). </w:t>
      </w:r>
      <w:r w:rsidR="0054758B">
        <w:rPr>
          <w:i/>
          <w:iCs/>
        </w:rPr>
        <w:t xml:space="preserve">Healthy women, healthy pregnancies, healthy futures: action plan to improve maternal health in </w:t>
      </w:r>
      <w:r w:rsidR="00C74E36">
        <w:rPr>
          <w:i/>
          <w:iCs/>
        </w:rPr>
        <w:t>A</w:t>
      </w:r>
      <w:r w:rsidR="0054758B">
        <w:rPr>
          <w:i/>
          <w:iCs/>
        </w:rPr>
        <w:t>merica</w:t>
      </w:r>
      <w:r w:rsidR="00C74E36">
        <w:t xml:space="preserve">. </w:t>
      </w:r>
      <w:r w:rsidR="00A62A5F" w:rsidRPr="00A62A5F">
        <w:t>healthy-women-healthy-pregnancies-healthy-future-action-plan_0.pdf</w:t>
      </w:r>
      <w:r w:rsidR="00A62A5F">
        <w:t>.</w:t>
      </w:r>
    </w:p>
    <w:p w14:paraId="2A54E22A" w14:textId="77777777" w:rsidR="001C23C4" w:rsidRDefault="001C23C4" w:rsidP="001C23C4"/>
    <w:p w14:paraId="15752327" w14:textId="464FAA2A" w:rsidR="001C23C4" w:rsidRPr="00C814F5" w:rsidRDefault="001C23C4" w:rsidP="00BE52BE">
      <w:pPr>
        <w:ind w:left="360"/>
      </w:pPr>
      <w:r w:rsidRPr="00C814F5">
        <w:t>Summary:</w:t>
      </w:r>
      <w:r w:rsidR="00BE52BE" w:rsidRPr="00C814F5">
        <w:t xml:space="preserve"> Policy guide emphasizing the importance of addressing risk factors before and during pregnancy, improving the quality of maternity and postpartum care, and supporting a research agenda to fill gaps in current evidence.</w:t>
      </w:r>
    </w:p>
    <w:p w14:paraId="10398176" w14:textId="77777777" w:rsidR="001C23C4" w:rsidRPr="00C814F5" w:rsidRDefault="001C23C4" w:rsidP="001C23C4">
      <w:pPr>
        <w:ind w:left="360"/>
      </w:pPr>
    </w:p>
    <w:p w14:paraId="49D243FE" w14:textId="5B1B8D8B" w:rsidR="001C23C4" w:rsidRPr="00C814F5" w:rsidRDefault="001E62D7" w:rsidP="001C23C4">
      <w:pPr>
        <w:pStyle w:val="ListParagraph"/>
        <w:numPr>
          <w:ilvl w:val="0"/>
          <w:numId w:val="1"/>
        </w:numPr>
        <w:ind w:hanging="450"/>
      </w:pPr>
      <w:r w:rsidRPr="00C814F5">
        <w:t xml:space="preserve">Higgins, M. F., Pollard, L., McGuinness, S. K., &amp; Kingdom, J. C. (2019). Fetal heart rate monitoring in </w:t>
      </w:r>
      <w:proofErr w:type="spellStart"/>
      <w:r w:rsidRPr="00C814F5">
        <w:t>nonobstetric</w:t>
      </w:r>
      <w:proofErr w:type="spellEnd"/>
      <w:r w:rsidRPr="00C814F5">
        <w:t xml:space="preserve"> surgery: a systematic review of the evidence. </w:t>
      </w:r>
      <w:r w:rsidRPr="00C814F5">
        <w:rPr>
          <w:i/>
          <w:iCs/>
        </w:rPr>
        <w:t>American journal of obstetrics &amp; gynecology MFM</w:t>
      </w:r>
      <w:r w:rsidRPr="00C814F5">
        <w:t>, </w:t>
      </w:r>
      <w:r w:rsidRPr="00C814F5">
        <w:rPr>
          <w:i/>
          <w:iCs/>
        </w:rPr>
        <w:t>1</w:t>
      </w:r>
      <w:r w:rsidRPr="00C814F5">
        <w:t>(4), 100048. https://doi.org/10.1016/j.ajogmf.2019.100048.</w:t>
      </w:r>
    </w:p>
    <w:p w14:paraId="2287434A" w14:textId="77777777" w:rsidR="001C23C4" w:rsidRPr="00C814F5" w:rsidRDefault="001C23C4" w:rsidP="001C23C4"/>
    <w:p w14:paraId="3A2D2375" w14:textId="00AEB305" w:rsidR="001C23C4" w:rsidRPr="00C814F5" w:rsidRDefault="001C23C4" w:rsidP="00BE52BE">
      <w:pPr>
        <w:ind w:left="360"/>
      </w:pPr>
      <w:r w:rsidRPr="00C814F5">
        <w:t>Summary:</w:t>
      </w:r>
      <w:r w:rsidR="00BE52BE" w:rsidRPr="00C814F5">
        <w:t xml:space="preserve"> Cochrane review of outcomes in deliveries with discontinued vs continuous IV oxytocin. Discontinuing IV oxytocin stimulation after the active phase of </w:t>
      </w:r>
      <w:proofErr w:type="spellStart"/>
      <w:r w:rsidR="00BE52BE" w:rsidRPr="00C814F5">
        <w:t>labour</w:t>
      </w:r>
      <w:proofErr w:type="spellEnd"/>
      <w:r w:rsidR="00BE52BE" w:rsidRPr="00C814F5">
        <w:t xml:space="preserve"> has been established may reduce caesarean delivery but the evidence for this was uncertain.</w:t>
      </w:r>
    </w:p>
    <w:p w14:paraId="66C573A4" w14:textId="77777777" w:rsidR="001C23C4" w:rsidRPr="00C814F5" w:rsidRDefault="001C23C4" w:rsidP="001C23C4">
      <w:pPr>
        <w:ind w:left="360"/>
      </w:pPr>
    </w:p>
    <w:p w14:paraId="70B61478" w14:textId="64C5BD48" w:rsidR="001C23C4" w:rsidRPr="00C814F5" w:rsidRDefault="00E43415" w:rsidP="001C23C4">
      <w:pPr>
        <w:pStyle w:val="ListParagraph"/>
        <w:numPr>
          <w:ilvl w:val="0"/>
          <w:numId w:val="1"/>
        </w:numPr>
        <w:ind w:hanging="450"/>
      </w:pPr>
      <w:r w:rsidRPr="00C814F5">
        <w:t xml:space="preserve">Howell, E. A., </w:t>
      </w:r>
      <w:proofErr w:type="spellStart"/>
      <w:r w:rsidRPr="00C814F5">
        <w:t>Egorova</w:t>
      </w:r>
      <w:proofErr w:type="spellEnd"/>
      <w:r w:rsidRPr="00C814F5">
        <w:t xml:space="preserve">, N. N., </w:t>
      </w:r>
      <w:proofErr w:type="spellStart"/>
      <w:r w:rsidRPr="00C814F5">
        <w:t>Janevic</w:t>
      </w:r>
      <w:proofErr w:type="spellEnd"/>
      <w:r w:rsidRPr="00C814F5">
        <w:t xml:space="preserve">, T., </w:t>
      </w:r>
      <w:proofErr w:type="spellStart"/>
      <w:r w:rsidRPr="00C814F5">
        <w:t>Brodman</w:t>
      </w:r>
      <w:proofErr w:type="spellEnd"/>
      <w:r w:rsidRPr="00C814F5">
        <w:t xml:space="preserve">, M., </w:t>
      </w:r>
      <w:proofErr w:type="spellStart"/>
      <w:r w:rsidRPr="00C814F5">
        <w:t>Balbierz</w:t>
      </w:r>
      <w:proofErr w:type="spellEnd"/>
      <w:r w:rsidRPr="00C814F5">
        <w:t>, A., Zeitlin, J., &amp; Hebert, P. L. (2020). Race and ethnicity, medical insurance, and within-hospital severe maternal morbidity disparities. </w:t>
      </w:r>
      <w:r w:rsidRPr="00C814F5">
        <w:rPr>
          <w:i/>
          <w:iCs/>
        </w:rPr>
        <w:t>Obstetrics and Gynecology (New York. 1953)</w:t>
      </w:r>
      <w:r w:rsidRPr="00C814F5">
        <w:t>, </w:t>
      </w:r>
      <w:r w:rsidRPr="00C814F5">
        <w:rPr>
          <w:i/>
          <w:iCs/>
        </w:rPr>
        <w:t>135</w:t>
      </w:r>
      <w:r w:rsidRPr="00C814F5">
        <w:t>(2), 285–293. https://doi.org/10.1097/AOG.0000000000003667.</w:t>
      </w:r>
    </w:p>
    <w:p w14:paraId="143C3F0D" w14:textId="77777777" w:rsidR="001C23C4" w:rsidRPr="00C814F5" w:rsidRDefault="001C23C4" w:rsidP="001C23C4"/>
    <w:p w14:paraId="664B8826" w14:textId="4D6EBC81" w:rsidR="001C23C4" w:rsidRDefault="001C23C4" w:rsidP="00BE52BE">
      <w:pPr>
        <w:ind w:left="360"/>
      </w:pPr>
      <w:r w:rsidRPr="00C814F5">
        <w:t>Summary:</w:t>
      </w:r>
      <w:r w:rsidR="00BE52BE" w:rsidRPr="00C814F5">
        <w:t xml:space="preserve"> A population-based, cross-sectional study in New York City suggesting that black and Latina women are at</w:t>
      </w:r>
      <w:r w:rsidR="00BE52BE" w:rsidRPr="00BE52BE">
        <w:t xml:space="preserve"> higher risk of severe maternal morbidity than white women; this finding was not associated with differences in types of insurance</w:t>
      </w:r>
      <w:r w:rsidR="00BE52BE">
        <w:t>.</w:t>
      </w:r>
    </w:p>
    <w:p w14:paraId="4C66E0CC" w14:textId="77777777" w:rsidR="001C23C4" w:rsidRPr="00156190" w:rsidRDefault="001C23C4" w:rsidP="001C23C4">
      <w:pPr>
        <w:ind w:left="360"/>
      </w:pPr>
    </w:p>
    <w:p w14:paraId="7AB2FD02" w14:textId="0F16D291" w:rsidR="001C23C4" w:rsidRDefault="001B2C46" w:rsidP="001C23C4">
      <w:pPr>
        <w:pStyle w:val="ListParagraph"/>
        <w:numPr>
          <w:ilvl w:val="0"/>
          <w:numId w:val="1"/>
        </w:numPr>
        <w:ind w:hanging="450"/>
      </w:pPr>
      <w:r w:rsidRPr="001B2C46">
        <w:t>Hutchens, B. F., Holland, M. L., Tanner, T., &amp; Kennedy, H. P. (2021). Does perceived quality of care moderate postpartum depression? a secondary analysis of a two-stage survey. </w:t>
      </w:r>
      <w:r w:rsidRPr="001B2C46">
        <w:rPr>
          <w:i/>
          <w:iCs/>
        </w:rPr>
        <w:t>Maternal and Child Health Journal</w:t>
      </w:r>
      <w:r w:rsidRPr="001B2C46">
        <w:t>, </w:t>
      </w:r>
      <w:r w:rsidRPr="001B2C46">
        <w:rPr>
          <w:i/>
          <w:iCs/>
        </w:rPr>
        <w:t>25</w:t>
      </w:r>
      <w:r w:rsidRPr="001B2C46">
        <w:t>(4), 613–625. https://doi.org/10.1007/s10995-020-03103-1</w:t>
      </w:r>
      <w:r>
        <w:t>.</w:t>
      </w:r>
    </w:p>
    <w:p w14:paraId="3FA12273" w14:textId="77777777" w:rsidR="001C23C4" w:rsidRDefault="001C23C4" w:rsidP="001C23C4"/>
    <w:p w14:paraId="23B35ED6" w14:textId="6F272806" w:rsidR="001C23C4" w:rsidRPr="00C814F5" w:rsidRDefault="001C23C4" w:rsidP="00C814F5">
      <w:pPr>
        <w:ind w:left="360"/>
      </w:pPr>
      <w:r w:rsidRPr="00C814F5">
        <w:t>Summary:</w:t>
      </w:r>
      <w:r w:rsidR="00C814F5" w:rsidRPr="00C814F5">
        <w:t xml:space="preserve"> A cross-sectional secondary analysis of survey data suggesting that risk factors for postpartum depression symptoms are moderated by perceived quality of care.</w:t>
      </w:r>
    </w:p>
    <w:p w14:paraId="7D9CE853" w14:textId="77777777" w:rsidR="001C23C4" w:rsidRPr="00C814F5" w:rsidRDefault="001C23C4" w:rsidP="001C23C4">
      <w:pPr>
        <w:ind w:left="360"/>
      </w:pPr>
    </w:p>
    <w:p w14:paraId="3349EF0A" w14:textId="49D2F92E" w:rsidR="001C23C4" w:rsidRPr="00C814F5" w:rsidRDefault="00DE06FD" w:rsidP="001C23C4">
      <w:pPr>
        <w:pStyle w:val="ListParagraph"/>
        <w:numPr>
          <w:ilvl w:val="0"/>
          <w:numId w:val="1"/>
        </w:numPr>
        <w:ind w:hanging="450"/>
      </w:pPr>
      <w:r w:rsidRPr="00C814F5">
        <w:t xml:space="preserve">Ing, C., Ma, X., Sun, M., Lu, Y., Wall, M. M., </w:t>
      </w:r>
      <w:proofErr w:type="spellStart"/>
      <w:r w:rsidRPr="00C814F5">
        <w:t>Olfson</w:t>
      </w:r>
      <w:proofErr w:type="spellEnd"/>
      <w:r w:rsidRPr="00C814F5">
        <w:t>, M., &amp; Li, G. (2020). Exposure to surgery and anesthesia in early childhood and subsequent use of attention deficit hyperactivity disorder medications. </w:t>
      </w:r>
      <w:r w:rsidRPr="00C814F5">
        <w:rPr>
          <w:i/>
          <w:iCs/>
        </w:rPr>
        <w:t>Anesthesia and Analgesia</w:t>
      </w:r>
      <w:r w:rsidRPr="00C814F5">
        <w:t>, </w:t>
      </w:r>
      <w:r w:rsidRPr="00C814F5">
        <w:rPr>
          <w:i/>
          <w:iCs/>
        </w:rPr>
        <w:t>131</w:t>
      </w:r>
      <w:r w:rsidRPr="00C814F5">
        <w:t>(3), 723–733. https://doi.org/10.1213/ANE.0000000000004619.</w:t>
      </w:r>
    </w:p>
    <w:p w14:paraId="36642E6C" w14:textId="77777777" w:rsidR="001C23C4" w:rsidRPr="00C814F5" w:rsidRDefault="001C23C4" w:rsidP="001C23C4"/>
    <w:p w14:paraId="3C55AC44" w14:textId="5584A755" w:rsidR="001C23C4" w:rsidRDefault="001C23C4" w:rsidP="00C814F5">
      <w:pPr>
        <w:ind w:left="360"/>
      </w:pPr>
      <w:r w:rsidRPr="00C814F5">
        <w:t>Summary:</w:t>
      </w:r>
      <w:r w:rsidR="00C814F5" w:rsidRPr="00C814F5">
        <w:t xml:space="preserve"> Medicaid-enrolled children receiving anesthesia for a single common pediatric surgical procedure under age 5 years were 37% more likely to require subsequent persistent use of ADHD medications than unexposed children</w:t>
      </w:r>
      <w:r w:rsidR="00C814F5">
        <w:t>.</w:t>
      </w:r>
    </w:p>
    <w:p w14:paraId="46AF2C9F" w14:textId="77777777" w:rsidR="001C23C4" w:rsidRPr="00156190" w:rsidRDefault="001C23C4" w:rsidP="001C23C4">
      <w:pPr>
        <w:ind w:left="360"/>
      </w:pPr>
    </w:p>
    <w:p w14:paraId="3DBE8E09" w14:textId="6403477D" w:rsidR="001C23C4" w:rsidRDefault="000D331F" w:rsidP="001C23C4">
      <w:pPr>
        <w:pStyle w:val="ListParagraph"/>
        <w:numPr>
          <w:ilvl w:val="0"/>
          <w:numId w:val="1"/>
        </w:numPr>
        <w:ind w:hanging="450"/>
      </w:pPr>
      <w:r w:rsidRPr="000D331F">
        <w:t xml:space="preserve">Jespersen, M. S., Jaeger, P., </w:t>
      </w:r>
      <w:proofErr w:type="spellStart"/>
      <w:r w:rsidRPr="000D331F">
        <w:t>Ægidius</w:t>
      </w:r>
      <w:proofErr w:type="spellEnd"/>
      <w:r w:rsidRPr="000D331F">
        <w:t xml:space="preserve">, K. L., Fabritius, M. L., </w:t>
      </w:r>
      <w:proofErr w:type="spellStart"/>
      <w:r w:rsidRPr="000D331F">
        <w:t>Duch</w:t>
      </w:r>
      <w:proofErr w:type="spellEnd"/>
      <w:r w:rsidRPr="000D331F">
        <w:t xml:space="preserve">, P., Rye, I., </w:t>
      </w:r>
      <w:proofErr w:type="spellStart"/>
      <w:r w:rsidRPr="000D331F">
        <w:t>Afshari</w:t>
      </w:r>
      <w:proofErr w:type="spellEnd"/>
      <w:r w:rsidRPr="000D331F">
        <w:t xml:space="preserve">, A., &amp; </w:t>
      </w:r>
      <w:proofErr w:type="spellStart"/>
      <w:r w:rsidRPr="000D331F">
        <w:t>Meyhoff</w:t>
      </w:r>
      <w:proofErr w:type="spellEnd"/>
      <w:r w:rsidRPr="000D331F">
        <w:t xml:space="preserve">, C. S. (2020). Sphenopalatine ganglion block for the treatment of </w:t>
      </w:r>
      <w:proofErr w:type="spellStart"/>
      <w:r w:rsidRPr="000D331F">
        <w:t>postdural</w:t>
      </w:r>
      <w:proofErr w:type="spellEnd"/>
      <w:r w:rsidRPr="000D331F">
        <w:t xml:space="preserve"> puncture headache: a </w:t>
      </w:r>
      <w:proofErr w:type="spellStart"/>
      <w:r w:rsidRPr="000D331F">
        <w:t>randomised</w:t>
      </w:r>
      <w:proofErr w:type="spellEnd"/>
      <w:r w:rsidRPr="000D331F">
        <w:t>, blinded, clinical trial. </w:t>
      </w:r>
      <w:r w:rsidRPr="000D331F">
        <w:rPr>
          <w:i/>
          <w:iCs/>
        </w:rPr>
        <w:t xml:space="preserve">British Journal of </w:t>
      </w:r>
      <w:proofErr w:type="gramStart"/>
      <w:r w:rsidRPr="000D331F">
        <w:rPr>
          <w:i/>
          <w:iCs/>
        </w:rPr>
        <w:t>Anaesthesia :</w:t>
      </w:r>
      <w:proofErr w:type="gramEnd"/>
      <w:r w:rsidRPr="000D331F">
        <w:rPr>
          <w:i/>
          <w:iCs/>
        </w:rPr>
        <w:t xml:space="preserve"> BJA</w:t>
      </w:r>
      <w:r w:rsidRPr="000D331F">
        <w:t>, </w:t>
      </w:r>
      <w:r w:rsidRPr="000D331F">
        <w:rPr>
          <w:i/>
          <w:iCs/>
        </w:rPr>
        <w:t>124</w:t>
      </w:r>
      <w:r w:rsidRPr="000D331F">
        <w:t>(6), 739–747. https://doi.org/10.1016/j.bja.2020.02.025</w:t>
      </w:r>
      <w:r>
        <w:t>.</w:t>
      </w:r>
    </w:p>
    <w:p w14:paraId="525BC73C" w14:textId="77777777" w:rsidR="001C23C4" w:rsidRDefault="001C23C4" w:rsidP="001C23C4"/>
    <w:p w14:paraId="25F72C14" w14:textId="591D89CE" w:rsidR="001C23C4" w:rsidRPr="00FE207C" w:rsidRDefault="001C23C4" w:rsidP="00FE207C">
      <w:pPr>
        <w:ind w:left="360"/>
      </w:pPr>
      <w:r w:rsidRPr="00FE207C">
        <w:t>Summary:</w:t>
      </w:r>
      <w:r w:rsidR="00FE207C" w:rsidRPr="00FE207C">
        <w:t xml:space="preserve"> Randomized controlled trial of sphenopalatine ganglion block with local </w:t>
      </w:r>
      <w:proofErr w:type="spellStart"/>
      <w:r w:rsidR="00FE207C" w:rsidRPr="00FE207C">
        <w:t>anaesthetic</w:t>
      </w:r>
      <w:proofErr w:type="spellEnd"/>
      <w:r w:rsidR="00FE207C" w:rsidRPr="00FE207C">
        <w:t xml:space="preserve"> on pain after epidural anesthesia. There was no significant effect; however, pain was reduced, and epidural blood patches were avoided in half the patients in both groups, suggesting a major effect not necessarily attributable to local </w:t>
      </w:r>
      <w:proofErr w:type="spellStart"/>
      <w:r w:rsidR="00FE207C" w:rsidRPr="00FE207C">
        <w:t>anaesthetics</w:t>
      </w:r>
      <w:proofErr w:type="spellEnd"/>
      <w:r w:rsidR="00FE207C" w:rsidRPr="00FE207C">
        <w:t>.</w:t>
      </w:r>
    </w:p>
    <w:p w14:paraId="0DD74564" w14:textId="77777777" w:rsidR="001C23C4" w:rsidRPr="00FE207C" w:rsidRDefault="001C23C4" w:rsidP="001C23C4">
      <w:pPr>
        <w:ind w:left="360"/>
      </w:pPr>
    </w:p>
    <w:p w14:paraId="1662C898" w14:textId="2C01056C" w:rsidR="001C23C4" w:rsidRPr="00FE207C" w:rsidRDefault="009F6A09" w:rsidP="001C23C4">
      <w:pPr>
        <w:pStyle w:val="ListParagraph"/>
        <w:numPr>
          <w:ilvl w:val="0"/>
          <w:numId w:val="1"/>
        </w:numPr>
        <w:ind w:hanging="450"/>
      </w:pPr>
      <w:proofErr w:type="spellStart"/>
      <w:r w:rsidRPr="00FE207C">
        <w:t>Kacmar</w:t>
      </w:r>
      <w:proofErr w:type="spellEnd"/>
      <w:r w:rsidRPr="00FE207C">
        <w:t xml:space="preserve">, R. M., &amp; </w:t>
      </w:r>
      <w:proofErr w:type="spellStart"/>
      <w:r w:rsidRPr="00FE207C">
        <w:t>Mhyre</w:t>
      </w:r>
      <w:proofErr w:type="spellEnd"/>
      <w:r w:rsidRPr="00FE207C">
        <w:t>, J. M. (2020). the continued crisis of maternal mortality: is consolidation of care the answer? </w:t>
      </w:r>
      <w:r w:rsidRPr="00FE207C">
        <w:rPr>
          <w:i/>
          <w:iCs/>
        </w:rPr>
        <w:t>Anesthesia and Analgesia</w:t>
      </w:r>
      <w:r w:rsidRPr="00FE207C">
        <w:t>, </w:t>
      </w:r>
      <w:r w:rsidRPr="00FE207C">
        <w:rPr>
          <w:i/>
          <w:iCs/>
        </w:rPr>
        <w:t>130</w:t>
      </w:r>
      <w:r w:rsidRPr="00FE207C">
        <w:t>(1), 49–51. https://doi.org/10.1213/ANE.0000000000004364.</w:t>
      </w:r>
    </w:p>
    <w:p w14:paraId="66B63413" w14:textId="77777777" w:rsidR="001C23C4" w:rsidRPr="00FE207C" w:rsidRDefault="001C23C4" w:rsidP="001C23C4"/>
    <w:p w14:paraId="76F8BA54" w14:textId="4AE04BFD" w:rsidR="001C23C4" w:rsidRDefault="001C23C4" w:rsidP="00FE207C">
      <w:pPr>
        <w:ind w:left="360"/>
      </w:pPr>
      <w:r w:rsidRPr="00FE207C">
        <w:t>Summary:</w:t>
      </w:r>
      <w:r w:rsidR="00FE207C" w:rsidRPr="00FE207C">
        <w:t xml:space="preserve"> Editorial commenting on a 3-year French population-based case-control study of maternal mortality. The authors suggest that the French study supports the creation of centers of excellence in anesthetic care for obstetric patients</w:t>
      </w:r>
      <w:r w:rsidR="00FE207C">
        <w:t>.</w:t>
      </w:r>
    </w:p>
    <w:p w14:paraId="5DA2584F" w14:textId="77777777" w:rsidR="001C23C4" w:rsidRPr="00156190" w:rsidRDefault="001C23C4" w:rsidP="001C23C4">
      <w:pPr>
        <w:ind w:left="360"/>
      </w:pPr>
    </w:p>
    <w:p w14:paraId="3F112B44" w14:textId="4D351E9C" w:rsidR="001C23C4" w:rsidRDefault="007B373E" w:rsidP="001C23C4">
      <w:pPr>
        <w:pStyle w:val="ListParagraph"/>
        <w:numPr>
          <w:ilvl w:val="0"/>
          <w:numId w:val="1"/>
        </w:numPr>
        <w:ind w:hanging="450"/>
      </w:pPr>
      <w:r w:rsidRPr="007B373E">
        <w:t xml:space="preserve">Kharasch, E. D., Clark, J. D., &amp; </w:t>
      </w:r>
      <w:proofErr w:type="spellStart"/>
      <w:r w:rsidRPr="007B373E">
        <w:t>Kheterpal</w:t>
      </w:r>
      <w:proofErr w:type="spellEnd"/>
      <w:r w:rsidRPr="007B373E">
        <w:t>, S. (2020). Perioperative gabapentinoids: deflating the bubble. </w:t>
      </w:r>
      <w:r w:rsidRPr="007B373E">
        <w:rPr>
          <w:i/>
          <w:iCs/>
        </w:rPr>
        <w:t>Anesthesiology (Philadelphia)</w:t>
      </w:r>
      <w:r w:rsidRPr="007B373E">
        <w:t>, </w:t>
      </w:r>
      <w:r w:rsidRPr="007B373E">
        <w:rPr>
          <w:i/>
          <w:iCs/>
        </w:rPr>
        <w:t>133</w:t>
      </w:r>
      <w:r w:rsidRPr="007B373E">
        <w:t>(2), 251–254. https://doi.org/10.1097/ALN.0000000000003394</w:t>
      </w:r>
      <w:r>
        <w:t>.</w:t>
      </w:r>
    </w:p>
    <w:p w14:paraId="10B5A832" w14:textId="77777777" w:rsidR="001C23C4" w:rsidRDefault="001C23C4" w:rsidP="001C23C4"/>
    <w:p w14:paraId="24024D7F" w14:textId="040CB898" w:rsidR="001C23C4" w:rsidRPr="003A0F7D" w:rsidRDefault="001C23C4" w:rsidP="0093705B">
      <w:pPr>
        <w:ind w:left="360"/>
      </w:pPr>
      <w:r w:rsidRPr="003A0F7D">
        <w:t>Summary:</w:t>
      </w:r>
      <w:r w:rsidR="0093705B" w:rsidRPr="003A0F7D">
        <w:t xml:space="preserve"> </w:t>
      </w:r>
      <w:r w:rsidR="003A0F7D" w:rsidRPr="003A0F7D">
        <w:t>Editorial noting</w:t>
      </w:r>
      <w:r w:rsidR="0093705B" w:rsidRPr="003A0F7D">
        <w:t xml:space="preserve"> the diminished evidence of benefit from routine perioperative administration of </w:t>
      </w:r>
      <w:proofErr w:type="gramStart"/>
      <w:r w:rsidR="0093705B" w:rsidRPr="003A0F7D">
        <w:t>gabapentinoids</w:t>
      </w:r>
      <w:proofErr w:type="gramEnd"/>
      <w:r w:rsidR="0093705B" w:rsidRPr="003A0F7D">
        <w:t xml:space="preserve"> and the increased evidence of harms associated with their use.</w:t>
      </w:r>
    </w:p>
    <w:p w14:paraId="29AA8E21" w14:textId="77777777" w:rsidR="001C23C4" w:rsidRPr="003A0F7D" w:rsidRDefault="001C23C4" w:rsidP="001C23C4">
      <w:pPr>
        <w:ind w:left="360"/>
      </w:pPr>
    </w:p>
    <w:p w14:paraId="0763D7FB" w14:textId="099C1ADC" w:rsidR="001C23C4" w:rsidRPr="003A0F7D" w:rsidRDefault="00A94DCC" w:rsidP="001C23C4">
      <w:pPr>
        <w:pStyle w:val="ListParagraph"/>
        <w:numPr>
          <w:ilvl w:val="0"/>
          <w:numId w:val="1"/>
        </w:numPr>
        <w:ind w:hanging="450"/>
      </w:pPr>
      <w:r w:rsidRPr="003A0F7D">
        <w:t xml:space="preserve">Kleiman, A., Chisholm, C., Dixon, A., </w:t>
      </w:r>
      <w:proofErr w:type="spellStart"/>
      <w:r w:rsidRPr="003A0F7D">
        <w:t>Sariosek</w:t>
      </w:r>
      <w:proofErr w:type="spellEnd"/>
      <w:r w:rsidRPr="003A0F7D">
        <w:t xml:space="preserve">, </w:t>
      </w:r>
      <w:proofErr w:type="gramStart"/>
      <w:r w:rsidRPr="003A0F7D">
        <w:t>B. .</w:t>
      </w:r>
      <w:proofErr w:type="gramEnd"/>
      <w:r w:rsidRPr="003A0F7D">
        <w:t xml:space="preserve">, Thiele, R. ., Hedrick, T. ., Carvalho, B., &amp; </w:t>
      </w:r>
      <w:proofErr w:type="spellStart"/>
      <w:r w:rsidRPr="003A0F7D">
        <w:t>Tiouririne</w:t>
      </w:r>
      <w:proofErr w:type="spellEnd"/>
      <w:r w:rsidRPr="003A0F7D">
        <w:t>, M. (2020). Evaluation of the impact of enhanced recovery after surgery protocol implementation on maternal outcomes following elective cesarean delivery. </w:t>
      </w:r>
      <w:r w:rsidRPr="003A0F7D">
        <w:rPr>
          <w:i/>
          <w:iCs/>
        </w:rPr>
        <w:t>International Journal of Obstetric Anesthesia</w:t>
      </w:r>
      <w:r w:rsidRPr="003A0F7D">
        <w:t>, </w:t>
      </w:r>
      <w:r w:rsidRPr="003A0F7D">
        <w:rPr>
          <w:i/>
          <w:iCs/>
        </w:rPr>
        <w:t>43</w:t>
      </w:r>
      <w:r w:rsidRPr="003A0F7D">
        <w:t>, 39–46. https://doi.org/10.1016/j.ijoa.2019.08.004.</w:t>
      </w:r>
    </w:p>
    <w:p w14:paraId="1C617FAB" w14:textId="77777777" w:rsidR="001C23C4" w:rsidRPr="003A0F7D" w:rsidRDefault="001C23C4" w:rsidP="001C23C4"/>
    <w:p w14:paraId="636B8189" w14:textId="00085E46" w:rsidR="001C23C4" w:rsidRPr="003A0F7D" w:rsidRDefault="001C23C4" w:rsidP="0093705B">
      <w:pPr>
        <w:ind w:left="360"/>
      </w:pPr>
      <w:r w:rsidRPr="003A0F7D">
        <w:t>Summary:</w:t>
      </w:r>
      <w:r w:rsidR="0093705B" w:rsidRPr="003A0F7D">
        <w:t xml:space="preserve"> Implementation of enhanced recovery after surgery protocols for elective cesarean delivery were associated with significant improvements in analgesic and recovery outcomes.</w:t>
      </w:r>
    </w:p>
    <w:p w14:paraId="233810BB" w14:textId="77777777" w:rsidR="001C23C4" w:rsidRPr="003A0F7D" w:rsidRDefault="001C23C4" w:rsidP="001C23C4">
      <w:pPr>
        <w:ind w:left="360"/>
      </w:pPr>
    </w:p>
    <w:p w14:paraId="2E554A60" w14:textId="5EB6349A" w:rsidR="001C23C4" w:rsidRPr="003A0F7D" w:rsidRDefault="00AA76D5" w:rsidP="001C23C4">
      <w:pPr>
        <w:pStyle w:val="ListParagraph"/>
        <w:numPr>
          <w:ilvl w:val="0"/>
          <w:numId w:val="1"/>
        </w:numPr>
        <w:ind w:hanging="450"/>
      </w:pPr>
      <w:proofErr w:type="spellStart"/>
      <w:r w:rsidRPr="003A0F7D">
        <w:t>Klumpner</w:t>
      </w:r>
      <w:proofErr w:type="spellEnd"/>
      <w:r w:rsidRPr="003A0F7D">
        <w:t xml:space="preserve">, T. T., </w:t>
      </w:r>
      <w:proofErr w:type="spellStart"/>
      <w:r w:rsidRPr="003A0F7D">
        <w:t>Kountanis</w:t>
      </w:r>
      <w:proofErr w:type="spellEnd"/>
      <w:r w:rsidRPr="003A0F7D">
        <w:t xml:space="preserve">, J. A., Meyer, S. R., </w:t>
      </w:r>
      <w:proofErr w:type="spellStart"/>
      <w:r w:rsidRPr="003A0F7D">
        <w:t>Ortwine</w:t>
      </w:r>
      <w:proofErr w:type="spellEnd"/>
      <w:r w:rsidRPr="003A0F7D">
        <w:t xml:space="preserve">, J., Bauer, M. E., Carver, A., </w:t>
      </w:r>
      <w:proofErr w:type="spellStart"/>
      <w:r w:rsidRPr="003A0F7D">
        <w:t>Piehl</w:t>
      </w:r>
      <w:proofErr w:type="spellEnd"/>
      <w:r w:rsidRPr="003A0F7D">
        <w:t>, A. M., Smith, R., Mentz, G., &amp; Tremper, K. K. (2020). Use of a novel electronic maternal surveillance system and the maternal early warning criteria to detect severe postpartum hemorrhage. </w:t>
      </w:r>
      <w:r w:rsidRPr="003A0F7D">
        <w:rPr>
          <w:i/>
          <w:iCs/>
        </w:rPr>
        <w:t>Anesthesia and Analgesia</w:t>
      </w:r>
      <w:r w:rsidRPr="003A0F7D">
        <w:t>, </w:t>
      </w:r>
      <w:r w:rsidRPr="003A0F7D">
        <w:rPr>
          <w:i/>
          <w:iCs/>
        </w:rPr>
        <w:t>131</w:t>
      </w:r>
      <w:r w:rsidRPr="003A0F7D">
        <w:t>(3), 857–865. https://doi.org/10.1213/ANE.0000000000004605.</w:t>
      </w:r>
    </w:p>
    <w:p w14:paraId="1913040B" w14:textId="77777777" w:rsidR="001C23C4" w:rsidRPr="003A0F7D" w:rsidRDefault="001C23C4" w:rsidP="001C23C4"/>
    <w:p w14:paraId="098ED232" w14:textId="3A6B649A" w:rsidR="001C23C4" w:rsidRPr="003A0F7D" w:rsidRDefault="001C23C4" w:rsidP="0093705B">
      <w:pPr>
        <w:ind w:left="360"/>
      </w:pPr>
      <w:r w:rsidRPr="003A0F7D">
        <w:t>Summary:</w:t>
      </w:r>
      <w:r w:rsidR="0093705B" w:rsidRPr="003A0F7D">
        <w:t xml:space="preserve"> Use of an automated alerting system combined with an existing nursing-driven early warning system may improve detection of severely morbid postpartum hemorrhage.</w:t>
      </w:r>
    </w:p>
    <w:p w14:paraId="032BE50A" w14:textId="77777777" w:rsidR="001C23C4" w:rsidRPr="003A0F7D" w:rsidRDefault="001C23C4" w:rsidP="001C23C4">
      <w:pPr>
        <w:ind w:left="360"/>
      </w:pPr>
    </w:p>
    <w:p w14:paraId="4722847B" w14:textId="69308D82" w:rsidR="001C23C4" w:rsidRPr="003A0F7D" w:rsidRDefault="00623346" w:rsidP="001C23C4">
      <w:pPr>
        <w:pStyle w:val="ListParagraph"/>
        <w:numPr>
          <w:ilvl w:val="0"/>
          <w:numId w:val="1"/>
        </w:numPr>
        <w:ind w:hanging="450"/>
      </w:pPr>
      <w:proofErr w:type="spellStart"/>
      <w:r w:rsidRPr="003A0F7D">
        <w:t>Knigin</w:t>
      </w:r>
      <w:proofErr w:type="spellEnd"/>
      <w:r w:rsidRPr="003A0F7D">
        <w:t xml:space="preserve">, D., </w:t>
      </w:r>
      <w:proofErr w:type="spellStart"/>
      <w:r w:rsidRPr="003A0F7D">
        <w:t>Avidan</w:t>
      </w:r>
      <w:proofErr w:type="spellEnd"/>
      <w:r w:rsidRPr="003A0F7D">
        <w:t xml:space="preserve">, A., &amp; </w:t>
      </w:r>
      <w:proofErr w:type="spellStart"/>
      <w:r w:rsidRPr="003A0F7D">
        <w:t>Weiniger</w:t>
      </w:r>
      <w:proofErr w:type="spellEnd"/>
      <w:r w:rsidRPr="003A0F7D">
        <w:t>, C. F. (2020). The effect of spinal hypotension and anesthesia-to-delivery time interval on neonatal outcomes in planned cesarean delivery. </w:t>
      </w:r>
      <w:r w:rsidRPr="003A0F7D">
        <w:rPr>
          <w:i/>
          <w:iCs/>
        </w:rPr>
        <w:t>American Journal of Obstetrics and Gynecology</w:t>
      </w:r>
      <w:r w:rsidRPr="003A0F7D">
        <w:t>, </w:t>
      </w:r>
      <w:r w:rsidRPr="003A0F7D">
        <w:rPr>
          <w:i/>
          <w:iCs/>
        </w:rPr>
        <w:t>223</w:t>
      </w:r>
      <w:r w:rsidRPr="003A0F7D">
        <w:t>(5), 747.e1–747.e13. https://doi.org/10.1016/j.ajog.2020.08.005.</w:t>
      </w:r>
    </w:p>
    <w:p w14:paraId="124144FE" w14:textId="77777777" w:rsidR="001C23C4" w:rsidRPr="003A0F7D" w:rsidRDefault="001C23C4" w:rsidP="001C23C4"/>
    <w:p w14:paraId="6D0083BC" w14:textId="276E3BF1" w:rsidR="001C23C4" w:rsidRDefault="001C23C4" w:rsidP="0093705B">
      <w:pPr>
        <w:ind w:left="360"/>
      </w:pPr>
      <w:r w:rsidRPr="003A0F7D">
        <w:t>Summary:</w:t>
      </w:r>
      <w:r w:rsidR="0093705B" w:rsidRPr="003A0F7D">
        <w:t xml:space="preserve"> Ret</w:t>
      </w:r>
      <w:r w:rsidR="0093705B" w:rsidRPr="0093705B">
        <w:t>rospective analysis of women undergoing spinal anesthesia for planned cesarean delivery at term showing that neonatal acidosis was common but severe perinatal consequences were rare. The effects of sustained spinal hypotension and prolonged anesthesia-to-incision and incision-to-delivery intervals were additive</w:t>
      </w:r>
      <w:r w:rsidR="0093705B">
        <w:t>.</w:t>
      </w:r>
    </w:p>
    <w:p w14:paraId="4B19DA6F" w14:textId="77777777" w:rsidR="001C23C4" w:rsidRPr="00156190" w:rsidRDefault="001C23C4" w:rsidP="001C23C4">
      <w:pPr>
        <w:ind w:left="360"/>
      </w:pPr>
    </w:p>
    <w:p w14:paraId="47CABDBB" w14:textId="7723091B" w:rsidR="001C23C4" w:rsidRDefault="00040586" w:rsidP="001C23C4">
      <w:pPr>
        <w:pStyle w:val="ListParagraph"/>
        <w:numPr>
          <w:ilvl w:val="0"/>
          <w:numId w:val="1"/>
        </w:numPr>
        <w:ind w:hanging="450"/>
      </w:pPr>
      <w:r w:rsidRPr="00040586">
        <w:t>Lahti-</w:t>
      </w:r>
      <w:proofErr w:type="spellStart"/>
      <w:r w:rsidRPr="00040586">
        <w:t>Pulkkinen</w:t>
      </w:r>
      <w:proofErr w:type="spellEnd"/>
      <w:r w:rsidRPr="00040586">
        <w:t xml:space="preserve">, M., </w:t>
      </w:r>
      <w:proofErr w:type="spellStart"/>
      <w:r w:rsidRPr="00040586">
        <w:t>Girchenko</w:t>
      </w:r>
      <w:proofErr w:type="spellEnd"/>
      <w:r w:rsidRPr="00040586">
        <w:t xml:space="preserve">, P., </w:t>
      </w:r>
      <w:proofErr w:type="spellStart"/>
      <w:r w:rsidRPr="00040586">
        <w:t>Tuovinen</w:t>
      </w:r>
      <w:proofErr w:type="spellEnd"/>
      <w:r w:rsidRPr="00040586">
        <w:t xml:space="preserve">, S., </w:t>
      </w:r>
      <w:proofErr w:type="spellStart"/>
      <w:r w:rsidRPr="00040586">
        <w:t>Sammallahti</w:t>
      </w:r>
      <w:proofErr w:type="spellEnd"/>
      <w:r w:rsidRPr="00040586">
        <w:t xml:space="preserve">, S., Reynolds, R. M., Lahti, J., </w:t>
      </w:r>
      <w:proofErr w:type="spellStart"/>
      <w:r w:rsidRPr="00040586">
        <w:t>Heinonen</w:t>
      </w:r>
      <w:proofErr w:type="spellEnd"/>
      <w:r w:rsidRPr="00040586">
        <w:t xml:space="preserve">, K., </w:t>
      </w:r>
      <w:proofErr w:type="spellStart"/>
      <w:r w:rsidRPr="00040586">
        <w:t>Lipsanen</w:t>
      </w:r>
      <w:proofErr w:type="spellEnd"/>
      <w:r w:rsidRPr="00040586">
        <w:t xml:space="preserve">, J., </w:t>
      </w:r>
      <w:proofErr w:type="spellStart"/>
      <w:r w:rsidRPr="00040586">
        <w:t>Hämäläinen</w:t>
      </w:r>
      <w:proofErr w:type="spellEnd"/>
      <w:r w:rsidRPr="00040586">
        <w:t xml:space="preserve">, E., Villa, P. M., </w:t>
      </w:r>
      <w:proofErr w:type="spellStart"/>
      <w:r w:rsidRPr="00040586">
        <w:t>Kajantie</w:t>
      </w:r>
      <w:proofErr w:type="spellEnd"/>
      <w:r w:rsidRPr="00040586">
        <w:t xml:space="preserve">, E., </w:t>
      </w:r>
      <w:proofErr w:type="spellStart"/>
      <w:r w:rsidRPr="00040586">
        <w:t>Laivuori</w:t>
      </w:r>
      <w:proofErr w:type="spellEnd"/>
      <w:r w:rsidRPr="00040586">
        <w:t>, H., &amp; Räikkönen, K. (2020). Maternal hypertensive pregnancy disorders and mental disorders in children. </w:t>
      </w:r>
      <w:r w:rsidRPr="00040586">
        <w:rPr>
          <w:i/>
          <w:iCs/>
        </w:rPr>
        <w:t>Hypertension (Dallas, Tex. 1979)</w:t>
      </w:r>
      <w:r w:rsidRPr="00040586">
        <w:t>, </w:t>
      </w:r>
      <w:r w:rsidRPr="00040586">
        <w:rPr>
          <w:i/>
          <w:iCs/>
        </w:rPr>
        <w:t>75</w:t>
      </w:r>
      <w:r w:rsidRPr="00040586">
        <w:t>(6), 1429–1438. https://doi.org/10.1161/HYPERTENSIONAHA.119.14140</w:t>
      </w:r>
      <w:r>
        <w:t>.</w:t>
      </w:r>
    </w:p>
    <w:p w14:paraId="47DD8148" w14:textId="77777777" w:rsidR="001C23C4" w:rsidRDefault="001C23C4" w:rsidP="001C23C4"/>
    <w:p w14:paraId="17B57289" w14:textId="1E2BD743" w:rsidR="001C23C4" w:rsidRDefault="001C23C4" w:rsidP="00A85680">
      <w:pPr>
        <w:ind w:left="360"/>
      </w:pPr>
      <w:r w:rsidRPr="00A85680">
        <w:lastRenderedPageBreak/>
        <w:t>Summary</w:t>
      </w:r>
      <w:r>
        <w:t>:</w:t>
      </w:r>
      <w:r w:rsidR="00A85680">
        <w:t xml:space="preserve"> </w:t>
      </w:r>
      <w:r w:rsidR="00A85680" w:rsidRPr="00A85680">
        <w:t>A prospective study including 4743 mother-child dyads. The authors found that maternal hypertensive pregnancy disorders carry adverse consequences for offspring mental health</w:t>
      </w:r>
      <w:r w:rsidR="00A85680">
        <w:t>.</w:t>
      </w:r>
    </w:p>
    <w:p w14:paraId="06EB4464" w14:textId="77777777" w:rsidR="001C23C4" w:rsidRPr="00156190" w:rsidRDefault="001C23C4" w:rsidP="001C23C4">
      <w:pPr>
        <w:ind w:left="360"/>
      </w:pPr>
    </w:p>
    <w:p w14:paraId="26F7C145" w14:textId="70466AE4" w:rsidR="001C23C4" w:rsidRDefault="005B4BBA" w:rsidP="001C23C4">
      <w:pPr>
        <w:pStyle w:val="ListParagraph"/>
        <w:numPr>
          <w:ilvl w:val="0"/>
          <w:numId w:val="1"/>
        </w:numPr>
        <w:ind w:hanging="450"/>
      </w:pPr>
      <w:r w:rsidRPr="005B4BBA">
        <w:t>Lavin, T., Preen, D., Allanson, E., &amp; Pattinson, R. (2020). Why correctly identifying maternal condition in perinatal death classification systems is crucial: a commentary. </w:t>
      </w:r>
      <w:proofErr w:type="gramStart"/>
      <w:r w:rsidRPr="005B4BBA">
        <w:rPr>
          <w:i/>
          <w:iCs/>
        </w:rPr>
        <w:t>BJOG :</w:t>
      </w:r>
      <w:proofErr w:type="gramEnd"/>
      <w:r w:rsidRPr="005B4BBA">
        <w:rPr>
          <w:i/>
          <w:iCs/>
        </w:rPr>
        <w:t xml:space="preserve"> an International Journal of Obstetrics and </w:t>
      </w:r>
      <w:proofErr w:type="spellStart"/>
      <w:r w:rsidRPr="005B4BBA">
        <w:rPr>
          <w:i/>
          <w:iCs/>
        </w:rPr>
        <w:t>Gynaecology</w:t>
      </w:r>
      <w:proofErr w:type="spellEnd"/>
      <w:r w:rsidRPr="005B4BBA">
        <w:t>, </w:t>
      </w:r>
      <w:r w:rsidRPr="005B4BBA">
        <w:rPr>
          <w:i/>
          <w:iCs/>
        </w:rPr>
        <w:t>127</w:t>
      </w:r>
      <w:r w:rsidRPr="005B4BBA">
        <w:t>(6), 668–670. https://doi.org/10.1111/1471-0528.16109</w:t>
      </w:r>
      <w:r>
        <w:t>.</w:t>
      </w:r>
    </w:p>
    <w:p w14:paraId="09BE4332" w14:textId="77777777" w:rsidR="001C23C4" w:rsidRDefault="001C23C4" w:rsidP="001C23C4"/>
    <w:p w14:paraId="63248172" w14:textId="1AF4D0AB" w:rsidR="001C23C4" w:rsidRPr="005D589E" w:rsidRDefault="001C23C4" w:rsidP="00031AC7">
      <w:pPr>
        <w:ind w:left="360"/>
      </w:pPr>
      <w:r w:rsidRPr="005D589E">
        <w:t>Summary:</w:t>
      </w:r>
      <w:r w:rsidR="00031AC7" w:rsidRPr="005D589E">
        <w:t xml:space="preserve"> Commentary arguing for accurate reporting of maternal complications as antecedents to perinatal deaths to reduce dissemination of misleading information and cascades of unnecessary interventions.</w:t>
      </w:r>
    </w:p>
    <w:p w14:paraId="5067B6CA" w14:textId="35DC4E88" w:rsidR="00110B6D" w:rsidRPr="005D589E" w:rsidRDefault="00110B6D" w:rsidP="001C23C4">
      <w:pPr>
        <w:ind w:left="360"/>
      </w:pPr>
    </w:p>
    <w:p w14:paraId="05044060" w14:textId="3F37129D" w:rsidR="00110B6D" w:rsidRPr="005D589E" w:rsidRDefault="00CE5CA9" w:rsidP="00110B6D">
      <w:pPr>
        <w:pStyle w:val="ListParagraph"/>
        <w:numPr>
          <w:ilvl w:val="0"/>
          <w:numId w:val="1"/>
        </w:numPr>
        <w:ind w:hanging="450"/>
      </w:pPr>
      <w:r w:rsidRPr="005D589E">
        <w:t xml:space="preserve">Lawal, O. D., Gold, J., Murthy, A., Ruchi, R., </w:t>
      </w:r>
      <w:proofErr w:type="spellStart"/>
      <w:r w:rsidRPr="005D589E">
        <w:t>Bavry</w:t>
      </w:r>
      <w:proofErr w:type="spellEnd"/>
      <w:r w:rsidRPr="005D589E">
        <w:t xml:space="preserve">, E., Hume, A. L., </w:t>
      </w:r>
      <w:proofErr w:type="spellStart"/>
      <w:r w:rsidRPr="005D589E">
        <w:t>Lewkowitz</w:t>
      </w:r>
      <w:proofErr w:type="spellEnd"/>
      <w:r w:rsidRPr="005D589E">
        <w:t>, A. K., Brothers, T., &amp; Wen, X. (2020). Rate and risk factors associated with prolonged opioid use after surgery: a systematic review and meta-analysis. </w:t>
      </w:r>
      <w:r w:rsidRPr="005D589E">
        <w:rPr>
          <w:i/>
          <w:iCs/>
        </w:rPr>
        <w:t>JAMA Network Open</w:t>
      </w:r>
      <w:r w:rsidRPr="005D589E">
        <w:t>, </w:t>
      </w:r>
      <w:r w:rsidRPr="005D589E">
        <w:rPr>
          <w:i/>
          <w:iCs/>
        </w:rPr>
        <w:t>3</w:t>
      </w:r>
      <w:r w:rsidRPr="005D589E">
        <w:t>(6), e207367–e207367. https://doi.org/10.1001/jamanetworkopen.2020.7367.</w:t>
      </w:r>
    </w:p>
    <w:p w14:paraId="0F26548E" w14:textId="77777777" w:rsidR="00110B6D" w:rsidRPr="005D589E" w:rsidRDefault="00110B6D" w:rsidP="00110B6D"/>
    <w:p w14:paraId="4C868F78" w14:textId="4E3FE8BF" w:rsidR="00110B6D" w:rsidRPr="005D589E" w:rsidRDefault="00110B6D" w:rsidP="00031AC7">
      <w:pPr>
        <w:ind w:left="360"/>
      </w:pPr>
      <w:r w:rsidRPr="005D589E">
        <w:t>Summary:</w:t>
      </w:r>
      <w:r w:rsidR="00031AC7" w:rsidRPr="005D589E">
        <w:t xml:space="preserve"> Systematic review and meta-analysis showing that prolonged opioid use after surgery may pose substantial burdens to public health. Strategies such as proactively screening for at-risk individuals should be prioritized.</w:t>
      </w:r>
    </w:p>
    <w:p w14:paraId="5FBD8781" w14:textId="613ADE29" w:rsidR="00110B6D" w:rsidRPr="005D589E" w:rsidRDefault="00110B6D" w:rsidP="001C23C4">
      <w:pPr>
        <w:ind w:left="360"/>
      </w:pPr>
    </w:p>
    <w:p w14:paraId="348AD352" w14:textId="072CA409" w:rsidR="00110B6D" w:rsidRPr="005D589E" w:rsidRDefault="00F8003D" w:rsidP="00110B6D">
      <w:pPr>
        <w:pStyle w:val="ListParagraph"/>
        <w:numPr>
          <w:ilvl w:val="0"/>
          <w:numId w:val="1"/>
        </w:numPr>
        <w:ind w:hanging="450"/>
      </w:pPr>
      <w:r w:rsidRPr="005D589E">
        <w:t xml:space="preserve">Lee, M. C., </w:t>
      </w:r>
      <w:proofErr w:type="spellStart"/>
      <w:r w:rsidRPr="005D589E">
        <w:t>Nahorski</w:t>
      </w:r>
      <w:proofErr w:type="spellEnd"/>
      <w:r w:rsidRPr="005D589E">
        <w:t xml:space="preserve">, M. S., Hockley, J. </w:t>
      </w:r>
      <w:proofErr w:type="gramStart"/>
      <w:r w:rsidRPr="005D589E">
        <w:t>R. .</w:t>
      </w:r>
      <w:proofErr w:type="gramEnd"/>
      <w:r w:rsidRPr="005D589E">
        <w:t xml:space="preserve">, Lu, V. B., </w:t>
      </w:r>
      <w:proofErr w:type="spellStart"/>
      <w:r w:rsidRPr="005D589E">
        <w:t>Ison</w:t>
      </w:r>
      <w:proofErr w:type="spellEnd"/>
      <w:r w:rsidRPr="005D589E">
        <w:t xml:space="preserve">, G., Pattison, L. A., </w:t>
      </w:r>
      <w:proofErr w:type="spellStart"/>
      <w:r w:rsidRPr="005D589E">
        <w:t>Callejo</w:t>
      </w:r>
      <w:proofErr w:type="spellEnd"/>
      <w:r w:rsidRPr="005D589E">
        <w:t xml:space="preserve">, G., Stouffer, K., Fletcher, E., Brown, C., </w:t>
      </w:r>
      <w:proofErr w:type="spellStart"/>
      <w:r w:rsidRPr="005D589E">
        <w:t>Drissi</w:t>
      </w:r>
      <w:proofErr w:type="spellEnd"/>
      <w:r w:rsidRPr="005D589E">
        <w:t xml:space="preserve">, I., Wheeler, D., </w:t>
      </w:r>
      <w:proofErr w:type="spellStart"/>
      <w:r w:rsidRPr="005D589E">
        <w:t>Ernfors</w:t>
      </w:r>
      <w:proofErr w:type="spellEnd"/>
      <w:r w:rsidRPr="005D589E">
        <w:t>, P., Menon, D., Reimann, F., Smith, E. S. J., &amp; Woods, C. G. (2020). human labor pain is influenced by the voltage-gated potassium channel KV6.4 subunit. </w:t>
      </w:r>
      <w:r w:rsidRPr="005D589E">
        <w:rPr>
          <w:i/>
          <w:iCs/>
        </w:rPr>
        <w:t>Cell Reports (Cambridge)</w:t>
      </w:r>
      <w:r w:rsidRPr="005D589E">
        <w:t>, </w:t>
      </w:r>
      <w:r w:rsidRPr="005D589E">
        <w:rPr>
          <w:i/>
          <w:iCs/>
        </w:rPr>
        <w:t>32</w:t>
      </w:r>
      <w:r w:rsidRPr="005D589E">
        <w:t>(3), 107941–. https://doi.org/10.1016/j.celrep.2020.107941.</w:t>
      </w:r>
    </w:p>
    <w:p w14:paraId="4CD9B892" w14:textId="77777777" w:rsidR="00110B6D" w:rsidRPr="005D589E" w:rsidRDefault="00110B6D" w:rsidP="00110B6D"/>
    <w:p w14:paraId="578A9354" w14:textId="046BF879" w:rsidR="00110B6D" w:rsidRPr="005D589E" w:rsidRDefault="00110B6D" w:rsidP="00031AC7">
      <w:pPr>
        <w:ind w:left="360"/>
      </w:pPr>
      <w:r w:rsidRPr="005D589E">
        <w:t>Summary:</w:t>
      </w:r>
      <w:r w:rsidR="00031AC7" w:rsidRPr="005D589E">
        <w:t xml:space="preserve"> A study of healthy women who did not request analgesia during their first delivery. The authors suggest that K</w:t>
      </w:r>
      <w:r w:rsidR="00031AC7" w:rsidRPr="005D589E">
        <w:rPr>
          <w:vertAlign w:val="subscript"/>
        </w:rPr>
        <w:t>V</w:t>
      </w:r>
      <w:r w:rsidR="00031AC7" w:rsidRPr="005D589E">
        <w:t>6.4 can influence human labor pain by modulating the excitability of uterine nociceptors.</w:t>
      </w:r>
    </w:p>
    <w:p w14:paraId="2A69B67E" w14:textId="7A42D2A2" w:rsidR="00110B6D" w:rsidRPr="005D589E" w:rsidRDefault="00110B6D" w:rsidP="001C23C4">
      <w:pPr>
        <w:ind w:left="360"/>
      </w:pPr>
    </w:p>
    <w:p w14:paraId="7DDEC348" w14:textId="4098E67A" w:rsidR="00110B6D" w:rsidRPr="005D589E" w:rsidRDefault="00264A70" w:rsidP="00110B6D">
      <w:pPr>
        <w:pStyle w:val="ListParagraph"/>
        <w:numPr>
          <w:ilvl w:val="0"/>
          <w:numId w:val="1"/>
        </w:numPr>
        <w:ind w:hanging="450"/>
      </w:pPr>
      <w:r w:rsidRPr="005D589E">
        <w:t xml:space="preserve">Lee, J., </w:t>
      </w:r>
      <w:proofErr w:type="spellStart"/>
      <w:r w:rsidRPr="005D589E">
        <w:t>Eley</w:t>
      </w:r>
      <w:proofErr w:type="spellEnd"/>
      <w:r w:rsidRPr="005D589E">
        <w:t xml:space="preserve">, V., </w:t>
      </w:r>
      <w:proofErr w:type="spellStart"/>
      <w:r w:rsidRPr="005D589E">
        <w:t>Wyssusek</w:t>
      </w:r>
      <w:proofErr w:type="spellEnd"/>
      <w:r w:rsidRPr="005D589E">
        <w:t xml:space="preserve">, K., Kimble, R., Way, M., Coonan, E., Cohen, J., Rowell, J., &amp; Zundert, A. (2020). Baseline parameters for rotational </w:t>
      </w:r>
      <w:proofErr w:type="spellStart"/>
      <w:r w:rsidRPr="005D589E">
        <w:t>thromboelastometry</w:t>
      </w:r>
      <w:proofErr w:type="spellEnd"/>
      <w:r w:rsidRPr="005D589E">
        <w:t xml:space="preserve"> in healthy </w:t>
      </w:r>
      <w:proofErr w:type="spellStart"/>
      <w:r w:rsidRPr="005D589E">
        <w:t>labouring</w:t>
      </w:r>
      <w:proofErr w:type="spellEnd"/>
      <w:r w:rsidRPr="005D589E">
        <w:t xml:space="preserve"> women: a prospective observational study. </w:t>
      </w:r>
      <w:proofErr w:type="gramStart"/>
      <w:r w:rsidRPr="005D589E">
        <w:rPr>
          <w:i/>
          <w:iCs/>
        </w:rPr>
        <w:t>BJOG :</w:t>
      </w:r>
      <w:proofErr w:type="gramEnd"/>
      <w:r w:rsidRPr="005D589E">
        <w:rPr>
          <w:i/>
          <w:iCs/>
        </w:rPr>
        <w:t xml:space="preserve"> an International Journal of Obstetrics and </w:t>
      </w:r>
      <w:proofErr w:type="spellStart"/>
      <w:r w:rsidRPr="005D589E">
        <w:rPr>
          <w:i/>
          <w:iCs/>
        </w:rPr>
        <w:t>Gynaecology</w:t>
      </w:r>
      <w:proofErr w:type="spellEnd"/>
      <w:r w:rsidRPr="005D589E">
        <w:t>, </w:t>
      </w:r>
      <w:r w:rsidRPr="005D589E">
        <w:rPr>
          <w:i/>
          <w:iCs/>
        </w:rPr>
        <w:t>127</w:t>
      </w:r>
      <w:r w:rsidRPr="005D589E">
        <w:t>(7), 820–827. https://doi.org/10.1111/1471-0528.16094.</w:t>
      </w:r>
    </w:p>
    <w:p w14:paraId="65F6AB8C" w14:textId="77777777" w:rsidR="00110B6D" w:rsidRPr="005D589E" w:rsidRDefault="00110B6D" w:rsidP="00110B6D"/>
    <w:p w14:paraId="43200695" w14:textId="230ED06C" w:rsidR="00110B6D" w:rsidRDefault="00110B6D" w:rsidP="005D589E">
      <w:pPr>
        <w:ind w:left="360"/>
      </w:pPr>
      <w:r w:rsidRPr="005D589E">
        <w:t>Summary:</w:t>
      </w:r>
      <w:r w:rsidR="005D589E" w:rsidRPr="005D589E">
        <w:t xml:space="preserve"> Observational study of 121 women to establish baseline parameters for rotational </w:t>
      </w:r>
      <w:proofErr w:type="spellStart"/>
      <w:r w:rsidR="005D589E" w:rsidRPr="005D589E">
        <w:t>thromboelastometry</w:t>
      </w:r>
      <w:proofErr w:type="spellEnd"/>
      <w:r w:rsidR="005D589E" w:rsidRPr="005D589E">
        <w:t xml:space="preserve"> in laboring women at term. Measured baseline parameters were somewhat different from the manufacturer’s reference ranges</w:t>
      </w:r>
      <w:r w:rsidR="005D589E">
        <w:t>.</w:t>
      </w:r>
    </w:p>
    <w:p w14:paraId="709777E0" w14:textId="3EA94B1C" w:rsidR="00110B6D" w:rsidRDefault="00110B6D" w:rsidP="001C23C4">
      <w:pPr>
        <w:ind w:left="360"/>
      </w:pPr>
    </w:p>
    <w:p w14:paraId="1BD8C932" w14:textId="15FB11F0" w:rsidR="00110B6D" w:rsidRDefault="005509FD" w:rsidP="00110B6D">
      <w:pPr>
        <w:pStyle w:val="ListParagraph"/>
        <w:numPr>
          <w:ilvl w:val="0"/>
          <w:numId w:val="1"/>
        </w:numPr>
        <w:ind w:hanging="450"/>
      </w:pPr>
      <w:proofErr w:type="spellStart"/>
      <w:r w:rsidRPr="005509FD">
        <w:t>Lotshaw</w:t>
      </w:r>
      <w:proofErr w:type="spellEnd"/>
      <w:r w:rsidRPr="005509FD">
        <w:t xml:space="preserve">, R. R., </w:t>
      </w:r>
      <w:proofErr w:type="spellStart"/>
      <w:r w:rsidRPr="005509FD">
        <w:t>Phillippi</w:t>
      </w:r>
      <w:proofErr w:type="spellEnd"/>
      <w:r w:rsidRPr="005509FD">
        <w:t>, J. C., Buxton, M., McNeill-</w:t>
      </w:r>
      <w:proofErr w:type="spellStart"/>
      <w:r w:rsidRPr="005509FD">
        <w:t>Simaan</w:t>
      </w:r>
      <w:proofErr w:type="spellEnd"/>
      <w:r w:rsidRPr="005509FD">
        <w:t>, E., &amp; Newton, J. M. (2020). A collaborative model of a community birth center and a tertiary care medical center. </w:t>
      </w:r>
      <w:r w:rsidRPr="005509FD">
        <w:rPr>
          <w:i/>
          <w:iCs/>
        </w:rPr>
        <w:t>Obstetrics and Gynecology (New York. 1953)</w:t>
      </w:r>
      <w:r w:rsidRPr="005509FD">
        <w:t>, </w:t>
      </w:r>
      <w:r w:rsidRPr="005509FD">
        <w:rPr>
          <w:i/>
          <w:iCs/>
        </w:rPr>
        <w:t>135</w:t>
      </w:r>
      <w:r w:rsidRPr="005509FD">
        <w:t>(3), 696–702. https://doi.org/10.1097/AOG.0000000000003723</w:t>
      </w:r>
      <w:r>
        <w:t>.</w:t>
      </w:r>
    </w:p>
    <w:p w14:paraId="66AB49D2" w14:textId="77777777" w:rsidR="00110B6D" w:rsidRDefault="00110B6D" w:rsidP="00110B6D"/>
    <w:p w14:paraId="543BE224" w14:textId="31B22C33" w:rsidR="00110B6D" w:rsidRPr="005D589E" w:rsidRDefault="00110B6D" w:rsidP="005D589E">
      <w:pPr>
        <w:ind w:left="360"/>
      </w:pPr>
      <w:r w:rsidRPr="005D589E">
        <w:t>Summary:</w:t>
      </w:r>
      <w:r w:rsidR="005D589E" w:rsidRPr="005D589E">
        <w:t xml:space="preserve"> A description of the development, implementation, and evaluation of a collaborative model between a freestanding birth center and a tertiary care medical center.</w:t>
      </w:r>
    </w:p>
    <w:p w14:paraId="7FB347DC" w14:textId="185F6BA7" w:rsidR="00110B6D" w:rsidRPr="005D589E" w:rsidRDefault="00110B6D" w:rsidP="001C23C4">
      <w:pPr>
        <w:ind w:left="360"/>
      </w:pPr>
    </w:p>
    <w:p w14:paraId="7C6F450C" w14:textId="60C4CB14" w:rsidR="00110B6D" w:rsidRPr="005D589E" w:rsidRDefault="00B14DBB" w:rsidP="00110B6D">
      <w:pPr>
        <w:pStyle w:val="ListParagraph"/>
        <w:numPr>
          <w:ilvl w:val="0"/>
          <w:numId w:val="1"/>
        </w:numPr>
        <w:ind w:hanging="450"/>
      </w:pPr>
      <w:proofErr w:type="spellStart"/>
      <w:r w:rsidRPr="005D589E">
        <w:t>Luethi</w:t>
      </w:r>
      <w:proofErr w:type="spellEnd"/>
      <w:r w:rsidRPr="005D589E">
        <w:t xml:space="preserve">, N., Bailey, M., Higgins, A., Howe, B., Peake, S., Delaney, A., &amp; </w:t>
      </w:r>
      <w:proofErr w:type="spellStart"/>
      <w:r w:rsidRPr="005D589E">
        <w:t>Bellomo</w:t>
      </w:r>
      <w:proofErr w:type="spellEnd"/>
      <w:r w:rsidRPr="005D589E">
        <w:t>, R. (2020). Gender differences in mortality and quality of life after septic shock: A post-hoc analysis of the ARISE study. </w:t>
      </w:r>
      <w:r w:rsidRPr="005D589E">
        <w:rPr>
          <w:i/>
          <w:iCs/>
        </w:rPr>
        <w:t>Journal of Critical Care</w:t>
      </w:r>
      <w:r w:rsidRPr="005D589E">
        <w:t>, </w:t>
      </w:r>
      <w:r w:rsidRPr="005D589E">
        <w:rPr>
          <w:i/>
          <w:iCs/>
        </w:rPr>
        <w:t>55</w:t>
      </w:r>
      <w:r w:rsidRPr="005D589E">
        <w:t>, 177–183. https://doi.org/10.1016/j.jcrc.2019.11.002.</w:t>
      </w:r>
    </w:p>
    <w:p w14:paraId="53B8E2E1" w14:textId="77777777" w:rsidR="00110B6D" w:rsidRPr="005D589E" w:rsidRDefault="00110B6D" w:rsidP="00110B6D"/>
    <w:p w14:paraId="76E4C5F3" w14:textId="618967F1" w:rsidR="00110B6D" w:rsidRDefault="00110B6D" w:rsidP="005D589E">
      <w:pPr>
        <w:ind w:left="360"/>
      </w:pPr>
      <w:r w:rsidRPr="005D589E">
        <w:t>Summary:</w:t>
      </w:r>
      <w:r w:rsidR="005D589E">
        <w:t xml:space="preserve"> </w:t>
      </w:r>
      <w:r w:rsidR="005D589E" w:rsidRPr="005D589E">
        <w:t>Post-hoc analysis of a large multi-center trial of early septic shock showing no short- or long-term survival effect for women overall or the pre-menopausal age group</w:t>
      </w:r>
      <w:r w:rsidR="005D589E">
        <w:t>.</w:t>
      </w:r>
    </w:p>
    <w:p w14:paraId="6F656682" w14:textId="201A80E4" w:rsidR="00E36852" w:rsidRDefault="00E36852" w:rsidP="005D589E">
      <w:pPr>
        <w:ind w:left="360"/>
      </w:pPr>
    </w:p>
    <w:p w14:paraId="33CF6174" w14:textId="1AAC3794" w:rsidR="00E36852" w:rsidRDefault="00E36852" w:rsidP="00E36852">
      <w:pPr>
        <w:pStyle w:val="ListParagraph"/>
        <w:numPr>
          <w:ilvl w:val="0"/>
          <w:numId w:val="1"/>
        </w:numPr>
        <w:ind w:hanging="450"/>
      </w:pPr>
      <w:proofErr w:type="spellStart"/>
      <w:r w:rsidRPr="00E36852">
        <w:t>Mahase</w:t>
      </w:r>
      <w:proofErr w:type="spellEnd"/>
      <w:r w:rsidRPr="00E36852">
        <w:t xml:space="preserve">, E. (2019). Esketamine is approved in Europe for treating resistant major depressive disorder. </w:t>
      </w:r>
      <w:r w:rsidRPr="00E36852">
        <w:rPr>
          <w:i/>
          <w:iCs/>
        </w:rPr>
        <w:t>BMJ, 367</w:t>
      </w:r>
      <w:r w:rsidRPr="00E36852">
        <w:t>, l7069–l7069. https://doi.org/10.1136/bmj.l7069</w:t>
      </w:r>
      <w:r>
        <w:t>.</w:t>
      </w:r>
    </w:p>
    <w:p w14:paraId="5BDCE5D5" w14:textId="08FECA3C" w:rsidR="00E36852" w:rsidRDefault="00E36852" w:rsidP="00E36852">
      <w:pPr>
        <w:pStyle w:val="ListParagraph"/>
        <w:ind w:left="360"/>
      </w:pPr>
    </w:p>
    <w:p w14:paraId="31A11F56" w14:textId="05AC6AFF" w:rsidR="00E36852" w:rsidRDefault="00E36852" w:rsidP="00E36852">
      <w:pPr>
        <w:pStyle w:val="ListParagraph"/>
        <w:ind w:left="360"/>
      </w:pPr>
      <w:r>
        <w:lastRenderedPageBreak/>
        <w:t xml:space="preserve">Summary: </w:t>
      </w:r>
      <w:r w:rsidRPr="00E36852">
        <w:t xml:space="preserve">Press release announcing the approval by the European Commission of esketamine nasal </w:t>
      </w:r>
      <w:proofErr w:type="spellStart"/>
      <w:r w:rsidRPr="00E36852">
        <w:t>sprayin</w:t>
      </w:r>
      <w:proofErr w:type="spellEnd"/>
      <w:r w:rsidRPr="00E36852">
        <w:t xml:space="preserve"> combination with a selective serotonin reuptake inhibitor or serotonin and norepinephrine reuptake inhibitor for adults living with treatment resistant major depressive disorder</w:t>
      </w:r>
      <w:r>
        <w:t>.</w:t>
      </w:r>
    </w:p>
    <w:p w14:paraId="0A4921BE" w14:textId="4913DC80" w:rsidR="00110B6D" w:rsidRPr="00B06EF8" w:rsidRDefault="00110B6D" w:rsidP="00E36852"/>
    <w:p w14:paraId="2CF905CC" w14:textId="2F058CFA" w:rsidR="00110B6D" w:rsidRPr="00B06EF8" w:rsidRDefault="0093676C" w:rsidP="00110B6D">
      <w:pPr>
        <w:pStyle w:val="ListParagraph"/>
        <w:numPr>
          <w:ilvl w:val="0"/>
          <w:numId w:val="1"/>
        </w:numPr>
        <w:ind w:hanging="450"/>
      </w:pPr>
      <w:proofErr w:type="spellStart"/>
      <w:r w:rsidRPr="00B06EF8">
        <w:t>Maulik</w:t>
      </w:r>
      <w:proofErr w:type="spellEnd"/>
      <w:r w:rsidRPr="00B06EF8">
        <w:t xml:space="preserve">, P. K., </w:t>
      </w:r>
      <w:proofErr w:type="spellStart"/>
      <w:r w:rsidRPr="00B06EF8">
        <w:t>Devarapalli</w:t>
      </w:r>
      <w:proofErr w:type="spellEnd"/>
      <w:r w:rsidRPr="00B06EF8">
        <w:t xml:space="preserve">, S., </w:t>
      </w:r>
      <w:proofErr w:type="spellStart"/>
      <w:r w:rsidRPr="00B06EF8">
        <w:t>Kallakuri</w:t>
      </w:r>
      <w:proofErr w:type="spellEnd"/>
      <w:r w:rsidRPr="00B06EF8">
        <w:t xml:space="preserve">, S., Bhattacharya, A., Peiris, D., &amp; Patel, A. (2020). The systematic medical appraisal referral and treatment mental health project: quasi-experimental study to evaluate a technology-enabled mental health services delivery model implemented in rural India. </w:t>
      </w:r>
      <w:r w:rsidRPr="00B06EF8">
        <w:rPr>
          <w:i/>
          <w:iCs/>
        </w:rPr>
        <w:t>Journal of Medical Internet Research</w:t>
      </w:r>
      <w:r w:rsidRPr="00B06EF8">
        <w:t xml:space="preserve">, </w:t>
      </w:r>
      <w:r w:rsidRPr="00197910">
        <w:rPr>
          <w:i/>
          <w:iCs/>
        </w:rPr>
        <w:t>22</w:t>
      </w:r>
      <w:r w:rsidRPr="00B06EF8">
        <w:t>(2), e15553–e15553. https://doi.org/10.2196/15553.</w:t>
      </w:r>
    </w:p>
    <w:p w14:paraId="68603CF2" w14:textId="77777777" w:rsidR="00110B6D" w:rsidRPr="00B06EF8" w:rsidRDefault="00110B6D" w:rsidP="00110B6D"/>
    <w:p w14:paraId="4F0F07F3" w14:textId="34FEFC8D" w:rsidR="00110B6D" w:rsidRPr="00B06EF8" w:rsidRDefault="00110B6D" w:rsidP="00110B6D">
      <w:pPr>
        <w:ind w:left="360"/>
      </w:pPr>
      <w:r w:rsidRPr="00B06EF8">
        <w:t>Summary:</w:t>
      </w:r>
      <w:r w:rsidR="00680FC5" w:rsidRPr="00B06EF8">
        <w:t xml:space="preserve"> An Indian before-after study of an </w:t>
      </w:r>
      <w:proofErr w:type="spellStart"/>
      <w:r w:rsidR="00680FC5" w:rsidRPr="00B06EF8">
        <w:t>antistigma</w:t>
      </w:r>
      <w:proofErr w:type="spellEnd"/>
      <w:r w:rsidR="00680FC5" w:rsidRPr="00B06EF8">
        <w:t xml:space="preserve"> campaign aimed to increase use of mental health services. The intervention was associated with a marked increase in service uptake and clinically important reductions in depression and anxiety.</w:t>
      </w:r>
    </w:p>
    <w:p w14:paraId="6FFF374A" w14:textId="0EB0CEAC" w:rsidR="00110B6D" w:rsidRPr="00B06EF8" w:rsidRDefault="00110B6D" w:rsidP="001C23C4">
      <w:pPr>
        <w:ind w:left="360"/>
      </w:pPr>
    </w:p>
    <w:p w14:paraId="6F4BD615" w14:textId="278565AC" w:rsidR="00110B6D" w:rsidRPr="00B06EF8" w:rsidRDefault="00CD5128" w:rsidP="00110B6D">
      <w:pPr>
        <w:pStyle w:val="ListParagraph"/>
        <w:numPr>
          <w:ilvl w:val="0"/>
          <w:numId w:val="1"/>
        </w:numPr>
        <w:ind w:hanging="450"/>
      </w:pPr>
      <w:r w:rsidRPr="00B06EF8">
        <w:t xml:space="preserve">McCall, B. (2020). 15 ways Silicon Valley is harnessing big data for health. </w:t>
      </w:r>
      <w:r w:rsidRPr="00B06EF8">
        <w:rPr>
          <w:i/>
          <w:iCs/>
        </w:rPr>
        <w:t>Nature Medicine</w:t>
      </w:r>
      <w:r w:rsidRPr="00B06EF8">
        <w:t xml:space="preserve">, </w:t>
      </w:r>
      <w:r w:rsidRPr="00197910">
        <w:rPr>
          <w:i/>
          <w:iCs/>
        </w:rPr>
        <w:t>26</w:t>
      </w:r>
      <w:r w:rsidRPr="00B06EF8">
        <w:t>(1), 7–10. https://doi.org/10.1038/s41591-019-0708-8.</w:t>
      </w:r>
    </w:p>
    <w:p w14:paraId="4B60D5F8" w14:textId="77777777" w:rsidR="00110B6D" w:rsidRPr="00B06EF8" w:rsidRDefault="00110B6D" w:rsidP="00110B6D"/>
    <w:p w14:paraId="5CFD6C20" w14:textId="6B931D67" w:rsidR="00110B6D" w:rsidRDefault="00110B6D" w:rsidP="00110B6D">
      <w:pPr>
        <w:ind w:left="360"/>
      </w:pPr>
      <w:r w:rsidRPr="00B06EF8">
        <w:t>Summary:</w:t>
      </w:r>
      <w:r w:rsidR="00680FC5" w:rsidRPr="00B06EF8">
        <w:t xml:space="preserve"> Report of how major biotech </w:t>
      </w:r>
      <w:proofErr w:type="gramStart"/>
      <w:r w:rsidR="00680FC5" w:rsidRPr="00B06EF8">
        <w:t>firms</w:t>
      </w:r>
      <w:proofErr w:type="gramEnd"/>
      <w:r w:rsidR="00680FC5" w:rsidRPr="00B06EF8">
        <w:t xml:space="preserve"> companies are amassing and analyzing giant new data sources,</w:t>
      </w:r>
      <w:r w:rsidR="00680FC5" w:rsidRPr="00680FC5">
        <w:t xml:space="preserve"> from asthma inhalers to blood-pressure monitors</w:t>
      </w:r>
      <w:r w:rsidR="00680FC5">
        <w:t>.</w:t>
      </w:r>
    </w:p>
    <w:p w14:paraId="2FF54459" w14:textId="0129EA16" w:rsidR="00110B6D" w:rsidRDefault="00110B6D" w:rsidP="001C23C4">
      <w:pPr>
        <w:ind w:left="360"/>
      </w:pPr>
    </w:p>
    <w:p w14:paraId="3F95FFBC" w14:textId="26AABBC8" w:rsidR="00110B6D" w:rsidRDefault="00A83C2E" w:rsidP="00110B6D">
      <w:pPr>
        <w:pStyle w:val="ListParagraph"/>
        <w:numPr>
          <w:ilvl w:val="0"/>
          <w:numId w:val="1"/>
        </w:numPr>
        <w:ind w:hanging="450"/>
      </w:pPr>
      <w:r w:rsidRPr="00A83C2E">
        <w:t xml:space="preserve">Mehta, P. K., </w:t>
      </w:r>
      <w:proofErr w:type="spellStart"/>
      <w:r w:rsidRPr="00A83C2E">
        <w:t>Kieltyka</w:t>
      </w:r>
      <w:proofErr w:type="spellEnd"/>
      <w:r w:rsidRPr="00A83C2E">
        <w:t xml:space="preserve">, L., </w:t>
      </w:r>
      <w:proofErr w:type="spellStart"/>
      <w:r w:rsidRPr="00A83C2E">
        <w:t>Bachhuber</w:t>
      </w:r>
      <w:proofErr w:type="spellEnd"/>
      <w:r w:rsidRPr="00A83C2E">
        <w:t xml:space="preserve">, M. A., Smiles, D., Wallace, M., Zapata, A., &amp; Gee, R. E. (2020). Racial inequities in preventable pregnancy-related deaths in Louisiana, 2011–2016. </w:t>
      </w:r>
      <w:r w:rsidRPr="00A83C2E">
        <w:rPr>
          <w:i/>
          <w:iCs/>
        </w:rPr>
        <w:t>Obstetrics and Gynecology</w:t>
      </w:r>
      <w:r w:rsidRPr="00A83C2E">
        <w:t xml:space="preserve"> (New York. 1953), </w:t>
      </w:r>
      <w:r w:rsidRPr="00197910">
        <w:rPr>
          <w:i/>
          <w:iCs/>
        </w:rPr>
        <w:t>135</w:t>
      </w:r>
      <w:r w:rsidRPr="00A83C2E">
        <w:t>(2), 276–283. https://doi.org/10.1097/AOG.0000000000003591</w:t>
      </w:r>
      <w:r>
        <w:t>.</w:t>
      </w:r>
    </w:p>
    <w:p w14:paraId="7880ADB4" w14:textId="77777777" w:rsidR="00110B6D" w:rsidRDefault="00110B6D" w:rsidP="00110B6D"/>
    <w:p w14:paraId="7B94CD7F" w14:textId="466F80EA" w:rsidR="00110B6D" w:rsidRDefault="00110B6D" w:rsidP="00110B6D">
      <w:pPr>
        <w:ind w:left="360"/>
      </w:pPr>
      <w:r w:rsidRPr="00B37257">
        <w:t>Summary</w:t>
      </w:r>
      <w:r>
        <w:t>:</w:t>
      </w:r>
      <w:r w:rsidR="00B37257">
        <w:t xml:space="preserve"> </w:t>
      </w:r>
      <w:r w:rsidR="00B37257" w:rsidRPr="00B37257">
        <w:t>Analysis of 47 confirmed pregnancy-related deaths showing that pregnancy-related deaths occurring among non-Hispanic black women were more likely to be preventable than those of non-Hispanic white women</w:t>
      </w:r>
      <w:r w:rsidR="00B37257">
        <w:t>.</w:t>
      </w:r>
    </w:p>
    <w:p w14:paraId="4005F508" w14:textId="169C6BC3" w:rsidR="00110B6D" w:rsidRDefault="00110B6D" w:rsidP="001C23C4">
      <w:pPr>
        <w:ind w:left="360"/>
      </w:pPr>
    </w:p>
    <w:p w14:paraId="45E8148B" w14:textId="726C22A7" w:rsidR="00110B6D" w:rsidRDefault="00D207F9" w:rsidP="00110B6D">
      <w:pPr>
        <w:pStyle w:val="ListParagraph"/>
        <w:numPr>
          <w:ilvl w:val="0"/>
          <w:numId w:val="1"/>
        </w:numPr>
        <w:ind w:hanging="450"/>
      </w:pPr>
      <w:proofErr w:type="spellStart"/>
      <w:r w:rsidRPr="00D207F9">
        <w:t>Melchiorre</w:t>
      </w:r>
      <w:proofErr w:type="spellEnd"/>
      <w:r w:rsidRPr="00D207F9">
        <w:t xml:space="preserve">, K., </w:t>
      </w:r>
      <w:proofErr w:type="spellStart"/>
      <w:r w:rsidRPr="00D207F9">
        <w:t>Thilaganathan</w:t>
      </w:r>
      <w:proofErr w:type="spellEnd"/>
      <w:r w:rsidRPr="00D207F9">
        <w:t xml:space="preserve">, B., Giorgione, V., Ridder, A., </w:t>
      </w:r>
      <w:proofErr w:type="spellStart"/>
      <w:r w:rsidRPr="00D207F9">
        <w:t>Memmo</w:t>
      </w:r>
      <w:proofErr w:type="spellEnd"/>
      <w:r w:rsidRPr="00D207F9">
        <w:t>, A., &amp; Khalil, A. (2020). Hypertensive disorders of pregnancy and future cardiovascular health. </w:t>
      </w:r>
      <w:r w:rsidRPr="00D207F9">
        <w:rPr>
          <w:i/>
          <w:iCs/>
        </w:rPr>
        <w:t>Frontiers in Cardiovascular Medicine</w:t>
      </w:r>
      <w:r w:rsidRPr="00D207F9">
        <w:t>, </w:t>
      </w:r>
      <w:r w:rsidRPr="00D207F9">
        <w:rPr>
          <w:i/>
          <w:iCs/>
        </w:rPr>
        <w:t>7</w:t>
      </w:r>
      <w:r w:rsidRPr="00D207F9">
        <w:t>, 59–59. https://doi.org/10.3389/fcvm.2020.00059</w:t>
      </w:r>
      <w:r>
        <w:t>.</w:t>
      </w:r>
    </w:p>
    <w:p w14:paraId="7368E9CA" w14:textId="77777777" w:rsidR="00110B6D" w:rsidRDefault="00110B6D" w:rsidP="00110B6D"/>
    <w:p w14:paraId="1ADDEDA9" w14:textId="487B3695" w:rsidR="00110B6D" w:rsidRDefault="00110B6D" w:rsidP="00110B6D">
      <w:pPr>
        <w:ind w:left="360"/>
      </w:pPr>
      <w:r w:rsidRPr="00B37257">
        <w:t>Summary</w:t>
      </w:r>
      <w:r>
        <w:t>:</w:t>
      </w:r>
      <w:r w:rsidR="00B37257">
        <w:t xml:space="preserve"> </w:t>
      </w:r>
      <w:r w:rsidR="00B37257" w:rsidRPr="00B37257">
        <w:t>Review suggesting that prevention of hypertensive disorders should start as early as possible after delivery by making the women aware of their increased cardiovascular risk and encouraging weight control, stop smoking, healthy diet, and daily exercise</w:t>
      </w:r>
      <w:r w:rsidR="00B37257">
        <w:t>.</w:t>
      </w:r>
    </w:p>
    <w:p w14:paraId="39E9CC91" w14:textId="5959B9BB" w:rsidR="00E36852" w:rsidRDefault="00E36852" w:rsidP="00110B6D">
      <w:pPr>
        <w:ind w:left="360"/>
      </w:pPr>
    </w:p>
    <w:p w14:paraId="76E27910" w14:textId="77777777" w:rsidR="00E36852" w:rsidRDefault="00E36852" w:rsidP="00E36852">
      <w:pPr>
        <w:pStyle w:val="ListParagraph"/>
        <w:numPr>
          <w:ilvl w:val="0"/>
          <w:numId w:val="1"/>
        </w:numPr>
        <w:ind w:hanging="450"/>
      </w:pPr>
      <w:r w:rsidRPr="00083D4A">
        <w:t xml:space="preserve">Merchant, R. M., </w:t>
      </w:r>
      <w:proofErr w:type="spellStart"/>
      <w:r w:rsidRPr="00083D4A">
        <w:t>Topjian</w:t>
      </w:r>
      <w:proofErr w:type="spellEnd"/>
      <w:r w:rsidRPr="00083D4A">
        <w:t xml:space="preserve">, A. A., Panchal, A. R., Cheng, A., Aziz, K., Berg, K. M., </w:t>
      </w:r>
      <w:proofErr w:type="spellStart"/>
      <w:r w:rsidRPr="00083D4A">
        <w:t>Lavonas</w:t>
      </w:r>
      <w:proofErr w:type="spellEnd"/>
      <w:r w:rsidRPr="00083D4A">
        <w:t xml:space="preserve">, E. J., &amp; </w:t>
      </w:r>
      <w:proofErr w:type="spellStart"/>
      <w:r w:rsidRPr="00083D4A">
        <w:t>Magid</w:t>
      </w:r>
      <w:proofErr w:type="spellEnd"/>
      <w:r w:rsidRPr="00083D4A">
        <w:t xml:space="preserve">, D. J. (2020). Part 1: </w:t>
      </w:r>
      <w:r>
        <w:t>e</w:t>
      </w:r>
      <w:r w:rsidRPr="00083D4A">
        <w:t xml:space="preserve">xecutive </w:t>
      </w:r>
      <w:r>
        <w:t>s</w:t>
      </w:r>
      <w:r w:rsidRPr="00083D4A">
        <w:t>ummary: 2020 American Heart Association guidelines for cardiopulmonary resuscitation and emergency cardiovascular care. </w:t>
      </w:r>
      <w:r w:rsidRPr="00083D4A">
        <w:rPr>
          <w:i/>
          <w:iCs/>
        </w:rPr>
        <w:t>Circulation (New York, N.Y.)</w:t>
      </w:r>
      <w:r w:rsidRPr="00083D4A">
        <w:t>, </w:t>
      </w:r>
      <w:r w:rsidRPr="00083D4A">
        <w:rPr>
          <w:i/>
          <w:iCs/>
        </w:rPr>
        <w:t>142</w:t>
      </w:r>
      <w:r w:rsidRPr="00083D4A">
        <w:t>(16_Suppl_2 Suppl 2), S337–S357. https://doi.org/10.1161/CIR.0000000000000918</w:t>
      </w:r>
      <w:r>
        <w:t>.</w:t>
      </w:r>
    </w:p>
    <w:p w14:paraId="694B571E" w14:textId="77777777" w:rsidR="00E36852" w:rsidRDefault="00E36852" w:rsidP="00E36852"/>
    <w:p w14:paraId="623719B7" w14:textId="5598C9FA" w:rsidR="00E36852" w:rsidRDefault="00E36852" w:rsidP="00E36852">
      <w:pPr>
        <w:ind w:left="360"/>
      </w:pPr>
      <w:r w:rsidRPr="00B06EF8">
        <w:t xml:space="preserve">Summary: An executive summary providing an overview of and orientation to the 2020 AHA Guidelines, organized around the </w:t>
      </w:r>
      <w:proofErr w:type="spellStart"/>
      <w:r w:rsidRPr="00B06EF8">
        <w:t>Utstein</w:t>
      </w:r>
      <w:proofErr w:type="spellEnd"/>
      <w:r w:rsidRPr="00B06EF8">
        <w:t xml:space="preserve"> Formula for Survival.</w:t>
      </w:r>
    </w:p>
    <w:p w14:paraId="09DEDD9A" w14:textId="4EF328DC" w:rsidR="00110B6D" w:rsidRDefault="00110B6D" w:rsidP="001C23C4">
      <w:pPr>
        <w:ind w:left="360"/>
      </w:pPr>
    </w:p>
    <w:p w14:paraId="24A2D8D8" w14:textId="75ED7F9C" w:rsidR="00110B6D" w:rsidRDefault="00BA4E30" w:rsidP="00110B6D">
      <w:pPr>
        <w:pStyle w:val="ListParagraph"/>
        <w:numPr>
          <w:ilvl w:val="0"/>
          <w:numId w:val="1"/>
        </w:numPr>
        <w:ind w:hanging="450"/>
      </w:pPr>
      <w:r w:rsidRPr="00BA4E30">
        <w:t>Moon, H., Kim, M., Hwang, D., Jang, J., Lee, J., Shin, J., Ha, I., &amp; Lee, Y. (2020). Safety of acupuncture during pregnancy: a retrospective cohort study in Korea. </w:t>
      </w:r>
      <w:proofErr w:type="gramStart"/>
      <w:r w:rsidRPr="00BA4E30">
        <w:rPr>
          <w:i/>
          <w:iCs/>
        </w:rPr>
        <w:t>BJOG :</w:t>
      </w:r>
      <w:proofErr w:type="gramEnd"/>
      <w:r w:rsidRPr="00BA4E30">
        <w:rPr>
          <w:i/>
          <w:iCs/>
        </w:rPr>
        <w:t xml:space="preserve"> an International Journal of Obstetrics and </w:t>
      </w:r>
      <w:proofErr w:type="spellStart"/>
      <w:r w:rsidRPr="00BA4E30">
        <w:rPr>
          <w:i/>
          <w:iCs/>
        </w:rPr>
        <w:t>Gynaecology</w:t>
      </w:r>
      <w:proofErr w:type="spellEnd"/>
      <w:r w:rsidRPr="00BA4E30">
        <w:t>, </w:t>
      </w:r>
      <w:r w:rsidRPr="00BA4E30">
        <w:rPr>
          <w:i/>
          <w:iCs/>
        </w:rPr>
        <w:t>127</w:t>
      </w:r>
      <w:r w:rsidRPr="00BA4E30">
        <w:t>(1), 79–86. https://doi.org/10.1111/1471-0528.15925</w:t>
      </w:r>
      <w:r>
        <w:t>.</w:t>
      </w:r>
    </w:p>
    <w:p w14:paraId="1665AB4A" w14:textId="77777777" w:rsidR="00110B6D" w:rsidRDefault="00110B6D" w:rsidP="00110B6D"/>
    <w:p w14:paraId="55690109" w14:textId="2CA02D48" w:rsidR="00110B6D" w:rsidRDefault="00110B6D" w:rsidP="00110B6D">
      <w:pPr>
        <w:ind w:left="360"/>
      </w:pPr>
      <w:r w:rsidRPr="006423D0">
        <w:t>Summary</w:t>
      </w:r>
      <w:r>
        <w:t>:</w:t>
      </w:r>
      <w:r w:rsidR="006423D0">
        <w:t xml:space="preserve"> </w:t>
      </w:r>
      <w:r w:rsidR="006423D0" w:rsidRPr="006423D0">
        <w:t>Retrospective cohort study showing no significant difference in delivery outcomes (preterm delivery and stillbirth) between confirmed pregnancies in the acupuncture and control groups</w:t>
      </w:r>
      <w:r w:rsidR="006423D0">
        <w:t>.</w:t>
      </w:r>
    </w:p>
    <w:p w14:paraId="6173702A" w14:textId="3859973A" w:rsidR="00110B6D" w:rsidRDefault="00110B6D" w:rsidP="001C23C4">
      <w:pPr>
        <w:ind w:left="360"/>
      </w:pPr>
    </w:p>
    <w:p w14:paraId="3090AA79" w14:textId="4EB1DE68" w:rsidR="00110B6D" w:rsidRDefault="006A2B3B" w:rsidP="00110B6D">
      <w:pPr>
        <w:pStyle w:val="ListParagraph"/>
        <w:numPr>
          <w:ilvl w:val="0"/>
          <w:numId w:val="1"/>
        </w:numPr>
        <w:ind w:hanging="450"/>
      </w:pPr>
      <w:r w:rsidRPr="006A2B3B">
        <w:t xml:space="preserve">Myles, P. S. &amp; Sessler, D. I., (2020). Novel </w:t>
      </w:r>
      <w:r w:rsidR="00671317" w:rsidRPr="006A2B3B">
        <w:t>clinical trial designs to improve the efficiency of resea</w:t>
      </w:r>
      <w:r w:rsidRPr="006A2B3B">
        <w:t>rch. </w:t>
      </w:r>
      <w:r w:rsidRPr="006A2B3B">
        <w:rPr>
          <w:i/>
          <w:iCs/>
        </w:rPr>
        <w:t>Anesthesiology (Philadelphia)</w:t>
      </w:r>
      <w:r w:rsidRPr="006A2B3B">
        <w:t>, </w:t>
      </w:r>
      <w:r w:rsidRPr="006A2B3B">
        <w:rPr>
          <w:i/>
          <w:iCs/>
        </w:rPr>
        <w:t>132</w:t>
      </w:r>
      <w:r w:rsidRPr="006A2B3B">
        <w:t>(1), 69–81. https://doi.org/10.1097/ALN.0000000000002989</w:t>
      </w:r>
      <w:r w:rsidR="00671317">
        <w:t>.</w:t>
      </w:r>
    </w:p>
    <w:p w14:paraId="38E8AF69" w14:textId="77777777" w:rsidR="00110B6D" w:rsidRDefault="00110B6D" w:rsidP="00110B6D"/>
    <w:p w14:paraId="519E259C" w14:textId="28D10AAF" w:rsidR="00110B6D" w:rsidRDefault="00110B6D" w:rsidP="00110B6D">
      <w:pPr>
        <w:ind w:left="360"/>
      </w:pPr>
      <w:r w:rsidRPr="006423D0">
        <w:lastRenderedPageBreak/>
        <w:t>Summary:</w:t>
      </w:r>
      <w:r w:rsidR="006423D0" w:rsidRPr="006423D0">
        <w:t xml:space="preserve"> An essay presenting trial designs that improve trial efficiency. The authors discuss the advantages of embedding randomized trials within registries.</w:t>
      </w:r>
    </w:p>
    <w:p w14:paraId="600B678E" w14:textId="3B15C30A" w:rsidR="00110B6D" w:rsidRDefault="00110B6D" w:rsidP="001C23C4">
      <w:pPr>
        <w:ind w:left="360"/>
      </w:pPr>
    </w:p>
    <w:p w14:paraId="0192CF67" w14:textId="6393060C" w:rsidR="00110B6D" w:rsidRDefault="00FD13A4" w:rsidP="00110B6D">
      <w:pPr>
        <w:pStyle w:val="ListParagraph"/>
        <w:numPr>
          <w:ilvl w:val="0"/>
          <w:numId w:val="1"/>
        </w:numPr>
        <w:ind w:hanging="450"/>
      </w:pPr>
      <w:r w:rsidRPr="00FD13A4">
        <w:t xml:space="preserve">Nakao, M., Okumura, A., Hasegawa, J., Toyokawa, S., </w:t>
      </w:r>
      <w:proofErr w:type="spellStart"/>
      <w:r w:rsidRPr="00FD13A4">
        <w:t>Ichizuka</w:t>
      </w:r>
      <w:proofErr w:type="spellEnd"/>
      <w:r w:rsidRPr="00FD13A4">
        <w:t xml:space="preserve">, K., Kanayama, N., Satoh, S., Tamiya, N., </w:t>
      </w:r>
      <w:proofErr w:type="spellStart"/>
      <w:r w:rsidRPr="00FD13A4">
        <w:t>Nakai</w:t>
      </w:r>
      <w:proofErr w:type="spellEnd"/>
      <w:r w:rsidRPr="00FD13A4">
        <w:t xml:space="preserve">, A., Fujimori, K., Maeda, T., Suzuki, H., Iwashita, M., &amp; Ikeda, T. (2020). Fetal heart rate pattern in term or near-term cerebral palsy: a nationwide cohort study. </w:t>
      </w:r>
      <w:r w:rsidRPr="00DD0D8F">
        <w:rPr>
          <w:i/>
          <w:iCs/>
        </w:rPr>
        <w:t>American Journal of Obstetrics and Gynecology</w:t>
      </w:r>
      <w:r w:rsidRPr="00FD13A4">
        <w:t xml:space="preserve">, </w:t>
      </w:r>
      <w:r w:rsidRPr="00197910">
        <w:rPr>
          <w:i/>
          <w:iCs/>
        </w:rPr>
        <w:t>223</w:t>
      </w:r>
      <w:r w:rsidRPr="00FD13A4">
        <w:t>(6), 907.e1–907.e13. https://doi.org/10.1016/j.ajog.2020.05.059</w:t>
      </w:r>
      <w:r w:rsidR="00DD0D8F">
        <w:t>.</w:t>
      </w:r>
    </w:p>
    <w:p w14:paraId="782B4CD3" w14:textId="77777777" w:rsidR="00110B6D" w:rsidRDefault="00110B6D" w:rsidP="00110B6D"/>
    <w:p w14:paraId="302F3384" w14:textId="39780AA1" w:rsidR="00110B6D" w:rsidRPr="00C3143F" w:rsidRDefault="00110B6D" w:rsidP="00110B6D">
      <w:pPr>
        <w:ind w:left="360"/>
      </w:pPr>
      <w:r w:rsidRPr="00C3143F">
        <w:t>Summary:</w:t>
      </w:r>
      <w:r w:rsidR="0004747E" w:rsidRPr="00C3143F">
        <w:t xml:space="preserve"> Longitudinal analysis of 1069 consecutive intrapartum fetal heart rate strips from infants with severe cerebral palsy at or beyond 34 weeks of gestation. Up to 16% of cerebral palsy may be preventable by focusing on earlier changes seen in the Hon's fetal heart rate progression.</w:t>
      </w:r>
    </w:p>
    <w:p w14:paraId="4CE829A7" w14:textId="1DD80D85" w:rsidR="00110B6D" w:rsidRPr="00C3143F" w:rsidRDefault="00110B6D" w:rsidP="001C23C4">
      <w:pPr>
        <w:ind w:left="360"/>
      </w:pPr>
    </w:p>
    <w:p w14:paraId="7500E30E" w14:textId="7DF9761C" w:rsidR="00110B6D" w:rsidRPr="00C3143F" w:rsidRDefault="007E345F" w:rsidP="00110B6D">
      <w:pPr>
        <w:pStyle w:val="ListParagraph"/>
        <w:numPr>
          <w:ilvl w:val="0"/>
          <w:numId w:val="1"/>
        </w:numPr>
        <w:ind w:hanging="450"/>
      </w:pPr>
      <w:proofErr w:type="spellStart"/>
      <w:r w:rsidRPr="00C3143F">
        <w:t>Nedeljkovic</w:t>
      </w:r>
      <w:proofErr w:type="spellEnd"/>
      <w:r w:rsidRPr="00C3143F">
        <w:t xml:space="preserve">, S. S., </w:t>
      </w:r>
      <w:proofErr w:type="spellStart"/>
      <w:r w:rsidRPr="00C3143F">
        <w:t>Kett</w:t>
      </w:r>
      <w:proofErr w:type="spellEnd"/>
      <w:r w:rsidRPr="00C3143F">
        <w:t xml:space="preserve">, A., Vallejo, M. C., Horn, J. L., Carvalho, B., Bao, X., Cole, N. M., Renfro, L., Gadsden, J. C., Song, J., Yang, J., &amp; Habib, A. S. (2020). Transversus abdominis plane block with liposomal bupivacaine for pain after cesarean delivery in a multicenter, randomized, double-blind, controlled trial. </w:t>
      </w:r>
      <w:r w:rsidRPr="00C3143F">
        <w:rPr>
          <w:i/>
          <w:iCs/>
        </w:rPr>
        <w:t xml:space="preserve">Anesthesia and </w:t>
      </w:r>
      <w:r w:rsidR="0007019A" w:rsidRPr="00C3143F">
        <w:rPr>
          <w:i/>
          <w:iCs/>
        </w:rPr>
        <w:t>A</w:t>
      </w:r>
      <w:r w:rsidRPr="00C3143F">
        <w:rPr>
          <w:i/>
          <w:iCs/>
        </w:rPr>
        <w:t>nalgesia</w:t>
      </w:r>
      <w:r w:rsidRPr="00C3143F">
        <w:t xml:space="preserve">, </w:t>
      </w:r>
      <w:r w:rsidRPr="00197910">
        <w:rPr>
          <w:i/>
          <w:iCs/>
        </w:rPr>
        <w:t>131</w:t>
      </w:r>
      <w:r w:rsidRPr="00C3143F">
        <w:t>(6), 1830–1839. https://doi.org/10.1213/ANE.0000000000005075</w:t>
      </w:r>
    </w:p>
    <w:p w14:paraId="3E1395C2" w14:textId="77777777" w:rsidR="00110B6D" w:rsidRPr="00C3143F" w:rsidRDefault="00110B6D" w:rsidP="00110B6D"/>
    <w:p w14:paraId="10650F1E" w14:textId="1C2C79F6" w:rsidR="00110B6D" w:rsidRDefault="00110B6D" w:rsidP="00110B6D">
      <w:pPr>
        <w:ind w:left="360"/>
      </w:pPr>
      <w:r w:rsidRPr="00C3143F">
        <w:t>Summary:</w:t>
      </w:r>
      <w:r w:rsidR="00C3143F">
        <w:t xml:space="preserve"> </w:t>
      </w:r>
      <w:r w:rsidR="00C3143F" w:rsidRPr="00C3143F">
        <w:t>Transversus abdominis plane block with liposomal bupivacaine as part of a multimodal analgesia protocol incorporating intrathecal morphine resulted in reduced opioid consumption after cesarean</w:t>
      </w:r>
      <w:r w:rsidR="00C3143F">
        <w:t>.</w:t>
      </w:r>
    </w:p>
    <w:p w14:paraId="048B747F" w14:textId="1001AAFF" w:rsidR="00110B6D" w:rsidRDefault="00110B6D" w:rsidP="001C23C4">
      <w:pPr>
        <w:ind w:left="360"/>
      </w:pPr>
    </w:p>
    <w:p w14:paraId="2F784B0D" w14:textId="1DA7274A" w:rsidR="00110B6D" w:rsidRDefault="006072F4" w:rsidP="00110B6D">
      <w:pPr>
        <w:pStyle w:val="ListParagraph"/>
        <w:numPr>
          <w:ilvl w:val="0"/>
          <w:numId w:val="1"/>
        </w:numPr>
        <w:ind w:hanging="450"/>
      </w:pPr>
      <w:r w:rsidRPr="006072F4">
        <w:t xml:space="preserve">Nelson, D. B., &amp; </w:t>
      </w:r>
      <w:proofErr w:type="spellStart"/>
      <w:r w:rsidRPr="006072F4">
        <w:t>Spong</w:t>
      </w:r>
      <w:proofErr w:type="spellEnd"/>
      <w:r w:rsidRPr="006072F4">
        <w:t xml:space="preserve">, C. Y. (2020). Unintended consequences of obstetric quality metrics-do not throw the baby out with the bathwater. </w:t>
      </w:r>
      <w:r w:rsidRPr="006072F4">
        <w:rPr>
          <w:i/>
          <w:iCs/>
        </w:rPr>
        <w:t>JAMA Network Open</w:t>
      </w:r>
      <w:r w:rsidRPr="006072F4">
        <w:t xml:space="preserve">, </w:t>
      </w:r>
      <w:r w:rsidRPr="00197910">
        <w:rPr>
          <w:i/>
          <w:iCs/>
        </w:rPr>
        <w:t>3</w:t>
      </w:r>
      <w:r w:rsidRPr="006072F4">
        <w:t>(2), e1919749–e1919749. https://doi.org/10.1001/jamanetworkopen.2019.19749</w:t>
      </w:r>
      <w:r>
        <w:t>.</w:t>
      </w:r>
    </w:p>
    <w:p w14:paraId="34E3F5AF" w14:textId="77777777" w:rsidR="00110B6D" w:rsidRDefault="00110B6D" w:rsidP="00110B6D"/>
    <w:p w14:paraId="28550AC0" w14:textId="5DCFFED4" w:rsidR="00110B6D" w:rsidRDefault="00110B6D" w:rsidP="00110B6D">
      <w:pPr>
        <w:ind w:left="360"/>
      </w:pPr>
      <w:r w:rsidRPr="00C3143F">
        <w:t>Summary:</w:t>
      </w:r>
      <w:r w:rsidR="00C3143F" w:rsidRPr="00C3143F">
        <w:t xml:space="preserve"> Commentary on Clapp et al. The author recommends reviewing process rather than performance measures as was done for thromboembolic therapy of stroke</w:t>
      </w:r>
      <w:r w:rsidR="00C3143F">
        <w:t>.</w:t>
      </w:r>
    </w:p>
    <w:p w14:paraId="2B09BBD9" w14:textId="618A28DC" w:rsidR="00110B6D" w:rsidRDefault="00110B6D" w:rsidP="001C23C4">
      <w:pPr>
        <w:ind w:left="360"/>
      </w:pPr>
    </w:p>
    <w:p w14:paraId="39B30784" w14:textId="461EC635" w:rsidR="00110B6D" w:rsidRDefault="005D7B11" w:rsidP="00110B6D">
      <w:pPr>
        <w:pStyle w:val="ListParagraph"/>
        <w:numPr>
          <w:ilvl w:val="0"/>
          <w:numId w:val="1"/>
        </w:numPr>
        <w:ind w:hanging="450"/>
      </w:pPr>
      <w:r w:rsidRPr="005D7B11">
        <w:t xml:space="preserve">Ning, K., Zhao, L., Franklin, M., </w:t>
      </w:r>
      <w:proofErr w:type="spellStart"/>
      <w:r w:rsidRPr="005D7B11">
        <w:t>Matloff</w:t>
      </w:r>
      <w:proofErr w:type="spellEnd"/>
      <w:r w:rsidRPr="005D7B11">
        <w:t xml:space="preserve">, W., Batta, I., </w:t>
      </w:r>
      <w:proofErr w:type="spellStart"/>
      <w:r w:rsidRPr="005D7B11">
        <w:t>Arzouni</w:t>
      </w:r>
      <w:proofErr w:type="spellEnd"/>
      <w:r w:rsidRPr="005D7B11">
        <w:t xml:space="preserve">, N., Sun, F., &amp; Toga, A. W. (2020). Parity is associated with cognitive function and brain age in both females and males. </w:t>
      </w:r>
      <w:r w:rsidRPr="005D7B11">
        <w:rPr>
          <w:i/>
          <w:iCs/>
        </w:rPr>
        <w:t>Scientific Reports</w:t>
      </w:r>
      <w:r w:rsidRPr="005D7B11">
        <w:t xml:space="preserve">, </w:t>
      </w:r>
      <w:r w:rsidRPr="00197910">
        <w:rPr>
          <w:i/>
          <w:iCs/>
        </w:rPr>
        <w:t>10</w:t>
      </w:r>
      <w:r w:rsidRPr="005D7B11">
        <w:t>(1), 6100–6100. https://doi.org/10.1038/s41598-020-63014-7</w:t>
      </w:r>
      <w:r>
        <w:t>.</w:t>
      </w:r>
    </w:p>
    <w:p w14:paraId="243418A3" w14:textId="77777777" w:rsidR="00110B6D" w:rsidRDefault="00110B6D" w:rsidP="00110B6D"/>
    <w:p w14:paraId="7DA1FC34" w14:textId="2C904B59" w:rsidR="00110B6D" w:rsidRDefault="00110B6D" w:rsidP="00110B6D">
      <w:pPr>
        <w:ind w:left="360"/>
      </w:pPr>
      <w:r w:rsidRPr="00D25816">
        <w:t>Summary</w:t>
      </w:r>
      <w:r>
        <w:t>:</w:t>
      </w:r>
      <w:r w:rsidR="00D25816">
        <w:t xml:space="preserve"> </w:t>
      </w:r>
      <w:r w:rsidR="00D25816" w:rsidRPr="00D25816">
        <w:t>Database analysis showing that lifestyle factors accompanying having offspring, rather than the physical process of pregnancy experienced only by females, contribute to the associations between parity and long-term cognitive changes</w:t>
      </w:r>
      <w:r w:rsidR="00D25816">
        <w:t>.</w:t>
      </w:r>
    </w:p>
    <w:p w14:paraId="0C4E7A35" w14:textId="4A5552AC" w:rsidR="00110B6D" w:rsidRDefault="00110B6D" w:rsidP="001C23C4">
      <w:pPr>
        <w:ind w:left="360"/>
      </w:pPr>
    </w:p>
    <w:p w14:paraId="3CD03F2B" w14:textId="41B38EBE" w:rsidR="00110B6D" w:rsidRDefault="00596039" w:rsidP="00110B6D">
      <w:pPr>
        <w:pStyle w:val="ListParagraph"/>
        <w:numPr>
          <w:ilvl w:val="0"/>
          <w:numId w:val="1"/>
        </w:numPr>
        <w:ind w:hanging="450"/>
      </w:pPr>
      <w:r w:rsidRPr="00596039">
        <w:t xml:space="preserve">O’Reilly-Shah, V. N., Gentry, K. R., Walters, A. M., </w:t>
      </w:r>
      <w:proofErr w:type="spellStart"/>
      <w:r w:rsidRPr="00596039">
        <w:t>Zivot</w:t>
      </w:r>
      <w:proofErr w:type="spellEnd"/>
      <w:r w:rsidRPr="00596039">
        <w:t xml:space="preserve">, J., Anderson, C. T., &amp; Tighe, P. J. (2020). Bias and ethical considerations in machine learning and the automation of perioperative risk assessment. </w:t>
      </w:r>
      <w:r w:rsidRPr="00596039">
        <w:rPr>
          <w:i/>
          <w:iCs/>
        </w:rPr>
        <w:t xml:space="preserve">British Journal of </w:t>
      </w:r>
      <w:proofErr w:type="gramStart"/>
      <w:r w:rsidRPr="00596039">
        <w:rPr>
          <w:i/>
          <w:iCs/>
        </w:rPr>
        <w:t>Anaesthesia :</w:t>
      </w:r>
      <w:proofErr w:type="gramEnd"/>
      <w:r w:rsidRPr="00596039">
        <w:rPr>
          <w:i/>
          <w:iCs/>
        </w:rPr>
        <w:t xml:space="preserve"> BJA</w:t>
      </w:r>
      <w:r w:rsidRPr="00596039">
        <w:t xml:space="preserve">, </w:t>
      </w:r>
      <w:r w:rsidRPr="00197910">
        <w:rPr>
          <w:i/>
          <w:iCs/>
        </w:rPr>
        <w:t>125</w:t>
      </w:r>
      <w:r w:rsidRPr="00596039">
        <w:t>(6), 843–846. https://doi.org/10.1016/j.bja.2020.07.040</w:t>
      </w:r>
      <w:r>
        <w:t>.</w:t>
      </w:r>
    </w:p>
    <w:p w14:paraId="1C14331C" w14:textId="77777777" w:rsidR="00110B6D" w:rsidRDefault="00110B6D" w:rsidP="00110B6D"/>
    <w:p w14:paraId="4DF96E85" w14:textId="73BD0F7C" w:rsidR="00110B6D" w:rsidRDefault="00110B6D" w:rsidP="00110B6D">
      <w:pPr>
        <w:ind w:left="360"/>
      </w:pPr>
      <w:r w:rsidRPr="00D25816">
        <w:t>Summary</w:t>
      </w:r>
      <w:r>
        <w:t>:</w:t>
      </w:r>
      <w:r w:rsidR="00D25816">
        <w:t xml:space="preserve"> </w:t>
      </w:r>
      <w:r w:rsidR="00D25816" w:rsidRPr="00D25816">
        <w:t>Editorial urging caution regarding perioperative risk assessments performed using artificial intelligence and machine learning. The authors support creation of guidelines aimed at reducing sources of bias in these studies</w:t>
      </w:r>
      <w:r w:rsidR="00D25816">
        <w:t>.</w:t>
      </w:r>
    </w:p>
    <w:p w14:paraId="46516D05" w14:textId="7511CABE" w:rsidR="00110B6D" w:rsidRDefault="00110B6D" w:rsidP="001C23C4">
      <w:pPr>
        <w:ind w:left="360"/>
      </w:pPr>
    </w:p>
    <w:p w14:paraId="6033E00F" w14:textId="543E6CC9" w:rsidR="00110B6D" w:rsidRDefault="0093335E" w:rsidP="00110B6D">
      <w:pPr>
        <w:pStyle w:val="ListParagraph"/>
        <w:numPr>
          <w:ilvl w:val="0"/>
          <w:numId w:val="1"/>
        </w:numPr>
        <w:ind w:hanging="450"/>
      </w:pPr>
      <w:proofErr w:type="spellStart"/>
      <w:r w:rsidRPr="0093335E">
        <w:t>Pancaro</w:t>
      </w:r>
      <w:proofErr w:type="spellEnd"/>
      <w:r w:rsidRPr="0093335E">
        <w:t xml:space="preserve">, C., Shah, N., </w:t>
      </w:r>
      <w:proofErr w:type="spellStart"/>
      <w:r w:rsidRPr="0093335E">
        <w:t>Pasma</w:t>
      </w:r>
      <w:proofErr w:type="spellEnd"/>
      <w:r w:rsidRPr="0093335E">
        <w:t xml:space="preserve">, W., </w:t>
      </w:r>
      <w:proofErr w:type="spellStart"/>
      <w:r w:rsidRPr="0093335E">
        <w:t>Saager</w:t>
      </w:r>
      <w:proofErr w:type="spellEnd"/>
      <w:r w:rsidRPr="0093335E">
        <w:t xml:space="preserve">, L., Cassidy, R., van </w:t>
      </w:r>
      <w:proofErr w:type="spellStart"/>
      <w:r w:rsidRPr="0093335E">
        <w:t>Klei</w:t>
      </w:r>
      <w:proofErr w:type="spellEnd"/>
      <w:r w:rsidRPr="0093335E">
        <w:t xml:space="preserve">, W., </w:t>
      </w:r>
      <w:proofErr w:type="spellStart"/>
      <w:r w:rsidRPr="0093335E">
        <w:t>Kooij</w:t>
      </w:r>
      <w:proofErr w:type="spellEnd"/>
      <w:r w:rsidRPr="0093335E">
        <w:t xml:space="preserve">, F., </w:t>
      </w:r>
      <w:proofErr w:type="spellStart"/>
      <w:r w:rsidRPr="0093335E">
        <w:t>Vittali</w:t>
      </w:r>
      <w:proofErr w:type="spellEnd"/>
      <w:r w:rsidRPr="0093335E">
        <w:t xml:space="preserve">, D., Hollmann, M. W., </w:t>
      </w:r>
      <w:proofErr w:type="spellStart"/>
      <w:r w:rsidRPr="0093335E">
        <w:t>Kheterpal</w:t>
      </w:r>
      <w:proofErr w:type="spellEnd"/>
      <w:r w:rsidRPr="0093335E">
        <w:t xml:space="preserve">, S., &amp; </w:t>
      </w:r>
      <w:proofErr w:type="spellStart"/>
      <w:r w:rsidRPr="0093335E">
        <w:t>Lirk</w:t>
      </w:r>
      <w:proofErr w:type="spellEnd"/>
      <w:r w:rsidRPr="0093335E">
        <w:t xml:space="preserve">, P. (2020). Risk of major complications after perioperative norepinephrine infusion through peripheral intravenous lines in a multicenter study. </w:t>
      </w:r>
      <w:r w:rsidRPr="0093335E">
        <w:rPr>
          <w:i/>
          <w:iCs/>
        </w:rPr>
        <w:t>Anesthesia and Analgesia</w:t>
      </w:r>
      <w:r w:rsidRPr="0093335E">
        <w:t xml:space="preserve">, </w:t>
      </w:r>
      <w:r w:rsidRPr="00197910">
        <w:rPr>
          <w:i/>
          <w:iCs/>
        </w:rPr>
        <w:t>131</w:t>
      </w:r>
      <w:r w:rsidRPr="0093335E">
        <w:t>(4), 1060–1065.</w:t>
      </w:r>
    </w:p>
    <w:p w14:paraId="41279430" w14:textId="77777777" w:rsidR="00110B6D" w:rsidRDefault="00110B6D" w:rsidP="00110B6D"/>
    <w:p w14:paraId="266CCF21" w14:textId="6BECD05E" w:rsidR="00110B6D" w:rsidRDefault="00110B6D" w:rsidP="00110B6D">
      <w:pPr>
        <w:ind w:left="360"/>
      </w:pPr>
      <w:r w:rsidRPr="00D25816">
        <w:t>Summary</w:t>
      </w:r>
      <w:r>
        <w:t>:</w:t>
      </w:r>
      <w:r w:rsidR="00D25816">
        <w:t xml:space="preserve"> </w:t>
      </w:r>
      <w:r w:rsidR="00D25816" w:rsidRPr="00D25816">
        <w:t>A retrospective cohort study using perioperative databases to identify surgical patients who received peripheral intravenous infusions of norepinephrine. There was no significant association between peripheral intravenous norepinephrine infusions and adverse events</w:t>
      </w:r>
      <w:r w:rsidR="00D25816">
        <w:t>.</w:t>
      </w:r>
    </w:p>
    <w:p w14:paraId="469BC07A" w14:textId="3752E8B9" w:rsidR="00110B6D" w:rsidRDefault="00110B6D" w:rsidP="001C23C4">
      <w:pPr>
        <w:ind w:left="360"/>
      </w:pPr>
    </w:p>
    <w:p w14:paraId="3D291F95" w14:textId="02D02119" w:rsidR="00110B6D" w:rsidRDefault="00E61945" w:rsidP="00110B6D">
      <w:pPr>
        <w:pStyle w:val="ListParagraph"/>
        <w:numPr>
          <w:ilvl w:val="0"/>
          <w:numId w:val="1"/>
        </w:numPr>
        <w:ind w:hanging="450"/>
      </w:pPr>
      <w:r w:rsidRPr="00E61945">
        <w:lastRenderedPageBreak/>
        <w:t xml:space="preserve">Patel, M. S., Polsky, D., Kennedy, E. H., Small, D. S., Evans, C. N., </w:t>
      </w:r>
      <w:proofErr w:type="spellStart"/>
      <w:r w:rsidRPr="00E61945">
        <w:t>Rareshide</w:t>
      </w:r>
      <w:proofErr w:type="spellEnd"/>
      <w:r w:rsidRPr="00E61945">
        <w:t xml:space="preserve">, C. A. L., &amp; </w:t>
      </w:r>
      <w:proofErr w:type="spellStart"/>
      <w:r w:rsidRPr="00E61945">
        <w:t>Volpp</w:t>
      </w:r>
      <w:proofErr w:type="spellEnd"/>
      <w:r w:rsidRPr="00E61945">
        <w:t xml:space="preserve">, K. G. (2020). Smartphones vs wearable devices for remotely monitoring physical activity after hospital discharge: a secondary analysis of a randomized clinical trial. </w:t>
      </w:r>
      <w:r w:rsidRPr="00E61945">
        <w:rPr>
          <w:i/>
          <w:iCs/>
        </w:rPr>
        <w:t>JAMA Network Open</w:t>
      </w:r>
      <w:r w:rsidRPr="00E61945">
        <w:t xml:space="preserve">, </w:t>
      </w:r>
      <w:r w:rsidRPr="00197910">
        <w:rPr>
          <w:i/>
          <w:iCs/>
        </w:rPr>
        <w:t>3</w:t>
      </w:r>
      <w:r w:rsidRPr="00E61945">
        <w:t>(2), e1920677–e1920677. https://doi.org/10.1001/jamanetworkopen.2019.20677</w:t>
      </w:r>
      <w:r>
        <w:t>.</w:t>
      </w:r>
    </w:p>
    <w:p w14:paraId="6DAD69ED" w14:textId="77777777" w:rsidR="00110B6D" w:rsidRDefault="00110B6D" w:rsidP="00110B6D"/>
    <w:p w14:paraId="30C58EED" w14:textId="60001F01" w:rsidR="00110B6D" w:rsidRDefault="00110B6D" w:rsidP="00110B6D">
      <w:pPr>
        <w:ind w:left="360"/>
      </w:pPr>
      <w:r w:rsidRPr="00BE2BEC">
        <w:t>Summary</w:t>
      </w:r>
      <w:r>
        <w:t>:</w:t>
      </w:r>
      <w:r w:rsidR="00BE2BEC">
        <w:t xml:space="preserve"> </w:t>
      </w:r>
      <w:r w:rsidR="00BE2BEC" w:rsidRPr="00BE2BEC">
        <w:t>Randomized controlled trial to compare tracking of physical activity using smart phones or remote monitors. Patients using smartphones transmitted data for a greater duration and proportion of time than those using wearables</w:t>
      </w:r>
      <w:r w:rsidR="00BE2BEC">
        <w:t>.</w:t>
      </w:r>
    </w:p>
    <w:p w14:paraId="02B6E2D8" w14:textId="2608EE3E" w:rsidR="00110B6D" w:rsidRDefault="00110B6D" w:rsidP="001C23C4">
      <w:pPr>
        <w:ind w:left="360"/>
      </w:pPr>
    </w:p>
    <w:p w14:paraId="421CD49F" w14:textId="190DF127" w:rsidR="00110B6D" w:rsidRDefault="00D25B95" w:rsidP="00110B6D">
      <w:pPr>
        <w:pStyle w:val="ListParagraph"/>
        <w:numPr>
          <w:ilvl w:val="0"/>
          <w:numId w:val="1"/>
        </w:numPr>
        <w:ind w:hanging="450"/>
      </w:pPr>
      <w:proofErr w:type="spellStart"/>
      <w:r w:rsidRPr="00D25B95">
        <w:t>Patorno</w:t>
      </w:r>
      <w:proofErr w:type="spellEnd"/>
      <w:r w:rsidRPr="00D25B95">
        <w:t xml:space="preserve">, E., Hernandez-Diaz, S., Huybrechts, K. F., Desai, R. J., Cohen, J. M., </w:t>
      </w:r>
      <w:proofErr w:type="spellStart"/>
      <w:r w:rsidRPr="00D25B95">
        <w:t>Mogun</w:t>
      </w:r>
      <w:proofErr w:type="spellEnd"/>
      <w:r w:rsidRPr="00D25B95">
        <w:t xml:space="preserve">, H., &amp; Bateman, B. T. (2020). Gabapentin in pregnancy and the risk of adverse neonatal and maternal outcomes: A population-based cohort study nested in the US Medicaid Analytic </w:t>
      </w:r>
      <w:proofErr w:type="spellStart"/>
      <w:r w:rsidRPr="00D25B95">
        <w:t>eXtract</w:t>
      </w:r>
      <w:proofErr w:type="spellEnd"/>
      <w:r w:rsidRPr="00D25B95">
        <w:t xml:space="preserve"> dataset. </w:t>
      </w:r>
      <w:proofErr w:type="spellStart"/>
      <w:r w:rsidRPr="00D25B95">
        <w:rPr>
          <w:i/>
          <w:iCs/>
        </w:rPr>
        <w:t>PLoS</w:t>
      </w:r>
      <w:proofErr w:type="spellEnd"/>
      <w:r w:rsidRPr="00D25B95">
        <w:rPr>
          <w:i/>
          <w:iCs/>
        </w:rPr>
        <w:t xml:space="preserve"> Medicine</w:t>
      </w:r>
      <w:r w:rsidRPr="00D25B95">
        <w:t xml:space="preserve">, </w:t>
      </w:r>
      <w:r w:rsidRPr="00197910">
        <w:rPr>
          <w:i/>
          <w:iCs/>
        </w:rPr>
        <w:t>17</w:t>
      </w:r>
      <w:r w:rsidRPr="00D25B95">
        <w:t>(9), e1003322–e1003322. https://doi.org/10.1371/journal.pmed.1003322</w:t>
      </w:r>
      <w:r>
        <w:t>.</w:t>
      </w:r>
    </w:p>
    <w:p w14:paraId="6715AFE0" w14:textId="77777777" w:rsidR="00110B6D" w:rsidRDefault="00110B6D" w:rsidP="00110B6D"/>
    <w:p w14:paraId="46091597" w14:textId="13679870" w:rsidR="00110B6D" w:rsidRPr="001307BD" w:rsidRDefault="00110B6D" w:rsidP="00110B6D">
      <w:pPr>
        <w:ind w:left="360"/>
      </w:pPr>
      <w:r w:rsidRPr="001307BD">
        <w:t>Summary:</w:t>
      </w:r>
      <w:r w:rsidR="00000B8C" w:rsidRPr="001307BD">
        <w:t xml:space="preserve"> Gabapentin exposure during early pregnancy was not associated with major malformations overall, although there was some evidence for higher risk of cardiac malformations. Exposure late in pregnancy was associated with higher risk of preterm birth, small for gestational age, and neonatal ICU admission.</w:t>
      </w:r>
    </w:p>
    <w:p w14:paraId="3FA899B0" w14:textId="658E2D4D" w:rsidR="00110B6D" w:rsidRPr="001307BD" w:rsidRDefault="00110B6D" w:rsidP="001C23C4">
      <w:pPr>
        <w:ind w:left="360"/>
      </w:pPr>
    </w:p>
    <w:p w14:paraId="5B4BE9F0" w14:textId="5FD4228E" w:rsidR="00110B6D" w:rsidRPr="001307BD" w:rsidRDefault="00B8544D" w:rsidP="00110B6D">
      <w:pPr>
        <w:pStyle w:val="ListParagraph"/>
        <w:numPr>
          <w:ilvl w:val="0"/>
          <w:numId w:val="1"/>
        </w:numPr>
        <w:ind w:hanging="450"/>
      </w:pPr>
      <w:proofErr w:type="spellStart"/>
      <w:r w:rsidRPr="001307BD">
        <w:t>Peahl</w:t>
      </w:r>
      <w:proofErr w:type="spellEnd"/>
      <w:r w:rsidRPr="001307BD">
        <w:t xml:space="preserve">, A. F., </w:t>
      </w:r>
      <w:proofErr w:type="spellStart"/>
      <w:r w:rsidRPr="001307BD">
        <w:t>Kountanis</w:t>
      </w:r>
      <w:proofErr w:type="spellEnd"/>
      <w:r w:rsidRPr="001307BD">
        <w:t xml:space="preserve">, J. A., &amp; Smith, R. D. (2020). Postoperative urinary catheter removal for Enhanced Recovery After Cesarean protocols. </w:t>
      </w:r>
      <w:r w:rsidRPr="001307BD">
        <w:rPr>
          <w:i/>
          <w:iCs/>
        </w:rPr>
        <w:t>American Journal of Obstetrics and Gynecology</w:t>
      </w:r>
      <w:r w:rsidRPr="001307BD">
        <w:t xml:space="preserve">, </w:t>
      </w:r>
      <w:r w:rsidRPr="00197910">
        <w:rPr>
          <w:i/>
          <w:iCs/>
        </w:rPr>
        <w:t>222</w:t>
      </w:r>
      <w:r w:rsidRPr="001307BD">
        <w:t>(6), 634–634. https://doi.org/10.1016/j.ajog.2020.01.040.</w:t>
      </w:r>
    </w:p>
    <w:p w14:paraId="0A5A75BB" w14:textId="77777777" w:rsidR="00110B6D" w:rsidRPr="001307BD" w:rsidRDefault="00110B6D" w:rsidP="00110B6D"/>
    <w:p w14:paraId="4B633CBB" w14:textId="582446AD" w:rsidR="00110B6D" w:rsidRPr="001307BD" w:rsidRDefault="00110B6D" w:rsidP="00110B6D">
      <w:pPr>
        <w:ind w:left="360"/>
      </w:pPr>
      <w:r w:rsidRPr="001307BD">
        <w:t>Summary:</w:t>
      </w:r>
      <w:r w:rsidR="00000B8C" w:rsidRPr="001307BD">
        <w:t xml:space="preserve"> Bladder catheters should not be removed immediately after delivery in women undergoing long acting neuraxial analgesia. Instead, 6-12 hours is best, as per the Society for Obstetric Anesthesia and Perinatology.</w:t>
      </w:r>
    </w:p>
    <w:p w14:paraId="1A6CCEF2" w14:textId="391DBBCF" w:rsidR="00110B6D" w:rsidRPr="001307BD" w:rsidRDefault="00110B6D" w:rsidP="001C23C4">
      <w:pPr>
        <w:ind w:left="360"/>
      </w:pPr>
    </w:p>
    <w:p w14:paraId="4B881DF0" w14:textId="527CBE1F" w:rsidR="00110B6D" w:rsidRPr="001307BD" w:rsidRDefault="000C41C6" w:rsidP="00110B6D">
      <w:pPr>
        <w:pStyle w:val="ListParagraph"/>
        <w:numPr>
          <w:ilvl w:val="0"/>
          <w:numId w:val="1"/>
        </w:numPr>
        <w:ind w:hanging="450"/>
      </w:pPr>
      <w:proofErr w:type="spellStart"/>
      <w:r w:rsidRPr="001307BD">
        <w:t>Peahl</w:t>
      </w:r>
      <w:proofErr w:type="spellEnd"/>
      <w:r w:rsidRPr="001307BD">
        <w:t xml:space="preserve">, A. F., Smith, R. D., &amp; Moniz, M. H. (2020). Prenatal care redesign: creating flexible maternity care models through virtual care. </w:t>
      </w:r>
      <w:r w:rsidRPr="001307BD">
        <w:rPr>
          <w:i/>
          <w:iCs/>
        </w:rPr>
        <w:t>American Journal of Obstetrics and Gynecology</w:t>
      </w:r>
      <w:r w:rsidRPr="001307BD">
        <w:t xml:space="preserve">, </w:t>
      </w:r>
      <w:r w:rsidRPr="00197910">
        <w:rPr>
          <w:i/>
          <w:iCs/>
        </w:rPr>
        <w:t>223</w:t>
      </w:r>
      <w:r w:rsidRPr="001307BD">
        <w:t>(3), 389.e1–389.e10. https://doi.org/10.1016/j.ajog.2020.05.029.</w:t>
      </w:r>
    </w:p>
    <w:p w14:paraId="3FF151DC" w14:textId="77777777" w:rsidR="00110B6D" w:rsidRPr="001307BD" w:rsidRDefault="00110B6D" w:rsidP="00110B6D"/>
    <w:p w14:paraId="27DE3E50" w14:textId="7D17DB51" w:rsidR="00110B6D" w:rsidRDefault="00110B6D" w:rsidP="00110B6D">
      <w:pPr>
        <w:ind w:left="360"/>
      </w:pPr>
      <w:r w:rsidRPr="001307BD">
        <w:t>Summary:</w:t>
      </w:r>
      <w:r w:rsidR="001307BD" w:rsidRPr="001307BD">
        <w:t xml:space="preserve"> A pilot study of increased use of telehealth to replace some prenatal visits.</w:t>
      </w:r>
    </w:p>
    <w:p w14:paraId="44BAC0ED" w14:textId="1409514A" w:rsidR="00110B6D" w:rsidRDefault="00110B6D" w:rsidP="001C23C4">
      <w:pPr>
        <w:ind w:left="360"/>
      </w:pPr>
    </w:p>
    <w:p w14:paraId="097BEC32" w14:textId="6D7821DF" w:rsidR="00110B6D" w:rsidRDefault="00C7647E" w:rsidP="00110B6D">
      <w:pPr>
        <w:pStyle w:val="ListParagraph"/>
        <w:numPr>
          <w:ilvl w:val="0"/>
          <w:numId w:val="1"/>
        </w:numPr>
        <w:ind w:hanging="450"/>
      </w:pPr>
      <w:proofErr w:type="spellStart"/>
      <w:r w:rsidRPr="00C7647E">
        <w:t>Peahl</w:t>
      </w:r>
      <w:proofErr w:type="spellEnd"/>
      <w:r w:rsidRPr="00C7647E">
        <w:t xml:space="preserve">, A. F., </w:t>
      </w:r>
      <w:proofErr w:type="spellStart"/>
      <w:r w:rsidRPr="00C7647E">
        <w:t>Gourevitch</w:t>
      </w:r>
      <w:proofErr w:type="spellEnd"/>
      <w:r w:rsidRPr="00C7647E">
        <w:t xml:space="preserve">, R. A., Luo, E. M., Fryer, K. E., Moniz, M. H., Dalton, V. K., </w:t>
      </w:r>
      <w:proofErr w:type="spellStart"/>
      <w:r w:rsidRPr="00C7647E">
        <w:t>Fendrick</w:t>
      </w:r>
      <w:proofErr w:type="spellEnd"/>
      <w:r w:rsidRPr="00C7647E">
        <w:t>, A. M., &amp; Shah, N. (2020). Right</w:t>
      </w:r>
      <w:r w:rsidR="00BE65D6" w:rsidRPr="00C7647E">
        <w:t xml:space="preserve">-sizing prenatal care to meet </w:t>
      </w:r>
      <w:proofErr w:type="spellStart"/>
      <w:r w:rsidR="00BE65D6" w:rsidRPr="00C7647E">
        <w:t>patientsʼ</w:t>
      </w:r>
      <w:proofErr w:type="spellEnd"/>
      <w:r w:rsidR="00BE65D6" w:rsidRPr="00C7647E">
        <w:t xml:space="preserve"> needs and improve maternity care val</w:t>
      </w:r>
      <w:r w:rsidRPr="00C7647E">
        <w:t xml:space="preserve">ue. </w:t>
      </w:r>
      <w:r w:rsidRPr="00BE65D6">
        <w:rPr>
          <w:i/>
          <w:iCs/>
        </w:rPr>
        <w:t>Obstetrics and Gynecology</w:t>
      </w:r>
      <w:r w:rsidRPr="00C7647E">
        <w:t xml:space="preserve"> (New York. 1953), </w:t>
      </w:r>
      <w:r w:rsidRPr="00197910">
        <w:rPr>
          <w:i/>
          <w:iCs/>
        </w:rPr>
        <w:t>135</w:t>
      </w:r>
      <w:r w:rsidRPr="00C7647E">
        <w:t>(5), 1027–1037. https://doi.org/10.1097/AOG.0000000000003820</w:t>
      </w:r>
      <w:r>
        <w:t>.</w:t>
      </w:r>
    </w:p>
    <w:p w14:paraId="7220F4AE" w14:textId="77777777" w:rsidR="00110B6D" w:rsidRDefault="00110B6D" w:rsidP="00110B6D"/>
    <w:p w14:paraId="7557B217" w14:textId="248BA03F" w:rsidR="00110B6D" w:rsidRPr="00B03CAC" w:rsidRDefault="00110B6D" w:rsidP="00110B6D">
      <w:pPr>
        <w:ind w:left="360"/>
      </w:pPr>
      <w:r w:rsidRPr="00B03CAC">
        <w:t>Summary:</w:t>
      </w:r>
      <w:r w:rsidR="001307BD" w:rsidRPr="00B03CAC">
        <w:t xml:space="preserve"> Presentation of a model for prenatal care that matches patient needs with prenatal services, addressing some of the challenges to implementing right-sized prenatal care, including capturing outcomes through research and payment.</w:t>
      </w:r>
    </w:p>
    <w:p w14:paraId="44804FA3" w14:textId="4058185D" w:rsidR="00110B6D" w:rsidRPr="00B03CAC" w:rsidRDefault="00110B6D" w:rsidP="001C23C4">
      <w:pPr>
        <w:ind w:left="360"/>
      </w:pPr>
    </w:p>
    <w:p w14:paraId="60F5DA4F" w14:textId="1F31F9C6" w:rsidR="00E36852" w:rsidRDefault="00E36852" w:rsidP="00110B6D">
      <w:pPr>
        <w:pStyle w:val="ListParagraph"/>
        <w:numPr>
          <w:ilvl w:val="0"/>
          <w:numId w:val="1"/>
        </w:numPr>
        <w:ind w:hanging="450"/>
      </w:pPr>
      <w:r w:rsidRPr="00E36852">
        <w:t xml:space="preserve">Poon, L. C., Yang, H., </w:t>
      </w:r>
      <w:proofErr w:type="spellStart"/>
      <w:r w:rsidRPr="00E36852">
        <w:t>Kapur</w:t>
      </w:r>
      <w:proofErr w:type="spellEnd"/>
      <w:r w:rsidRPr="00E36852">
        <w:t xml:space="preserve">, A., Melamed, N., Dao, B., Divakar, H., McIntyre, H. D., </w:t>
      </w:r>
      <w:proofErr w:type="spellStart"/>
      <w:r w:rsidRPr="00E36852">
        <w:t>Kihara</w:t>
      </w:r>
      <w:proofErr w:type="spellEnd"/>
      <w:r w:rsidRPr="00E36852">
        <w:t>, A. B., Ayres</w:t>
      </w:r>
      <w:r w:rsidRPr="00E36852">
        <w:rPr>
          <w:rFonts w:ascii="Cambria Math" w:hAnsi="Cambria Math" w:cs="Cambria Math"/>
        </w:rPr>
        <w:t>‐</w:t>
      </w:r>
      <w:r w:rsidRPr="00E36852">
        <w:t>de</w:t>
      </w:r>
      <w:r w:rsidRPr="00E36852">
        <w:rPr>
          <w:rFonts w:ascii="Cambria Math" w:hAnsi="Cambria Math" w:cs="Cambria Math"/>
        </w:rPr>
        <w:t>‐</w:t>
      </w:r>
      <w:r w:rsidRPr="00E36852">
        <w:t xml:space="preserve">Campos, D., </w:t>
      </w:r>
      <w:proofErr w:type="spellStart"/>
      <w:r w:rsidRPr="00E36852">
        <w:t>Ferrazzi</w:t>
      </w:r>
      <w:proofErr w:type="spellEnd"/>
      <w:r w:rsidRPr="00E36852">
        <w:t>, E. M., Di Renzo, G. C., &amp; Hod, M. (2020). Global interim guidance on coronavirus disease 2019 (COVID</w:t>
      </w:r>
      <w:r w:rsidRPr="00E36852">
        <w:rPr>
          <w:rFonts w:ascii="Cambria Math" w:hAnsi="Cambria Math" w:cs="Cambria Math"/>
        </w:rPr>
        <w:t>‐</w:t>
      </w:r>
      <w:r w:rsidRPr="00E36852">
        <w:t>19) during pregnancy and puerperium from FIGO and allied partners: Information for healthcare professionals</w:t>
      </w:r>
      <w:r w:rsidRPr="00E36852">
        <w:rPr>
          <w:i/>
          <w:iCs/>
        </w:rPr>
        <w:t>. International Journal of Gynecology and Obstetrics, 149</w:t>
      </w:r>
      <w:r w:rsidRPr="00E36852">
        <w:t>(3), 273</w:t>
      </w:r>
      <w:r w:rsidRPr="00E36852">
        <w:rPr>
          <w:rFonts w:cs="Arial"/>
        </w:rPr>
        <w:t>–</w:t>
      </w:r>
      <w:r w:rsidRPr="00E36852">
        <w:t>286. https://doi.org/10.1002/ijgo.13156</w:t>
      </w:r>
      <w:r>
        <w:t>.</w:t>
      </w:r>
    </w:p>
    <w:p w14:paraId="5B47D681" w14:textId="54CA294A" w:rsidR="00E36852" w:rsidRDefault="00E36852" w:rsidP="00E36852"/>
    <w:p w14:paraId="6A9ECD41" w14:textId="588C242A" w:rsidR="00E36852" w:rsidRDefault="00E36852" w:rsidP="00E36852">
      <w:pPr>
        <w:ind w:left="360"/>
      </w:pPr>
      <w:r>
        <w:t>Summary:</w:t>
      </w:r>
      <w:r w:rsidRPr="00E36852">
        <w:t xml:space="preserve"> Comprehensive guidance for the management of pregnant women in response to the World Health Organization statements and international concerns regarding the coronavirus disease 2019 outbreak</w:t>
      </w:r>
      <w:r>
        <w:t>.</w:t>
      </w:r>
    </w:p>
    <w:p w14:paraId="33DB04D7" w14:textId="77777777" w:rsidR="00E36852" w:rsidRDefault="00E36852" w:rsidP="00E36852">
      <w:pPr>
        <w:ind w:left="360"/>
      </w:pPr>
    </w:p>
    <w:p w14:paraId="7924F862" w14:textId="1F9158F9" w:rsidR="00CC647F" w:rsidRDefault="00CC647F" w:rsidP="00110B6D">
      <w:pPr>
        <w:pStyle w:val="ListParagraph"/>
        <w:numPr>
          <w:ilvl w:val="0"/>
          <w:numId w:val="1"/>
        </w:numPr>
        <w:ind w:hanging="450"/>
      </w:pPr>
      <w:proofErr w:type="spellStart"/>
      <w:r w:rsidRPr="00CC647F">
        <w:t>Qiu</w:t>
      </w:r>
      <w:proofErr w:type="spellEnd"/>
      <w:r w:rsidRPr="00CC647F">
        <w:t xml:space="preserve">, C., Lin, J. C., Shi, J. M., Chow, T., Desai, V. N., Nguyen, V. T., </w:t>
      </w:r>
      <w:proofErr w:type="spellStart"/>
      <w:r w:rsidRPr="00CC647F">
        <w:t>Riewerts</w:t>
      </w:r>
      <w:proofErr w:type="spellEnd"/>
      <w:r w:rsidRPr="00CC647F">
        <w:t xml:space="preserve">, R. J., Feldman, R. K., Segal, S., &amp; Xiang, A. H. (2020). Association Between Epidural Analgesia During Labor and Risk of Autism </w:t>
      </w:r>
      <w:r w:rsidRPr="00CC647F">
        <w:lastRenderedPageBreak/>
        <w:t>Spectrum Disorders in Offspring. </w:t>
      </w:r>
      <w:r w:rsidRPr="00CC647F">
        <w:rPr>
          <w:i/>
          <w:iCs/>
        </w:rPr>
        <w:t>JAMA Pediatrics</w:t>
      </w:r>
      <w:r w:rsidRPr="00CC647F">
        <w:t>, </w:t>
      </w:r>
      <w:r w:rsidRPr="00CC647F">
        <w:rPr>
          <w:i/>
          <w:iCs/>
        </w:rPr>
        <w:t>174</w:t>
      </w:r>
      <w:r w:rsidRPr="00CC647F">
        <w:t>(12), 1168–1175. https://doi.org/10.1001/jamapediatrics.2020.3231</w:t>
      </w:r>
      <w:r>
        <w:t>.</w:t>
      </w:r>
    </w:p>
    <w:p w14:paraId="260F15A3" w14:textId="130B5E3E" w:rsidR="00CC647F" w:rsidRDefault="00CC647F" w:rsidP="00CC647F"/>
    <w:p w14:paraId="362B2FC4" w14:textId="6F0A9D31" w:rsidR="00CC647F" w:rsidRDefault="00CC647F" w:rsidP="00CC647F">
      <w:pPr>
        <w:ind w:left="360"/>
      </w:pPr>
      <w:r>
        <w:t xml:space="preserve">Summary: </w:t>
      </w:r>
      <w:r w:rsidRPr="00CC647F">
        <w:t>Retrospective longitudinal birth cohort study suggesting that labor epidural analgesia may be associated with increased risk of autism spectrum disorder in offspring and does not appear to be associated with epidural-related maternal fever</w:t>
      </w:r>
      <w:r>
        <w:t>.</w:t>
      </w:r>
    </w:p>
    <w:p w14:paraId="71FEA4CC" w14:textId="77777777" w:rsidR="00CC647F" w:rsidRDefault="00CC647F" w:rsidP="00CC647F">
      <w:pPr>
        <w:ind w:left="360"/>
      </w:pPr>
    </w:p>
    <w:p w14:paraId="62654225" w14:textId="6FAA73AF" w:rsidR="00110B6D" w:rsidRPr="00B03CAC" w:rsidRDefault="00F5716E" w:rsidP="00110B6D">
      <w:pPr>
        <w:pStyle w:val="ListParagraph"/>
        <w:numPr>
          <w:ilvl w:val="0"/>
          <w:numId w:val="1"/>
        </w:numPr>
        <w:ind w:hanging="450"/>
      </w:pPr>
      <w:proofErr w:type="spellStart"/>
      <w:r w:rsidRPr="00B03CAC">
        <w:t>Raghuraman</w:t>
      </w:r>
      <w:proofErr w:type="spellEnd"/>
      <w:r w:rsidRPr="00B03CAC">
        <w:t xml:space="preserve">, N., López, J. D., Carter, E. B., Stout, M. J., </w:t>
      </w:r>
      <w:proofErr w:type="spellStart"/>
      <w:r w:rsidRPr="00B03CAC">
        <w:t>Macones</w:t>
      </w:r>
      <w:proofErr w:type="spellEnd"/>
      <w:r w:rsidRPr="00B03CAC">
        <w:t xml:space="preserve">, G. A., </w:t>
      </w:r>
      <w:proofErr w:type="spellStart"/>
      <w:r w:rsidRPr="00B03CAC">
        <w:t>Tuuli</w:t>
      </w:r>
      <w:proofErr w:type="spellEnd"/>
      <w:r w:rsidRPr="00B03CAC">
        <w:t xml:space="preserve">, M. G., &amp; Cahill, A. G. (2020). The effect of intrapartum oxygen supplementation on category II fetal monitoring. </w:t>
      </w:r>
      <w:r w:rsidRPr="00B03CAC">
        <w:rPr>
          <w:i/>
          <w:iCs/>
        </w:rPr>
        <w:t>American Journal of Obstetrics and Gynecology</w:t>
      </w:r>
      <w:r w:rsidRPr="00B03CAC">
        <w:t xml:space="preserve">, </w:t>
      </w:r>
      <w:r w:rsidRPr="00197910">
        <w:rPr>
          <w:i/>
          <w:iCs/>
        </w:rPr>
        <w:t>223</w:t>
      </w:r>
      <w:r w:rsidRPr="00B03CAC">
        <w:t>(6), 905.e1–905.e7. https://doi.org/10.1016/j.ajog.2020.06.037.</w:t>
      </w:r>
    </w:p>
    <w:p w14:paraId="61A760ED" w14:textId="77777777" w:rsidR="00110B6D" w:rsidRPr="00B03CAC" w:rsidRDefault="00110B6D" w:rsidP="00110B6D"/>
    <w:p w14:paraId="6D3E5BFB" w14:textId="30D8C9C6" w:rsidR="00110B6D" w:rsidRPr="00B03CAC" w:rsidRDefault="00110B6D" w:rsidP="00110B6D">
      <w:pPr>
        <w:ind w:left="360"/>
      </w:pPr>
      <w:r w:rsidRPr="00B03CAC">
        <w:t>Summary:</w:t>
      </w:r>
      <w:r w:rsidR="001307BD" w:rsidRPr="00B03CAC">
        <w:t xml:space="preserve"> Secondary analysis of a randomized trial showing that maternal face-mask oxygen did not resolve high-risk category II features or hasten the resolution of recurrent decelerations.</w:t>
      </w:r>
    </w:p>
    <w:p w14:paraId="0EAB72F1" w14:textId="0C5B9E01" w:rsidR="00110B6D" w:rsidRPr="00B03CAC" w:rsidRDefault="00110B6D" w:rsidP="001C23C4">
      <w:pPr>
        <w:ind w:left="360"/>
      </w:pPr>
    </w:p>
    <w:p w14:paraId="10247279" w14:textId="231C81F0" w:rsidR="00110B6D" w:rsidRPr="00B03CAC" w:rsidRDefault="00A20B63" w:rsidP="00110B6D">
      <w:pPr>
        <w:pStyle w:val="ListParagraph"/>
        <w:numPr>
          <w:ilvl w:val="0"/>
          <w:numId w:val="1"/>
        </w:numPr>
        <w:ind w:hanging="450"/>
      </w:pPr>
      <w:proofErr w:type="spellStart"/>
      <w:r w:rsidRPr="00B03CAC">
        <w:t>Reale</w:t>
      </w:r>
      <w:proofErr w:type="spellEnd"/>
      <w:r w:rsidRPr="00B03CAC">
        <w:t xml:space="preserve">, S. C., Fields, K. G., </w:t>
      </w:r>
      <w:proofErr w:type="spellStart"/>
      <w:r w:rsidRPr="00B03CAC">
        <w:t>Lumbreras</w:t>
      </w:r>
      <w:proofErr w:type="spellEnd"/>
      <w:r w:rsidRPr="00B03CAC">
        <w:t xml:space="preserve">-Marquez, M. I., King, C. H., Burns, S. L., Huybrechts, K. F., &amp; Bateman, B. T. (2020). Association between number of in-person health care visits and SARS-CoV-2 infection in obstetrical patients. </w:t>
      </w:r>
      <w:proofErr w:type="gramStart"/>
      <w:r w:rsidRPr="00B03CAC">
        <w:rPr>
          <w:i/>
          <w:iCs/>
        </w:rPr>
        <w:t>JAMA :</w:t>
      </w:r>
      <w:proofErr w:type="gramEnd"/>
      <w:r w:rsidRPr="00B03CAC">
        <w:rPr>
          <w:i/>
          <w:iCs/>
        </w:rPr>
        <w:t xml:space="preserve"> the Journal of the American Medical Association</w:t>
      </w:r>
      <w:r w:rsidRPr="00B03CAC">
        <w:t xml:space="preserve">, </w:t>
      </w:r>
      <w:r w:rsidRPr="00197910">
        <w:rPr>
          <w:i/>
          <w:iCs/>
        </w:rPr>
        <w:t>324</w:t>
      </w:r>
      <w:r w:rsidRPr="00B03CAC">
        <w:t>(12), 1210–1212. https://doi.org/10.1001/jama.2020.15242.</w:t>
      </w:r>
    </w:p>
    <w:p w14:paraId="6148347E" w14:textId="77777777" w:rsidR="00110B6D" w:rsidRPr="00B03CAC" w:rsidRDefault="00110B6D" w:rsidP="00110B6D"/>
    <w:p w14:paraId="2A12A9E1" w14:textId="55868807" w:rsidR="00110B6D" w:rsidRDefault="00110B6D" w:rsidP="00110B6D">
      <w:pPr>
        <w:ind w:left="360"/>
      </w:pPr>
      <w:r w:rsidRPr="00B03CAC">
        <w:t>Summary</w:t>
      </w:r>
      <w:r>
        <w:t>:</w:t>
      </w:r>
      <w:r w:rsidR="00B03CAC">
        <w:t xml:space="preserve"> </w:t>
      </w:r>
      <w:r w:rsidR="00B03CAC" w:rsidRPr="00B03CAC">
        <w:t>A nested case-control study finding that there was no meaningful association between the number of in-person health care visits and the rate of SARS-CoV-2 infections in a sample of obstetrical patients in the Boston area</w:t>
      </w:r>
      <w:r w:rsidR="00B03CAC">
        <w:t>.</w:t>
      </w:r>
    </w:p>
    <w:p w14:paraId="31C93C8B" w14:textId="290BE9FE" w:rsidR="00110B6D" w:rsidRDefault="00110B6D" w:rsidP="001C23C4">
      <w:pPr>
        <w:ind w:left="360"/>
      </w:pPr>
    </w:p>
    <w:p w14:paraId="637AED72" w14:textId="5A77E516" w:rsidR="00110B6D" w:rsidRDefault="006D0014" w:rsidP="00110B6D">
      <w:pPr>
        <w:pStyle w:val="ListParagraph"/>
        <w:numPr>
          <w:ilvl w:val="0"/>
          <w:numId w:val="1"/>
        </w:numPr>
        <w:ind w:hanging="450"/>
      </w:pPr>
      <w:r w:rsidRPr="006D0014">
        <w:t xml:space="preserve">Reardon, S. (2019). Do C-section babies need mum’s microbes? Trials tackle controversial idea. </w:t>
      </w:r>
      <w:r w:rsidRPr="006D0014">
        <w:rPr>
          <w:i/>
          <w:iCs/>
        </w:rPr>
        <w:t>Nature</w:t>
      </w:r>
      <w:r w:rsidRPr="006D0014">
        <w:t xml:space="preserve"> (London), </w:t>
      </w:r>
      <w:r w:rsidRPr="00197910">
        <w:rPr>
          <w:i/>
          <w:iCs/>
        </w:rPr>
        <w:t>572</w:t>
      </w:r>
      <w:r w:rsidRPr="006D0014">
        <w:t>(7770), 423–424. https://doi.org/10.1038/d41586-019-02348-3</w:t>
      </w:r>
      <w:r>
        <w:t>.</w:t>
      </w:r>
    </w:p>
    <w:p w14:paraId="7DF40A6C" w14:textId="77777777" w:rsidR="00110B6D" w:rsidRDefault="00110B6D" w:rsidP="00110B6D"/>
    <w:p w14:paraId="1640D38A" w14:textId="20231EE6" w:rsidR="00110B6D" w:rsidRDefault="00110B6D" w:rsidP="00110B6D">
      <w:pPr>
        <w:ind w:left="360"/>
      </w:pPr>
      <w:r w:rsidRPr="00B03CAC">
        <w:t>Summary</w:t>
      </w:r>
      <w:r>
        <w:t>:</w:t>
      </w:r>
      <w:r w:rsidR="00B03CAC">
        <w:t xml:space="preserve"> </w:t>
      </w:r>
      <w:r w:rsidR="00B03CAC" w:rsidRPr="00B03CAC">
        <w:t>News report of a series of studies designed to determine the long-term effects of treating babies born via cesarean with maternal vaginal swabs. Critics warned of sparse supporting data and substantial health risks</w:t>
      </w:r>
      <w:r w:rsidR="00B03CAC">
        <w:t>.</w:t>
      </w:r>
    </w:p>
    <w:p w14:paraId="491C732A" w14:textId="500003D0" w:rsidR="00110B6D" w:rsidRDefault="00110B6D" w:rsidP="001C23C4">
      <w:pPr>
        <w:ind w:left="360"/>
      </w:pPr>
    </w:p>
    <w:p w14:paraId="1300025C" w14:textId="03D44542" w:rsidR="00110B6D" w:rsidRDefault="009A4820" w:rsidP="00110B6D">
      <w:pPr>
        <w:pStyle w:val="ListParagraph"/>
        <w:numPr>
          <w:ilvl w:val="0"/>
          <w:numId w:val="1"/>
        </w:numPr>
        <w:ind w:hanging="450"/>
      </w:pPr>
      <w:proofErr w:type="spellStart"/>
      <w:r w:rsidRPr="009A4820">
        <w:t>Ree</w:t>
      </w:r>
      <w:proofErr w:type="spellEnd"/>
      <w:r w:rsidRPr="009A4820">
        <w:t xml:space="preserve">, A., Nilsen, K. B., </w:t>
      </w:r>
      <w:proofErr w:type="spellStart"/>
      <w:r w:rsidRPr="009A4820">
        <w:t>Knardahl</w:t>
      </w:r>
      <w:proofErr w:type="spellEnd"/>
      <w:r w:rsidRPr="009A4820">
        <w:t xml:space="preserve">, S., Sand, T., &amp; </w:t>
      </w:r>
      <w:proofErr w:type="spellStart"/>
      <w:r w:rsidRPr="009A4820">
        <w:t>Matre</w:t>
      </w:r>
      <w:proofErr w:type="spellEnd"/>
      <w:r w:rsidRPr="009A4820">
        <w:t>, D. (2020). Sleep restriction does not potentiate nocebo</w:t>
      </w:r>
      <w:r w:rsidRPr="009A4820">
        <w:rPr>
          <w:rFonts w:ascii="Cambria Math" w:hAnsi="Cambria Math" w:cs="Cambria Math"/>
        </w:rPr>
        <w:t>‐</w:t>
      </w:r>
      <w:r w:rsidRPr="009A4820">
        <w:t xml:space="preserve">induced changes in pain and cortical potentials. </w:t>
      </w:r>
      <w:r w:rsidRPr="009A4820">
        <w:rPr>
          <w:i/>
          <w:iCs/>
        </w:rPr>
        <w:t>European Journal of Pain</w:t>
      </w:r>
      <w:r w:rsidRPr="009A4820">
        <w:t xml:space="preserve">, </w:t>
      </w:r>
      <w:r w:rsidRPr="00197910">
        <w:rPr>
          <w:i/>
          <w:iCs/>
        </w:rPr>
        <w:t>24</w:t>
      </w:r>
      <w:r w:rsidRPr="009A4820">
        <w:t>(1), 110–121. https://doi.org/10.1002/ejp.1466</w:t>
      </w:r>
      <w:r>
        <w:t>.</w:t>
      </w:r>
    </w:p>
    <w:p w14:paraId="026739AD" w14:textId="77777777" w:rsidR="00110B6D" w:rsidRDefault="00110B6D" w:rsidP="00110B6D"/>
    <w:p w14:paraId="4D1C4271" w14:textId="4B71F122" w:rsidR="00110B6D" w:rsidRPr="00F86F57" w:rsidRDefault="00110B6D" w:rsidP="00110B6D">
      <w:pPr>
        <w:ind w:left="360"/>
      </w:pPr>
      <w:r w:rsidRPr="00F86F57">
        <w:t>Summary:</w:t>
      </w:r>
      <w:r w:rsidR="00FE56EF" w:rsidRPr="00F86F57">
        <w:t xml:space="preserve"> Crossover study suggesting that sleep restriction does not facilitate nocebo-induced hyperalgesia. Increased sensitivity of the pain system following nocebo and sleep restriction are mediated by different cortical mechanisms,</w:t>
      </w:r>
    </w:p>
    <w:p w14:paraId="2B9F229F" w14:textId="502DC36A" w:rsidR="00110B6D" w:rsidRPr="00F86F57" w:rsidRDefault="00110B6D" w:rsidP="001C23C4">
      <w:pPr>
        <w:ind w:left="360"/>
      </w:pPr>
    </w:p>
    <w:p w14:paraId="7620436B" w14:textId="51F3F44E" w:rsidR="00110B6D" w:rsidRPr="00F86F57" w:rsidRDefault="00AE72D4" w:rsidP="00110B6D">
      <w:pPr>
        <w:pStyle w:val="ListParagraph"/>
        <w:numPr>
          <w:ilvl w:val="0"/>
          <w:numId w:val="1"/>
        </w:numPr>
        <w:ind w:hanging="450"/>
      </w:pPr>
      <w:r w:rsidRPr="00F86F57">
        <w:t xml:space="preserve">Reed, R. L., Chang, C., &amp; Perlman, J. M. (2020). Perinatal characteristics and delivery room management of infants born through MSAF. </w:t>
      </w:r>
      <w:r w:rsidRPr="00F86F57">
        <w:rPr>
          <w:i/>
          <w:iCs/>
        </w:rPr>
        <w:t>Resuscitation</w:t>
      </w:r>
      <w:r w:rsidRPr="00F86F57">
        <w:t xml:space="preserve">, </w:t>
      </w:r>
      <w:r w:rsidRPr="00197910">
        <w:rPr>
          <w:i/>
          <w:iCs/>
        </w:rPr>
        <w:t>157</w:t>
      </w:r>
      <w:r w:rsidRPr="00F86F57">
        <w:t>, 99–105. https://doi.org/10.1016/j.resuscitation.2020.10.008.</w:t>
      </w:r>
    </w:p>
    <w:p w14:paraId="4EC757E8" w14:textId="77777777" w:rsidR="00110B6D" w:rsidRPr="00F86F57" w:rsidRDefault="00110B6D" w:rsidP="00110B6D"/>
    <w:p w14:paraId="508438D2" w14:textId="1EDEB62C" w:rsidR="00110B6D" w:rsidRPr="00F86F57" w:rsidRDefault="00110B6D" w:rsidP="00110B6D">
      <w:pPr>
        <w:ind w:left="360"/>
      </w:pPr>
      <w:r w:rsidRPr="00F86F57">
        <w:t>Summary:</w:t>
      </w:r>
      <w:r w:rsidR="00FE56EF" w:rsidRPr="00F86F57">
        <w:t xml:space="preserve"> Non-vigorous infants delivered through thick versus thin meconium were more likely to be intubated with a high yield of recovery. Severe pulmonary morbidity was uncommon. Most respiratory symptomatology was not related to meconium aspiration syndrome.</w:t>
      </w:r>
    </w:p>
    <w:p w14:paraId="06AEAC9A" w14:textId="7B84AC73" w:rsidR="00110B6D" w:rsidRPr="00F86F57" w:rsidRDefault="00110B6D" w:rsidP="001C23C4">
      <w:pPr>
        <w:ind w:left="360"/>
      </w:pPr>
    </w:p>
    <w:p w14:paraId="30BE5079" w14:textId="01DDC68B" w:rsidR="00110B6D" w:rsidRPr="00F86F57" w:rsidRDefault="00D751DC" w:rsidP="00110B6D">
      <w:pPr>
        <w:pStyle w:val="ListParagraph"/>
        <w:numPr>
          <w:ilvl w:val="0"/>
          <w:numId w:val="1"/>
        </w:numPr>
        <w:ind w:hanging="450"/>
      </w:pPr>
      <w:r w:rsidRPr="00F86F57">
        <w:t xml:space="preserve">Richardson, M. G., &amp; Raymond, B. L. (2020). </w:t>
      </w:r>
      <w:proofErr w:type="spellStart"/>
      <w:r w:rsidRPr="00F86F57">
        <w:t>Sugammadex</w:t>
      </w:r>
      <w:proofErr w:type="spellEnd"/>
      <w:r w:rsidRPr="00F86F57">
        <w:t xml:space="preserve"> administration in pregnant women and in women of reproductive potential: a narrative review. </w:t>
      </w:r>
      <w:r w:rsidRPr="00F86F57">
        <w:rPr>
          <w:i/>
          <w:iCs/>
        </w:rPr>
        <w:t>Anesthesia and Analgesia</w:t>
      </w:r>
      <w:r w:rsidRPr="00F86F57">
        <w:t xml:space="preserve">, </w:t>
      </w:r>
      <w:r w:rsidRPr="00197910">
        <w:rPr>
          <w:i/>
          <w:iCs/>
        </w:rPr>
        <w:t>130</w:t>
      </w:r>
      <w:r w:rsidRPr="00F86F57">
        <w:t>(6), 1628–1637. https://doi.org/10.1213/ANE.0000000000004305.</w:t>
      </w:r>
    </w:p>
    <w:p w14:paraId="1021EC68" w14:textId="77777777" w:rsidR="00110B6D" w:rsidRPr="00F86F57" w:rsidRDefault="00110B6D" w:rsidP="00110B6D"/>
    <w:p w14:paraId="0076F8F9" w14:textId="00FF0CFF" w:rsidR="00110B6D" w:rsidRPr="00F86F57" w:rsidRDefault="00110B6D" w:rsidP="00110B6D">
      <w:pPr>
        <w:ind w:left="360"/>
      </w:pPr>
      <w:r w:rsidRPr="00F86F57">
        <w:t>Summary:</w:t>
      </w:r>
      <w:r w:rsidR="00FE56EF" w:rsidRPr="00F86F57">
        <w:t xml:space="preserve"> A review highlighting disparities in evidence regarding </w:t>
      </w:r>
      <w:proofErr w:type="spellStart"/>
      <w:r w:rsidR="00FE56EF" w:rsidRPr="00F86F57">
        <w:t>sugammadex</w:t>
      </w:r>
      <w:proofErr w:type="spellEnd"/>
      <w:r w:rsidR="00FE56EF" w:rsidRPr="00F86F57">
        <w:t xml:space="preserve"> use in female reproductive health, including current research gaps that prevent women from sharing in the benefits of </w:t>
      </w:r>
      <w:proofErr w:type="spellStart"/>
      <w:r w:rsidR="00FE56EF" w:rsidRPr="00F86F57">
        <w:t>sugammadex</w:t>
      </w:r>
      <w:proofErr w:type="spellEnd"/>
      <w:r w:rsidR="00FE56EF" w:rsidRPr="00F86F57">
        <w:t xml:space="preserve"> enjoyed by most perioperative patients.</w:t>
      </w:r>
    </w:p>
    <w:p w14:paraId="2BD8A1A7" w14:textId="6F3A1BDB" w:rsidR="00110B6D" w:rsidRPr="00F86F57" w:rsidRDefault="00110B6D" w:rsidP="001C23C4">
      <w:pPr>
        <w:ind w:left="360"/>
      </w:pPr>
    </w:p>
    <w:p w14:paraId="251E9040" w14:textId="0AFDB326" w:rsidR="00110B6D" w:rsidRPr="00F86F57" w:rsidRDefault="009F5E90" w:rsidP="00110B6D">
      <w:pPr>
        <w:pStyle w:val="ListParagraph"/>
        <w:numPr>
          <w:ilvl w:val="0"/>
          <w:numId w:val="1"/>
        </w:numPr>
        <w:ind w:hanging="450"/>
      </w:pPr>
      <w:proofErr w:type="spellStart"/>
      <w:r w:rsidRPr="00F86F57">
        <w:lastRenderedPageBreak/>
        <w:t>Rosseland</w:t>
      </w:r>
      <w:proofErr w:type="spellEnd"/>
      <w:r w:rsidRPr="00F86F57">
        <w:t xml:space="preserve">, L. A., </w:t>
      </w:r>
      <w:proofErr w:type="spellStart"/>
      <w:r w:rsidRPr="00F86F57">
        <w:t>Reme</w:t>
      </w:r>
      <w:proofErr w:type="spellEnd"/>
      <w:r w:rsidRPr="00F86F57">
        <w:t xml:space="preserve">, S. E., Simonsen, T. B., </w:t>
      </w:r>
      <w:proofErr w:type="spellStart"/>
      <w:r w:rsidRPr="00F86F57">
        <w:t>Thoresen</w:t>
      </w:r>
      <w:proofErr w:type="spellEnd"/>
      <w:r w:rsidRPr="00F86F57">
        <w:t xml:space="preserve">, M., Nielsen, C. S., &amp; Gran, M. E. (2020). Are labor pain and birth experience associated with persistent pain and postpartum depression? A prospective cohort </w:t>
      </w:r>
      <w:proofErr w:type="gramStart"/>
      <w:r w:rsidRPr="00F86F57">
        <w:t>study</w:t>
      </w:r>
      <w:proofErr w:type="gramEnd"/>
      <w:r w:rsidRPr="00F86F57">
        <w:t>. </w:t>
      </w:r>
      <w:r w:rsidRPr="00F86F57">
        <w:rPr>
          <w:i/>
          <w:iCs/>
        </w:rPr>
        <w:t>Scandinavian Journal of Pain</w:t>
      </w:r>
      <w:r w:rsidRPr="00F86F57">
        <w:t>, </w:t>
      </w:r>
      <w:r w:rsidRPr="00F86F57">
        <w:rPr>
          <w:i/>
          <w:iCs/>
        </w:rPr>
        <w:t>20</w:t>
      </w:r>
      <w:r w:rsidRPr="00F86F57">
        <w:t>(3), 591–602. https://doi.org/10.1515/sjpain-2020-0025.</w:t>
      </w:r>
    </w:p>
    <w:p w14:paraId="2090BB06" w14:textId="77777777" w:rsidR="00110B6D" w:rsidRPr="00F86F57" w:rsidRDefault="00110B6D" w:rsidP="00110B6D"/>
    <w:p w14:paraId="6B638B80" w14:textId="205008B2" w:rsidR="00110B6D" w:rsidRDefault="00110B6D" w:rsidP="00110B6D">
      <w:pPr>
        <w:ind w:left="360"/>
      </w:pPr>
      <w:r w:rsidRPr="00F86F57">
        <w:t>Summary:</w:t>
      </w:r>
      <w:r w:rsidR="00FE56EF" w:rsidRPr="00F86F57">
        <w:t xml:space="preserve"> The relationship between labor pain intensity and postpartum pain and depression are unclear; nevertheless, the</w:t>
      </w:r>
      <w:r w:rsidR="00FE56EF" w:rsidRPr="00FE56EF">
        <w:t xml:space="preserve"> findings suggest a need to screen for previous depression and chronic pain in pregnant </w:t>
      </w:r>
      <w:r w:rsidR="00F86F57" w:rsidRPr="00FE56EF">
        <w:t>women and</w:t>
      </w:r>
      <w:r w:rsidR="00FE56EF" w:rsidRPr="00FE56EF">
        <w:t xml:space="preserve"> consider preventive measures for those who screen positive</w:t>
      </w:r>
      <w:r w:rsidR="00FE56EF">
        <w:t>.</w:t>
      </w:r>
    </w:p>
    <w:p w14:paraId="234B91A1" w14:textId="64EBA1C9" w:rsidR="00110B6D" w:rsidRDefault="00110B6D" w:rsidP="001C23C4">
      <w:pPr>
        <w:ind w:left="360"/>
      </w:pPr>
    </w:p>
    <w:p w14:paraId="31AE0E96" w14:textId="4E55A531" w:rsidR="00110B6D" w:rsidRDefault="00FC6D8C" w:rsidP="00110B6D">
      <w:pPr>
        <w:pStyle w:val="ListParagraph"/>
        <w:numPr>
          <w:ilvl w:val="0"/>
          <w:numId w:val="1"/>
        </w:numPr>
        <w:ind w:hanging="450"/>
      </w:pPr>
      <w:r w:rsidRPr="00FC6D8C">
        <w:t xml:space="preserve">Shao, Y., Forster, S. C., </w:t>
      </w:r>
      <w:proofErr w:type="spellStart"/>
      <w:r w:rsidRPr="00FC6D8C">
        <w:t>Tsaliki</w:t>
      </w:r>
      <w:proofErr w:type="spellEnd"/>
      <w:r w:rsidRPr="00FC6D8C">
        <w:t xml:space="preserve">, E., </w:t>
      </w:r>
      <w:proofErr w:type="spellStart"/>
      <w:r w:rsidRPr="00FC6D8C">
        <w:t>Vervier</w:t>
      </w:r>
      <w:proofErr w:type="spellEnd"/>
      <w:r w:rsidRPr="00FC6D8C">
        <w:t xml:space="preserve">, K., Strang, A., Simpson, N., Kumar, N., Stares, M. D., Rodger, A., Brocklehurst, P., Field, N., &amp; Lawley, T. D. (2019). Stunted microbiota and opportunistic pathogen colonization in caesarean-section birth. </w:t>
      </w:r>
      <w:r w:rsidRPr="00FC6D8C">
        <w:rPr>
          <w:i/>
          <w:iCs/>
        </w:rPr>
        <w:t>Nature</w:t>
      </w:r>
      <w:r w:rsidRPr="00FC6D8C">
        <w:t xml:space="preserve"> (London), </w:t>
      </w:r>
      <w:r w:rsidRPr="00197910">
        <w:rPr>
          <w:i/>
          <w:iCs/>
        </w:rPr>
        <w:t>574</w:t>
      </w:r>
      <w:r w:rsidRPr="00FC6D8C">
        <w:t>(7776), 117–121. https://doi.org/10.1038/s41586-019-1560-1</w:t>
      </w:r>
      <w:r>
        <w:t>.</w:t>
      </w:r>
    </w:p>
    <w:p w14:paraId="7D726FDF" w14:textId="77777777" w:rsidR="00110B6D" w:rsidRDefault="00110B6D" w:rsidP="00110B6D"/>
    <w:p w14:paraId="2A3AC6FB" w14:textId="30A915A9" w:rsidR="00110B6D" w:rsidRDefault="00110B6D" w:rsidP="00110B6D">
      <w:pPr>
        <w:ind w:left="360"/>
      </w:pPr>
      <w:r w:rsidRPr="00B01B3E">
        <w:t>Summary</w:t>
      </w:r>
      <w:r>
        <w:t>:</w:t>
      </w:r>
      <w:r w:rsidR="00B01B3E">
        <w:t xml:space="preserve"> </w:t>
      </w:r>
      <w:r w:rsidR="00B01B3E" w:rsidRPr="00B01B3E">
        <w:t>A longitudinal sampling and whole-genome shotgun metagenomic analysis suggesting that mode of delivery affects the composition of the gut microbiota throughout the neonatal period and into infancy</w:t>
      </w:r>
      <w:r w:rsidR="00B01B3E">
        <w:t>.</w:t>
      </w:r>
    </w:p>
    <w:p w14:paraId="3EAA98A0" w14:textId="2BF06686" w:rsidR="00110B6D" w:rsidRDefault="00110B6D" w:rsidP="001C23C4">
      <w:pPr>
        <w:ind w:left="360"/>
      </w:pPr>
    </w:p>
    <w:p w14:paraId="6B239265" w14:textId="1A2FFC51" w:rsidR="00110B6D" w:rsidRDefault="008F0E0C" w:rsidP="00110B6D">
      <w:pPr>
        <w:pStyle w:val="ListParagraph"/>
        <w:numPr>
          <w:ilvl w:val="0"/>
          <w:numId w:val="1"/>
        </w:numPr>
        <w:ind w:hanging="450"/>
      </w:pPr>
      <w:r w:rsidRPr="008F0E0C">
        <w:t xml:space="preserve">Shen, D., Hasegawa-Moriyama, M., Ishida, K., </w:t>
      </w:r>
      <w:proofErr w:type="spellStart"/>
      <w:r w:rsidRPr="008F0E0C">
        <w:t>Fuseya</w:t>
      </w:r>
      <w:proofErr w:type="spellEnd"/>
      <w:r w:rsidRPr="008F0E0C">
        <w:t xml:space="preserve">, S., Tanaka, S., &amp; </w:t>
      </w:r>
      <w:proofErr w:type="spellStart"/>
      <w:r w:rsidRPr="008F0E0C">
        <w:t>Kawamata</w:t>
      </w:r>
      <w:proofErr w:type="spellEnd"/>
      <w:r w:rsidRPr="008F0E0C">
        <w:t xml:space="preserve">, M. (2020). Acute postoperative pain is correlated with the early onset of postpartum depression after cesarean section: a retrospective cohort study. </w:t>
      </w:r>
      <w:r w:rsidRPr="00D82A6C">
        <w:rPr>
          <w:i/>
          <w:iCs/>
        </w:rPr>
        <w:t>Journal of Anesthesia</w:t>
      </w:r>
      <w:r w:rsidRPr="008F0E0C">
        <w:t xml:space="preserve">, </w:t>
      </w:r>
      <w:r w:rsidRPr="00197910">
        <w:rPr>
          <w:i/>
          <w:iCs/>
        </w:rPr>
        <w:t>34</w:t>
      </w:r>
      <w:r w:rsidRPr="008F0E0C">
        <w:t>(4), 607–612. https://doi.org/10.1007/s00540-020-02789-5</w:t>
      </w:r>
      <w:r>
        <w:t>.</w:t>
      </w:r>
    </w:p>
    <w:p w14:paraId="4EB428C6" w14:textId="77777777" w:rsidR="00110B6D" w:rsidRDefault="00110B6D" w:rsidP="00110B6D"/>
    <w:p w14:paraId="708D05F9" w14:textId="72CCCCCD" w:rsidR="00110B6D" w:rsidRDefault="00110B6D" w:rsidP="00110B6D">
      <w:pPr>
        <w:ind w:left="360"/>
      </w:pPr>
      <w:r w:rsidRPr="006B7B6B">
        <w:t>Summary</w:t>
      </w:r>
      <w:r>
        <w:t>:</w:t>
      </w:r>
      <w:r w:rsidR="006B7B6B">
        <w:t xml:space="preserve"> </w:t>
      </w:r>
      <w:r w:rsidR="006B7B6B" w:rsidRPr="006B7B6B">
        <w:t>A retrospective review of 615 women who had undergone cesarean found that the severity of acute postoperative pain was higher in women with than in those without postpartum depression on postoperative day 3</w:t>
      </w:r>
      <w:r w:rsidR="006B7B6B">
        <w:t>.</w:t>
      </w:r>
    </w:p>
    <w:p w14:paraId="4099E644" w14:textId="6D2B1DB0" w:rsidR="00110B6D" w:rsidRDefault="00110B6D" w:rsidP="001C23C4">
      <w:pPr>
        <w:ind w:left="360"/>
      </w:pPr>
    </w:p>
    <w:p w14:paraId="1C359257" w14:textId="2C7CC97E" w:rsidR="00CC647F" w:rsidRDefault="00CC647F" w:rsidP="00110B6D">
      <w:pPr>
        <w:pStyle w:val="ListParagraph"/>
        <w:numPr>
          <w:ilvl w:val="0"/>
          <w:numId w:val="1"/>
        </w:numPr>
        <w:ind w:hanging="450"/>
      </w:pPr>
      <w:r w:rsidRPr="00CC647F">
        <w:t>Shukla</w:t>
      </w:r>
      <w:r>
        <w:t>,</w:t>
      </w:r>
      <w:r w:rsidRPr="00CC647F">
        <w:t xml:space="preserve"> V</w:t>
      </w:r>
      <w:r>
        <w:t>.</w:t>
      </w:r>
      <w:r w:rsidRPr="00CC647F">
        <w:t>, Eggleston</w:t>
      </w:r>
      <w:r>
        <w:t>,</w:t>
      </w:r>
      <w:r w:rsidRPr="00CC647F">
        <w:t xml:space="preserve"> B</w:t>
      </w:r>
      <w:r>
        <w:t>.</w:t>
      </w:r>
      <w:r w:rsidRPr="00CC647F">
        <w:t xml:space="preserve">, </w:t>
      </w:r>
      <w:proofErr w:type="spellStart"/>
      <w:r w:rsidRPr="00CC647F">
        <w:t>Ambalavanan</w:t>
      </w:r>
      <w:proofErr w:type="spellEnd"/>
      <w:r w:rsidRPr="00CC647F">
        <w:t xml:space="preserve"> N, et al. </w:t>
      </w:r>
      <w:r>
        <w:t xml:space="preserve">(2020). </w:t>
      </w:r>
      <w:r w:rsidRPr="00CC647F">
        <w:t>Predictive modeling for perinatal mortality in resource-limited settings. </w:t>
      </w:r>
      <w:r w:rsidRPr="00CC647F">
        <w:rPr>
          <w:i/>
          <w:iCs/>
        </w:rPr>
        <w:t>JAMA Netw</w:t>
      </w:r>
      <w:r>
        <w:rPr>
          <w:i/>
          <w:iCs/>
        </w:rPr>
        <w:t>ork</w:t>
      </w:r>
      <w:r w:rsidRPr="00CC647F">
        <w:rPr>
          <w:i/>
          <w:iCs/>
        </w:rPr>
        <w:t xml:space="preserve"> Open</w:t>
      </w:r>
      <w:r>
        <w:rPr>
          <w:i/>
          <w:iCs/>
        </w:rPr>
        <w:t>.</w:t>
      </w:r>
      <w:r w:rsidRPr="00CC647F">
        <w:t> </w:t>
      </w:r>
      <w:r w:rsidRPr="00CC647F">
        <w:rPr>
          <w:i/>
          <w:iCs/>
        </w:rPr>
        <w:t>3</w:t>
      </w:r>
      <w:r w:rsidRPr="00CC647F">
        <w:t>(11</w:t>
      </w:r>
      <w:proofErr w:type="gramStart"/>
      <w:r w:rsidRPr="00CC647F">
        <w:t>):e</w:t>
      </w:r>
      <w:proofErr w:type="gramEnd"/>
      <w:r w:rsidRPr="00CC647F">
        <w:t>2026750. doi:10.1001/jamanetworkopen.2020.26750</w:t>
      </w:r>
      <w:r>
        <w:t>.</w:t>
      </w:r>
    </w:p>
    <w:p w14:paraId="10BD097C" w14:textId="57CDDD4D" w:rsidR="00CC647F" w:rsidRDefault="00CC647F" w:rsidP="00CC647F"/>
    <w:p w14:paraId="0FAFBF9F" w14:textId="1E0F03D1" w:rsidR="00CC647F" w:rsidRDefault="00CC647F" w:rsidP="00CC647F">
      <w:pPr>
        <w:ind w:left="360"/>
      </w:pPr>
      <w:r>
        <w:t xml:space="preserve">Summary: </w:t>
      </w:r>
      <w:r w:rsidRPr="00CC647F">
        <w:t>Cohort study showing that models based on prenatal or predelivery data had relatively poor predictive accuracy for intrapartum stillbirths and neonatal mortality. Models incorporating delivery data had better predictive accuracy</w:t>
      </w:r>
      <w:r w:rsidR="00824D42">
        <w:t>.</w:t>
      </w:r>
    </w:p>
    <w:p w14:paraId="41121B81" w14:textId="77777777" w:rsidR="00824D42" w:rsidRDefault="00824D42" w:rsidP="00CC647F">
      <w:pPr>
        <w:ind w:left="360"/>
      </w:pPr>
    </w:p>
    <w:p w14:paraId="29AE00DE" w14:textId="053D5013" w:rsidR="005B570B" w:rsidRDefault="005B570B" w:rsidP="00110B6D">
      <w:pPr>
        <w:pStyle w:val="ListParagraph"/>
        <w:numPr>
          <w:ilvl w:val="0"/>
          <w:numId w:val="1"/>
        </w:numPr>
        <w:ind w:hanging="450"/>
      </w:pPr>
      <w:r w:rsidRPr="005B570B">
        <w:t xml:space="preserve">Simpson, K. R. (2021). Surgeon General’s call to action to improve maternal health in </w:t>
      </w:r>
      <w:proofErr w:type="spellStart"/>
      <w:r w:rsidRPr="005B570B">
        <w:t>america</w:t>
      </w:r>
      <w:proofErr w:type="spellEnd"/>
      <w:r w:rsidRPr="005B570B">
        <w:t xml:space="preserve">. </w:t>
      </w:r>
      <w:r w:rsidRPr="005B570B">
        <w:rPr>
          <w:i/>
          <w:iCs/>
        </w:rPr>
        <w:t>MCN, the American Journal of Maternal Child Nursing</w:t>
      </w:r>
      <w:r w:rsidRPr="005B570B">
        <w:t xml:space="preserve">, </w:t>
      </w:r>
      <w:r w:rsidRPr="00197910">
        <w:rPr>
          <w:i/>
          <w:iCs/>
        </w:rPr>
        <w:t>46</w:t>
      </w:r>
      <w:r w:rsidRPr="005B570B">
        <w:t>(3), 184–184. https://doi.org/10.1097/NMC.0000000000000715</w:t>
      </w:r>
      <w:r>
        <w:t>.</w:t>
      </w:r>
    </w:p>
    <w:p w14:paraId="0E052DE4" w14:textId="39894119" w:rsidR="005B570B" w:rsidRDefault="005B570B" w:rsidP="005B570B"/>
    <w:p w14:paraId="61933C4A" w14:textId="7476C7C7" w:rsidR="005B570B" w:rsidRDefault="005B570B" w:rsidP="005B570B">
      <w:pPr>
        <w:ind w:left="360"/>
      </w:pPr>
      <w:r>
        <w:t xml:space="preserve">Summary: </w:t>
      </w:r>
      <w:r w:rsidRPr="005B570B">
        <w:t>Policy statement regarding strategies and actions to improve maternal health, stressing the importance of addressing health throughout life and engaging a variety of stakeholders</w:t>
      </w:r>
      <w:r>
        <w:t>.</w:t>
      </w:r>
    </w:p>
    <w:p w14:paraId="5A5FFA3B" w14:textId="77777777" w:rsidR="005B570B" w:rsidRDefault="005B570B" w:rsidP="005B570B">
      <w:pPr>
        <w:ind w:left="360"/>
      </w:pPr>
    </w:p>
    <w:p w14:paraId="7A14932C" w14:textId="433D81EC" w:rsidR="00110B6D" w:rsidRDefault="00BC2982" w:rsidP="00110B6D">
      <w:pPr>
        <w:pStyle w:val="ListParagraph"/>
        <w:numPr>
          <w:ilvl w:val="0"/>
          <w:numId w:val="1"/>
        </w:numPr>
        <w:ind w:hanging="450"/>
      </w:pPr>
      <w:proofErr w:type="spellStart"/>
      <w:r w:rsidRPr="00BC2982">
        <w:t>Sliwa</w:t>
      </w:r>
      <w:proofErr w:type="spellEnd"/>
      <w:r w:rsidRPr="00BC2982">
        <w:t xml:space="preserve">, K., Baris, L., Sinning, C., </w:t>
      </w:r>
      <w:proofErr w:type="spellStart"/>
      <w:r w:rsidRPr="00BC2982">
        <w:t>Zengin-Sahm</w:t>
      </w:r>
      <w:proofErr w:type="spellEnd"/>
      <w:r w:rsidRPr="00BC2982">
        <w:t xml:space="preserve">, E., </w:t>
      </w:r>
      <w:proofErr w:type="spellStart"/>
      <w:r w:rsidRPr="00BC2982">
        <w:t>Gumbiene</w:t>
      </w:r>
      <w:proofErr w:type="spellEnd"/>
      <w:r w:rsidRPr="00BC2982">
        <w:t xml:space="preserve">, L., Yaseen, I. F., Youssef, G., Johnson, M., Al-Farhan, H., </w:t>
      </w:r>
      <w:proofErr w:type="spellStart"/>
      <w:r w:rsidRPr="00BC2982">
        <w:t>Lelonek</w:t>
      </w:r>
      <w:proofErr w:type="spellEnd"/>
      <w:r w:rsidRPr="00BC2982">
        <w:t xml:space="preserve">, M., Hall, R., &amp; </w:t>
      </w:r>
      <w:proofErr w:type="spellStart"/>
      <w:r w:rsidRPr="00BC2982">
        <w:t>Roos-Hesselink</w:t>
      </w:r>
      <w:proofErr w:type="spellEnd"/>
      <w:r w:rsidRPr="00BC2982">
        <w:t xml:space="preserve">, J. (2020). pregnant women with uncorrected congenital heart disease: heart failure and mortality. </w:t>
      </w:r>
      <w:r w:rsidRPr="00BC2982">
        <w:rPr>
          <w:i/>
          <w:iCs/>
        </w:rPr>
        <w:t>JACC. Heart Failure</w:t>
      </w:r>
      <w:r w:rsidRPr="00BC2982">
        <w:t xml:space="preserve">, </w:t>
      </w:r>
      <w:r w:rsidRPr="00197910">
        <w:rPr>
          <w:i/>
          <w:iCs/>
        </w:rPr>
        <w:t>8</w:t>
      </w:r>
      <w:r w:rsidRPr="00BC2982">
        <w:t>(2), 100–110. https://doi.org/10.1016/j.jchf.2019.09.001</w:t>
      </w:r>
      <w:r>
        <w:t>.</w:t>
      </w:r>
    </w:p>
    <w:p w14:paraId="025F04CF" w14:textId="77777777" w:rsidR="00110B6D" w:rsidRDefault="00110B6D" w:rsidP="00110B6D"/>
    <w:p w14:paraId="12483C90" w14:textId="79377BBE" w:rsidR="00110B6D" w:rsidRDefault="00110B6D" w:rsidP="00110B6D">
      <w:pPr>
        <w:ind w:left="360"/>
      </w:pPr>
      <w:r w:rsidRPr="004A2DDA">
        <w:t>Summary</w:t>
      </w:r>
      <w:r>
        <w:t>:</w:t>
      </w:r>
      <w:r w:rsidR="004A2DDA">
        <w:t xml:space="preserve"> </w:t>
      </w:r>
      <w:r w:rsidR="004A2DDA" w:rsidRPr="004A2DDA">
        <w:t>10-year data from a European registry of pregnant women with uncorrected congenital heart disease. Eisenmenger syndrome and delivery in developing countries was associated with mortality and heart failure</w:t>
      </w:r>
      <w:r w:rsidR="004A2DDA">
        <w:t>.</w:t>
      </w:r>
    </w:p>
    <w:p w14:paraId="2A1EC912" w14:textId="78481F1A" w:rsidR="00110B6D" w:rsidRDefault="00110B6D" w:rsidP="001C23C4">
      <w:pPr>
        <w:ind w:left="360"/>
      </w:pPr>
    </w:p>
    <w:p w14:paraId="41B92643" w14:textId="60F3ED43" w:rsidR="00110B6D" w:rsidRDefault="008C54DF" w:rsidP="00110B6D">
      <w:pPr>
        <w:pStyle w:val="ListParagraph"/>
        <w:numPr>
          <w:ilvl w:val="0"/>
          <w:numId w:val="1"/>
        </w:numPr>
        <w:ind w:hanging="450"/>
      </w:pPr>
      <w:r w:rsidRPr="008C54DF">
        <w:t xml:space="preserve">Stower, H. (2020). Lack of maternal-fetal SARS-CoV-2 transmission. </w:t>
      </w:r>
      <w:r w:rsidRPr="008C54DF">
        <w:rPr>
          <w:i/>
          <w:iCs/>
        </w:rPr>
        <w:t>Nature Medicine</w:t>
      </w:r>
      <w:r w:rsidRPr="008C54DF">
        <w:t xml:space="preserve">, </w:t>
      </w:r>
      <w:r w:rsidRPr="00197910">
        <w:rPr>
          <w:i/>
          <w:iCs/>
        </w:rPr>
        <w:t>26</w:t>
      </w:r>
      <w:r w:rsidRPr="008C54DF">
        <w:t>(3), 312–312. https://doi.org/10.1038/s41591-020-0810-y</w:t>
      </w:r>
      <w:r>
        <w:t>.</w:t>
      </w:r>
    </w:p>
    <w:p w14:paraId="76FDB999" w14:textId="77777777" w:rsidR="00110B6D" w:rsidRDefault="00110B6D" w:rsidP="00110B6D"/>
    <w:p w14:paraId="7EC60A94" w14:textId="262060C0" w:rsidR="00110B6D" w:rsidRDefault="00110B6D" w:rsidP="00110B6D">
      <w:pPr>
        <w:ind w:left="360"/>
      </w:pPr>
      <w:r w:rsidRPr="004A2DDA">
        <w:lastRenderedPageBreak/>
        <w:t>Summary</w:t>
      </w:r>
      <w:r>
        <w:t>:</w:t>
      </w:r>
      <w:r w:rsidR="004A2DDA">
        <w:t xml:space="preserve"> </w:t>
      </w:r>
      <w:r w:rsidR="004A2DDA" w:rsidRPr="004A2DDA">
        <w:t xml:space="preserve">Report of a study in the Lancet that found that symptoms in pregnant women with COVID-19 clinical symptoms were </w:t>
      </w:r>
      <w:proofErr w:type="gramStart"/>
      <w:r w:rsidR="004A2DDA" w:rsidRPr="004A2DDA">
        <w:t>similar to</w:t>
      </w:r>
      <w:proofErr w:type="gramEnd"/>
      <w:r w:rsidR="004A2DDA" w:rsidRPr="004A2DDA">
        <w:t xml:space="preserve"> those of non-pregnant adults and that there was no indication of vertical transmission to children</w:t>
      </w:r>
      <w:r w:rsidR="004A2DDA">
        <w:t>.</w:t>
      </w:r>
    </w:p>
    <w:p w14:paraId="01DE2189" w14:textId="0E90D478" w:rsidR="00110B6D" w:rsidRDefault="00110B6D" w:rsidP="001C23C4">
      <w:pPr>
        <w:ind w:left="360"/>
      </w:pPr>
    </w:p>
    <w:p w14:paraId="099D9FE8" w14:textId="4709BD66" w:rsidR="00110B6D" w:rsidRDefault="00FD474F" w:rsidP="00110B6D">
      <w:pPr>
        <w:pStyle w:val="ListParagraph"/>
        <w:numPr>
          <w:ilvl w:val="0"/>
          <w:numId w:val="1"/>
        </w:numPr>
        <w:ind w:hanging="450"/>
      </w:pPr>
      <w:r w:rsidRPr="00FD474F">
        <w:t xml:space="preserve">Sultan, P., Kamath, N., Carvalho, B., Bansal, P., </w:t>
      </w:r>
      <w:proofErr w:type="spellStart"/>
      <w:r w:rsidRPr="00FD474F">
        <w:t>Elkhateb</w:t>
      </w:r>
      <w:proofErr w:type="spellEnd"/>
      <w:r w:rsidRPr="00FD474F">
        <w:t xml:space="preserve">, R., Dougan, S., Whittington, J., Guo, N., El-Sayed, Y., </w:t>
      </w:r>
      <w:proofErr w:type="spellStart"/>
      <w:r w:rsidRPr="00FD474F">
        <w:t>Mhyre</w:t>
      </w:r>
      <w:proofErr w:type="spellEnd"/>
      <w:r w:rsidRPr="00FD474F">
        <w:t xml:space="preserve">, J., &amp; </w:t>
      </w:r>
      <w:proofErr w:type="spellStart"/>
      <w:r w:rsidRPr="00FD474F">
        <w:t>Sharawi</w:t>
      </w:r>
      <w:proofErr w:type="spellEnd"/>
      <w:r w:rsidRPr="00FD474F">
        <w:t xml:space="preserve">, N. (2020). Evaluation of inpatient postpartum recovery using the Obstetric Quality of Recovery-10 patient-reported outcome measure: a single-center observational study. </w:t>
      </w:r>
      <w:r w:rsidRPr="00FD474F">
        <w:rPr>
          <w:i/>
          <w:iCs/>
        </w:rPr>
        <w:t xml:space="preserve">American Journal </w:t>
      </w:r>
      <w:proofErr w:type="gramStart"/>
      <w:r w:rsidRPr="00FD474F">
        <w:rPr>
          <w:i/>
          <w:iCs/>
        </w:rPr>
        <w:t>Of</w:t>
      </w:r>
      <w:proofErr w:type="gramEnd"/>
      <w:r w:rsidRPr="00FD474F">
        <w:rPr>
          <w:i/>
          <w:iCs/>
        </w:rPr>
        <w:t xml:space="preserve"> Obstetrics &amp; Gynecology MFM</w:t>
      </w:r>
      <w:r w:rsidRPr="00FD474F">
        <w:t xml:space="preserve">, </w:t>
      </w:r>
      <w:r w:rsidRPr="00197910">
        <w:rPr>
          <w:i/>
          <w:iCs/>
        </w:rPr>
        <w:t>2</w:t>
      </w:r>
      <w:r w:rsidRPr="00FD474F">
        <w:t>(4), 100202. https://doi.org/10.1016/j.ajogmf.2020.100202</w:t>
      </w:r>
      <w:r>
        <w:t>.</w:t>
      </w:r>
    </w:p>
    <w:p w14:paraId="7F0C417F" w14:textId="77777777" w:rsidR="00110B6D" w:rsidRDefault="00110B6D" w:rsidP="00110B6D"/>
    <w:p w14:paraId="1439AA83" w14:textId="2DD85457" w:rsidR="00110B6D" w:rsidRPr="004F451E" w:rsidRDefault="00110B6D" w:rsidP="00110B6D">
      <w:pPr>
        <w:ind w:left="360"/>
      </w:pPr>
      <w:r w:rsidRPr="004F451E">
        <w:t>Summary:</w:t>
      </w:r>
      <w:r w:rsidR="00DD227E" w:rsidRPr="004F451E">
        <w:t xml:space="preserve"> Validity testing of the Obstetric Quality of Recovery-10 patient-reported outcome measure. Vaginal delivery appears superior to cesarean with respect to recovery and the outcome measure appears to be valid.</w:t>
      </w:r>
    </w:p>
    <w:p w14:paraId="6533A714" w14:textId="034F235C" w:rsidR="00110B6D" w:rsidRPr="004F451E" w:rsidRDefault="00110B6D" w:rsidP="001C23C4">
      <w:pPr>
        <w:ind w:left="360"/>
      </w:pPr>
    </w:p>
    <w:p w14:paraId="02C00C4C" w14:textId="01005CCF" w:rsidR="00110B6D" w:rsidRPr="004F451E" w:rsidRDefault="00B16880" w:rsidP="00110B6D">
      <w:pPr>
        <w:pStyle w:val="ListParagraph"/>
        <w:numPr>
          <w:ilvl w:val="0"/>
          <w:numId w:val="1"/>
        </w:numPr>
        <w:ind w:hanging="450"/>
      </w:pPr>
      <w:r w:rsidRPr="004F451E">
        <w:t xml:space="preserve">Sultan, P., &amp; Segal, S. (2020). Epidural-related maternal fever: still a hot topic, but what are the burning issues? </w:t>
      </w:r>
      <w:r w:rsidRPr="004F451E">
        <w:rPr>
          <w:i/>
          <w:iCs/>
        </w:rPr>
        <w:t>Anesthesia and Analgesia</w:t>
      </w:r>
      <w:r w:rsidRPr="004F451E">
        <w:t xml:space="preserve">, </w:t>
      </w:r>
      <w:r w:rsidRPr="00197910">
        <w:rPr>
          <w:i/>
          <w:iCs/>
        </w:rPr>
        <w:t>130</w:t>
      </w:r>
      <w:r w:rsidRPr="004F451E">
        <w:t>(2), 318–320. https://doi.org/10.1213/ANE.0000000000004576.</w:t>
      </w:r>
    </w:p>
    <w:p w14:paraId="1CA46F31" w14:textId="77777777" w:rsidR="00110B6D" w:rsidRPr="004F451E" w:rsidRDefault="00110B6D" w:rsidP="00110B6D"/>
    <w:p w14:paraId="6B4A6B64" w14:textId="0A9D7E43" w:rsidR="00110B6D" w:rsidRDefault="00110B6D" w:rsidP="00110B6D">
      <w:pPr>
        <w:ind w:left="360"/>
      </w:pPr>
      <w:r w:rsidRPr="004F451E">
        <w:t>Summary</w:t>
      </w:r>
      <w:r>
        <w:t>:</w:t>
      </w:r>
      <w:r w:rsidR="004F451E">
        <w:t xml:space="preserve"> </w:t>
      </w:r>
      <w:r w:rsidR="004F451E" w:rsidRPr="004F451E">
        <w:t>Editorial of an accompanying in vitro study showing that ropivacaine triggers inflammatory cascades that may cause epidural-related maternal fever, suggesting that this condition may be caused by local anesthetics</w:t>
      </w:r>
      <w:r w:rsidR="004F451E">
        <w:t>.</w:t>
      </w:r>
    </w:p>
    <w:p w14:paraId="0E0C23A4" w14:textId="2106BBD7" w:rsidR="00110B6D" w:rsidRDefault="00110B6D" w:rsidP="001C23C4">
      <w:pPr>
        <w:ind w:left="360"/>
      </w:pPr>
    </w:p>
    <w:p w14:paraId="10695AE8" w14:textId="57C6F39A" w:rsidR="00110B6D" w:rsidRDefault="00696E06" w:rsidP="00110B6D">
      <w:pPr>
        <w:pStyle w:val="ListParagraph"/>
        <w:numPr>
          <w:ilvl w:val="0"/>
          <w:numId w:val="1"/>
        </w:numPr>
        <w:ind w:hanging="450"/>
      </w:pPr>
      <w:r w:rsidRPr="00696E06">
        <w:t xml:space="preserve">Sultan, P., Patel, S. D., </w:t>
      </w:r>
      <w:proofErr w:type="spellStart"/>
      <w:r w:rsidRPr="00696E06">
        <w:t>Jadin</w:t>
      </w:r>
      <w:proofErr w:type="spellEnd"/>
      <w:r w:rsidRPr="00696E06">
        <w:t xml:space="preserve">, S., Carvalho, B., &amp; Halpern, S. H. (2020). Transversus abdominis plane block compared with wound infiltration for postoperative analgesia following Cesarean delivery: a systematic review and network meta-analysis. </w:t>
      </w:r>
      <w:r w:rsidRPr="00696E06">
        <w:rPr>
          <w:i/>
          <w:iCs/>
        </w:rPr>
        <w:t>Canadian Journal of Anesthesia</w:t>
      </w:r>
      <w:r w:rsidRPr="00696E06">
        <w:t xml:space="preserve">, </w:t>
      </w:r>
      <w:r w:rsidRPr="00197910">
        <w:rPr>
          <w:i/>
          <w:iCs/>
        </w:rPr>
        <w:t>67</w:t>
      </w:r>
      <w:r w:rsidRPr="00696E06">
        <w:t>(12), 1710–1727. https://doi.org/10.1007/s12630-020-01818-x</w:t>
      </w:r>
      <w:r>
        <w:t>.</w:t>
      </w:r>
    </w:p>
    <w:p w14:paraId="34D13F7D" w14:textId="77777777" w:rsidR="00110B6D" w:rsidRDefault="00110B6D" w:rsidP="00110B6D"/>
    <w:p w14:paraId="5A7D63A5" w14:textId="5B4DF5DD" w:rsidR="00110B6D" w:rsidRDefault="00110B6D" w:rsidP="00110B6D">
      <w:pPr>
        <w:ind w:left="360"/>
      </w:pPr>
      <w:r w:rsidRPr="004F451E">
        <w:t>Summary</w:t>
      </w:r>
      <w:r>
        <w:t>:</w:t>
      </w:r>
      <w:r w:rsidR="00696E06">
        <w:t xml:space="preserve"> </w:t>
      </w:r>
      <w:r w:rsidR="004F451E" w:rsidRPr="004F451E">
        <w:t>Systematic review and meta-analysis suggesting that, in the absence of long-acting neuraxial opioid after cesarean section, single-dose transversus abdominis plane blocks are effective opioid-sparing strategies</w:t>
      </w:r>
      <w:r w:rsidR="004F451E">
        <w:t>.</w:t>
      </w:r>
    </w:p>
    <w:p w14:paraId="28BA6480" w14:textId="77777777" w:rsidR="00696E06" w:rsidRDefault="00696E06" w:rsidP="00110B6D">
      <w:pPr>
        <w:ind w:left="360"/>
      </w:pPr>
    </w:p>
    <w:p w14:paraId="22B18ECB" w14:textId="2A1B7DAA" w:rsidR="00696E06" w:rsidRDefault="0088456A" w:rsidP="00696E06">
      <w:pPr>
        <w:pStyle w:val="ListParagraph"/>
        <w:numPr>
          <w:ilvl w:val="0"/>
          <w:numId w:val="1"/>
        </w:numPr>
        <w:ind w:hanging="450"/>
      </w:pPr>
      <w:r w:rsidRPr="0088456A">
        <w:t xml:space="preserve">Sultan, P., </w:t>
      </w:r>
      <w:proofErr w:type="spellStart"/>
      <w:r w:rsidRPr="0088456A">
        <w:t>Sharawi</w:t>
      </w:r>
      <w:proofErr w:type="spellEnd"/>
      <w:r w:rsidRPr="0088456A">
        <w:t xml:space="preserve">, N., Blake, L., &amp; Carvalho, B. (2020). Enhanced recovery after caesarean delivery versus standard care studies: a systematic review of interventions and outcomes. </w:t>
      </w:r>
      <w:r w:rsidRPr="0088456A">
        <w:rPr>
          <w:i/>
          <w:iCs/>
        </w:rPr>
        <w:t>International Journal of Obstetric Anesthesia</w:t>
      </w:r>
      <w:r w:rsidRPr="0088456A">
        <w:t xml:space="preserve">, </w:t>
      </w:r>
      <w:r w:rsidRPr="00197910">
        <w:rPr>
          <w:i/>
          <w:iCs/>
        </w:rPr>
        <w:t>43</w:t>
      </w:r>
      <w:r w:rsidRPr="0088456A">
        <w:t>, 72–86. https://doi.org/10.1016/j.ijoa.2020.03.003</w:t>
      </w:r>
      <w:r>
        <w:t>.</w:t>
      </w:r>
    </w:p>
    <w:p w14:paraId="10BFB97F" w14:textId="77777777" w:rsidR="00696E06" w:rsidRDefault="00696E06" w:rsidP="00696E06"/>
    <w:p w14:paraId="263BF602" w14:textId="7DAF9ED2" w:rsidR="00696E06" w:rsidRDefault="00696E06" w:rsidP="00696E06">
      <w:pPr>
        <w:ind w:left="360"/>
      </w:pPr>
      <w:r w:rsidRPr="004F451E">
        <w:t>Summary</w:t>
      </w:r>
      <w:r>
        <w:t xml:space="preserve">: </w:t>
      </w:r>
      <w:r w:rsidR="004F451E" w:rsidRPr="004F451E">
        <w:t>Systematic review of enhanced recovery after caesarean delivery protocols. There was low- or very low-level evidence supporting outcomes; but most studies showed benefits, and none reported harm. The authors recommended these protocols</w:t>
      </w:r>
      <w:r w:rsidR="004F451E">
        <w:t>.</w:t>
      </w:r>
    </w:p>
    <w:p w14:paraId="1A60D8C9" w14:textId="65597F65" w:rsidR="00110B6D" w:rsidRDefault="00110B6D" w:rsidP="001C23C4">
      <w:pPr>
        <w:ind w:left="360"/>
      </w:pPr>
    </w:p>
    <w:p w14:paraId="04312545" w14:textId="09D6AD39" w:rsidR="00696E06" w:rsidRDefault="00DE74ED" w:rsidP="00696E06">
      <w:pPr>
        <w:pStyle w:val="ListParagraph"/>
        <w:numPr>
          <w:ilvl w:val="0"/>
          <w:numId w:val="1"/>
        </w:numPr>
        <w:ind w:hanging="450"/>
      </w:pPr>
      <w:r w:rsidRPr="00DE74ED">
        <w:t xml:space="preserve">Sultan, P., </w:t>
      </w:r>
      <w:proofErr w:type="spellStart"/>
      <w:r w:rsidRPr="00DE74ED">
        <w:t>Sadana</w:t>
      </w:r>
      <w:proofErr w:type="spellEnd"/>
      <w:r w:rsidRPr="00DE74ED">
        <w:t xml:space="preserve">, N., </w:t>
      </w:r>
      <w:proofErr w:type="spellStart"/>
      <w:r w:rsidRPr="00DE74ED">
        <w:t>Sharawi</w:t>
      </w:r>
      <w:proofErr w:type="spellEnd"/>
      <w:r w:rsidRPr="00DE74ED">
        <w:t>, N., Blake, L., El-</w:t>
      </w:r>
      <w:proofErr w:type="spellStart"/>
      <w:r w:rsidRPr="00DE74ED">
        <w:t>Boghdadly</w:t>
      </w:r>
      <w:proofErr w:type="spellEnd"/>
      <w:r w:rsidRPr="00DE74ED">
        <w:t xml:space="preserve">, K., </w:t>
      </w:r>
      <w:proofErr w:type="spellStart"/>
      <w:r w:rsidRPr="00DE74ED">
        <w:t>Falvo</w:t>
      </w:r>
      <w:proofErr w:type="spellEnd"/>
      <w:r w:rsidRPr="00DE74ED">
        <w:t xml:space="preserve">, A., </w:t>
      </w:r>
      <w:proofErr w:type="spellStart"/>
      <w:r w:rsidRPr="00DE74ED">
        <w:t>Ciechanowicz</w:t>
      </w:r>
      <w:proofErr w:type="spellEnd"/>
      <w:r w:rsidRPr="00DE74ED">
        <w:t xml:space="preserve">, S., Athar, W., Shah, R., Guo, N., Jensen, S., El-Sayed, Y., </w:t>
      </w:r>
      <w:proofErr w:type="spellStart"/>
      <w:r w:rsidRPr="00DE74ED">
        <w:t>Cella</w:t>
      </w:r>
      <w:proofErr w:type="spellEnd"/>
      <w:r w:rsidRPr="00DE74ED">
        <w:t xml:space="preserve">, D., &amp; Carvalho, B. (2020). Evaluation of domains of patient-reported outcome measures for recovery after childbirth: a scoping and systematic review. </w:t>
      </w:r>
      <w:r w:rsidRPr="00DE74ED">
        <w:rPr>
          <w:i/>
          <w:iCs/>
        </w:rPr>
        <w:t>JAMA Network Open</w:t>
      </w:r>
      <w:r w:rsidRPr="00DE74ED">
        <w:t xml:space="preserve">, </w:t>
      </w:r>
      <w:r w:rsidRPr="00197910">
        <w:rPr>
          <w:i/>
          <w:iCs/>
        </w:rPr>
        <w:t>3</w:t>
      </w:r>
      <w:r w:rsidRPr="00DE74ED">
        <w:t>(5), e205540–e205540. https://doi.org/10.1001/jamanetworkopen.2020.5540</w:t>
      </w:r>
      <w:r>
        <w:t>.</w:t>
      </w:r>
    </w:p>
    <w:p w14:paraId="6C6F7C70" w14:textId="77777777" w:rsidR="00696E06" w:rsidRDefault="00696E06" w:rsidP="00696E06"/>
    <w:p w14:paraId="0C05D39F" w14:textId="69217FDF" w:rsidR="00696E06" w:rsidRDefault="00696E06" w:rsidP="00696E06">
      <w:pPr>
        <w:ind w:left="360"/>
      </w:pPr>
      <w:r w:rsidRPr="00EC4A02">
        <w:t>Summary</w:t>
      </w:r>
      <w:r>
        <w:t xml:space="preserve">: </w:t>
      </w:r>
      <w:r w:rsidR="00EC4A02" w:rsidRPr="00EC4A02">
        <w:t>Scoping review of patient-reported outcome measures to assess outpatient and inpatient postpartum recovery. Most patient-reported outcome measures identified evaluated a single domain of recovery. Future research should focus on determining the psychometric properties of individual and global recovery</w:t>
      </w:r>
      <w:r w:rsidR="00EC4A02">
        <w:t>.</w:t>
      </w:r>
    </w:p>
    <w:p w14:paraId="35792946" w14:textId="569422D9" w:rsidR="00696E06" w:rsidRDefault="00696E06" w:rsidP="001C23C4">
      <w:pPr>
        <w:ind w:left="360"/>
      </w:pPr>
    </w:p>
    <w:p w14:paraId="5490EE0E" w14:textId="1C1DAC43" w:rsidR="00824D42" w:rsidRDefault="00824D42" w:rsidP="00696E06">
      <w:pPr>
        <w:pStyle w:val="ListParagraph"/>
        <w:numPr>
          <w:ilvl w:val="0"/>
          <w:numId w:val="1"/>
        </w:numPr>
        <w:ind w:hanging="450"/>
      </w:pPr>
      <w:r w:rsidRPr="00824D42">
        <w:t>The Lancet. (2020). 2020: a critical year for women, gender equity, and health. </w:t>
      </w:r>
      <w:r w:rsidRPr="00824D42">
        <w:rPr>
          <w:i/>
          <w:iCs/>
        </w:rPr>
        <w:t>The Lancet (British Edition)</w:t>
      </w:r>
      <w:r w:rsidRPr="00824D42">
        <w:t>, </w:t>
      </w:r>
      <w:r w:rsidRPr="00824D42">
        <w:rPr>
          <w:i/>
          <w:iCs/>
        </w:rPr>
        <w:t>395</w:t>
      </w:r>
      <w:r w:rsidRPr="00824D42">
        <w:t>(10217), 1–1. https://doi.org/10.1016/S0140-6736(19)33170-8</w:t>
      </w:r>
      <w:r>
        <w:t>.</w:t>
      </w:r>
    </w:p>
    <w:p w14:paraId="39665251" w14:textId="11024FCE" w:rsidR="00824D42" w:rsidRDefault="00824D42" w:rsidP="00824D42"/>
    <w:p w14:paraId="20BC5858" w14:textId="4589BC17" w:rsidR="00824D42" w:rsidRDefault="00824D42" w:rsidP="00824D42">
      <w:pPr>
        <w:ind w:left="360"/>
      </w:pPr>
      <w:r>
        <w:t xml:space="preserve">Summary: </w:t>
      </w:r>
      <w:r w:rsidRPr="00824D42">
        <w:t>Editorial arguing that sustainable development cannot occur without gender equity. The author suggests that it is time this principle was applied with commitment to specific health challenges</w:t>
      </w:r>
      <w:r>
        <w:t>.</w:t>
      </w:r>
    </w:p>
    <w:p w14:paraId="5001A17C" w14:textId="77777777" w:rsidR="00824D42" w:rsidRDefault="00824D42" w:rsidP="00824D42">
      <w:pPr>
        <w:ind w:left="360"/>
      </w:pPr>
    </w:p>
    <w:p w14:paraId="6D040463" w14:textId="6EB5EEA4" w:rsidR="00696E06" w:rsidRDefault="005B570B" w:rsidP="00696E06">
      <w:pPr>
        <w:pStyle w:val="ListParagraph"/>
        <w:numPr>
          <w:ilvl w:val="0"/>
          <w:numId w:val="1"/>
        </w:numPr>
        <w:ind w:hanging="450"/>
      </w:pPr>
      <w:r w:rsidRPr="005B570B">
        <w:lastRenderedPageBreak/>
        <w:t xml:space="preserve">The Lancet. (2020). Mental health: time to invest in quality. </w:t>
      </w:r>
      <w:r w:rsidRPr="005B570B">
        <w:rPr>
          <w:i/>
          <w:iCs/>
        </w:rPr>
        <w:t>The Lancet</w:t>
      </w:r>
      <w:r w:rsidRPr="005B570B">
        <w:t xml:space="preserve"> (British Edition), </w:t>
      </w:r>
      <w:r w:rsidRPr="00197910">
        <w:rPr>
          <w:i/>
          <w:iCs/>
        </w:rPr>
        <w:t>396</w:t>
      </w:r>
      <w:r w:rsidRPr="005B570B">
        <w:t>(10257), 1045–1045. https://doi.org/10.1016/S0140-6736(20)32110-3</w:t>
      </w:r>
      <w:r>
        <w:t>.</w:t>
      </w:r>
    </w:p>
    <w:p w14:paraId="4E292BF8" w14:textId="77777777" w:rsidR="00696E06" w:rsidRDefault="00696E06" w:rsidP="00696E06"/>
    <w:p w14:paraId="1C88B96A" w14:textId="25BB8C71" w:rsidR="00696E06" w:rsidRPr="00BC024C" w:rsidRDefault="00696E06" w:rsidP="00696E06">
      <w:pPr>
        <w:ind w:left="360"/>
      </w:pPr>
      <w:r w:rsidRPr="00BC024C">
        <w:t xml:space="preserve">Summary: </w:t>
      </w:r>
      <w:r w:rsidR="00BC024C" w:rsidRPr="00BC024C">
        <w:t>An editorial arguing for the ethical imperative for investment in mental health services to redress historic wrongs done to vulnerable communities and to correct current inequities.</w:t>
      </w:r>
    </w:p>
    <w:p w14:paraId="0C09BF7E" w14:textId="443DD5B3" w:rsidR="00696E06" w:rsidRPr="00BC024C" w:rsidRDefault="00696E06" w:rsidP="001C23C4">
      <w:pPr>
        <w:ind w:left="360"/>
      </w:pPr>
    </w:p>
    <w:p w14:paraId="008E1F1A" w14:textId="4F8C7397" w:rsidR="00696E06" w:rsidRPr="00BC024C" w:rsidRDefault="005B570B" w:rsidP="00696E06">
      <w:pPr>
        <w:pStyle w:val="ListParagraph"/>
        <w:numPr>
          <w:ilvl w:val="0"/>
          <w:numId w:val="1"/>
        </w:numPr>
        <w:ind w:hanging="450"/>
      </w:pPr>
      <w:r w:rsidRPr="00BC024C">
        <w:t xml:space="preserve">The WHO ACTION Trials Collaborators. (2020). Antenatal dexamethasone for early preterm birth in low-resource countries. </w:t>
      </w:r>
      <w:r w:rsidRPr="00BC024C">
        <w:rPr>
          <w:i/>
          <w:iCs/>
        </w:rPr>
        <w:t>The New England Journal of Medicine</w:t>
      </w:r>
      <w:r w:rsidRPr="00BC024C">
        <w:t xml:space="preserve">, </w:t>
      </w:r>
      <w:r w:rsidRPr="00197910">
        <w:rPr>
          <w:i/>
          <w:iCs/>
        </w:rPr>
        <w:t>383</w:t>
      </w:r>
      <w:r w:rsidRPr="00BC024C">
        <w:t>(26), 2514–2525. https://doi.org/10.1056/NEJMoa2022398</w:t>
      </w:r>
    </w:p>
    <w:p w14:paraId="674BDF84" w14:textId="77777777" w:rsidR="00696E06" w:rsidRPr="00BC024C" w:rsidRDefault="00696E06" w:rsidP="00696E06"/>
    <w:p w14:paraId="64CAB833" w14:textId="41732898" w:rsidR="00696E06" w:rsidRPr="00BC024C" w:rsidRDefault="00696E06" w:rsidP="00696E06">
      <w:pPr>
        <w:ind w:left="360"/>
      </w:pPr>
      <w:r w:rsidRPr="00BC024C">
        <w:t xml:space="preserve">Summary: </w:t>
      </w:r>
      <w:r w:rsidR="00BC024C" w:rsidRPr="00BC024C">
        <w:t>Dexamethasone use was associated with lower risks of neonatal death alone and stillbirth or neonatal death without an increase in the incidence of possible maternal bacterial infection.</w:t>
      </w:r>
    </w:p>
    <w:p w14:paraId="133C04BA" w14:textId="50095B63" w:rsidR="00696E06" w:rsidRPr="00BC024C" w:rsidRDefault="00696E06" w:rsidP="001C23C4">
      <w:pPr>
        <w:ind w:left="360"/>
      </w:pPr>
    </w:p>
    <w:p w14:paraId="347C795B" w14:textId="76897AE4" w:rsidR="00696E06" w:rsidRPr="00BC024C" w:rsidRDefault="00BC024C" w:rsidP="00696E06">
      <w:pPr>
        <w:pStyle w:val="ListParagraph"/>
        <w:numPr>
          <w:ilvl w:val="0"/>
          <w:numId w:val="1"/>
        </w:numPr>
        <w:ind w:hanging="450"/>
      </w:pPr>
      <w:r w:rsidRPr="00BC024C">
        <w:t xml:space="preserve">Uppal, V., </w:t>
      </w:r>
      <w:proofErr w:type="spellStart"/>
      <w:r w:rsidRPr="00BC024C">
        <w:t>Retter</w:t>
      </w:r>
      <w:proofErr w:type="spellEnd"/>
      <w:r w:rsidRPr="00BC024C">
        <w:t xml:space="preserve">, S., Casey, M., </w:t>
      </w:r>
      <w:proofErr w:type="spellStart"/>
      <w:r w:rsidRPr="00BC024C">
        <w:t>Sancheti</w:t>
      </w:r>
      <w:proofErr w:type="spellEnd"/>
      <w:r w:rsidRPr="00BC024C">
        <w:t xml:space="preserve">, S., Matheson, K., &amp; McKeen, D. M. (2020). Efficacy of intrathecal fentanyl for cesarean delivery: a systematic review and meta-analysis of randomized controlled trials with trial sequential analysis. </w:t>
      </w:r>
      <w:r w:rsidRPr="00BC024C">
        <w:rPr>
          <w:i/>
          <w:iCs/>
        </w:rPr>
        <w:t>Anesthesia and Analgesia</w:t>
      </w:r>
      <w:r w:rsidRPr="00BC024C">
        <w:t xml:space="preserve">, </w:t>
      </w:r>
      <w:r w:rsidRPr="00197910">
        <w:rPr>
          <w:i/>
          <w:iCs/>
        </w:rPr>
        <w:t>130</w:t>
      </w:r>
      <w:r w:rsidRPr="00BC024C">
        <w:t>(1), 111–125. https://doi.org/10.1213/ANE.0000000000003975.</w:t>
      </w:r>
    </w:p>
    <w:p w14:paraId="26485906" w14:textId="77777777" w:rsidR="00696E06" w:rsidRPr="00BC024C" w:rsidRDefault="00696E06" w:rsidP="00696E06"/>
    <w:p w14:paraId="408C012A" w14:textId="53157A70" w:rsidR="00696E06" w:rsidRPr="00BC024C" w:rsidRDefault="00696E06" w:rsidP="00696E06">
      <w:pPr>
        <w:ind w:left="360"/>
      </w:pPr>
      <w:r w:rsidRPr="00BC024C">
        <w:t xml:space="preserve">Summary: </w:t>
      </w:r>
      <w:r w:rsidR="00BC024C" w:rsidRPr="00BC024C">
        <w:t>Meta-analysis suggesting the benefit of using fentanyl an additive to intrathecal bupivacaine alone and intrathecal bupivacaine combined with morphine for cesarean delivery under spinal anesthesia. The possibility of several sources of bias warrant treating the results with caution.</w:t>
      </w:r>
    </w:p>
    <w:p w14:paraId="1203BD29" w14:textId="561574C2" w:rsidR="00696E06" w:rsidRPr="00BC024C" w:rsidRDefault="00696E06" w:rsidP="001C23C4">
      <w:pPr>
        <w:ind w:left="360"/>
      </w:pPr>
    </w:p>
    <w:p w14:paraId="2E7586F7" w14:textId="3114EB05" w:rsidR="00696E06" w:rsidRPr="00BC024C" w:rsidRDefault="00BC024C" w:rsidP="00696E06">
      <w:pPr>
        <w:pStyle w:val="ListParagraph"/>
        <w:numPr>
          <w:ilvl w:val="0"/>
          <w:numId w:val="1"/>
        </w:numPr>
        <w:ind w:hanging="450"/>
      </w:pPr>
      <w:r w:rsidRPr="00BC024C">
        <w:t xml:space="preserve">Verret, M., </w:t>
      </w:r>
      <w:proofErr w:type="spellStart"/>
      <w:r w:rsidRPr="00BC024C">
        <w:t>Lauzier</w:t>
      </w:r>
      <w:proofErr w:type="spellEnd"/>
      <w:r w:rsidRPr="00BC024C">
        <w:t xml:space="preserve">, F., </w:t>
      </w:r>
      <w:proofErr w:type="spellStart"/>
      <w:r w:rsidRPr="00BC024C">
        <w:t>Zarychanski</w:t>
      </w:r>
      <w:proofErr w:type="spellEnd"/>
      <w:r w:rsidRPr="00BC024C">
        <w:t xml:space="preserve">, R., Perron, C., Savard, X., Pinard, A.-M., Leblanc, G., </w:t>
      </w:r>
      <w:proofErr w:type="spellStart"/>
      <w:r w:rsidRPr="00BC024C">
        <w:t>Cossi</w:t>
      </w:r>
      <w:proofErr w:type="spellEnd"/>
      <w:r w:rsidRPr="00BC024C">
        <w:t xml:space="preserve">, M.-J., </w:t>
      </w:r>
      <w:proofErr w:type="spellStart"/>
      <w:r w:rsidRPr="00BC024C">
        <w:t>Neveu</w:t>
      </w:r>
      <w:proofErr w:type="spellEnd"/>
      <w:r w:rsidRPr="00BC024C">
        <w:t xml:space="preserve">, X., Turgeon, A. F., McAuley, A., </w:t>
      </w:r>
      <w:proofErr w:type="spellStart"/>
      <w:r w:rsidRPr="00BC024C">
        <w:t>Flexman</w:t>
      </w:r>
      <w:proofErr w:type="spellEnd"/>
      <w:r w:rsidRPr="00BC024C">
        <w:t xml:space="preserve">, A., </w:t>
      </w:r>
      <w:proofErr w:type="spellStart"/>
      <w:r w:rsidRPr="00BC024C">
        <w:t>Denault</w:t>
      </w:r>
      <w:proofErr w:type="spellEnd"/>
      <w:r w:rsidRPr="00BC024C">
        <w:t xml:space="preserve">, A. Y., </w:t>
      </w:r>
      <w:proofErr w:type="spellStart"/>
      <w:r w:rsidRPr="00BC024C">
        <w:t>Jerath</w:t>
      </w:r>
      <w:proofErr w:type="spellEnd"/>
      <w:r w:rsidRPr="00BC024C">
        <w:t xml:space="preserve">, A., Prabhakar, C., McCartney, C., Sawchuk, C., Yarnold, C., Boyle, D., … McKeen, D. (2020). perioperative use of </w:t>
      </w:r>
      <w:proofErr w:type="spellStart"/>
      <w:r w:rsidRPr="00BC024C">
        <w:t>gabapentinoids</w:t>
      </w:r>
      <w:proofErr w:type="spellEnd"/>
      <w:r w:rsidRPr="00BC024C">
        <w:t xml:space="preserve"> for the management of postoperative acute pain: a systematic review and meta-analysis. </w:t>
      </w:r>
      <w:r w:rsidRPr="00BC024C">
        <w:rPr>
          <w:i/>
          <w:iCs/>
        </w:rPr>
        <w:t>Anesthesiology</w:t>
      </w:r>
      <w:r w:rsidRPr="00BC024C">
        <w:t xml:space="preserve"> (Philadelphia), </w:t>
      </w:r>
      <w:r w:rsidRPr="00197910">
        <w:rPr>
          <w:i/>
          <w:iCs/>
        </w:rPr>
        <w:t>133</w:t>
      </w:r>
      <w:r w:rsidRPr="00BC024C">
        <w:t>(2), 265–279. https://doi.org/10.1097/ALN.0000000000003428</w:t>
      </w:r>
    </w:p>
    <w:p w14:paraId="6DC789FE" w14:textId="77777777" w:rsidR="00696E06" w:rsidRPr="00BC024C" w:rsidRDefault="00696E06" w:rsidP="00696E06"/>
    <w:p w14:paraId="1B05D46E" w14:textId="7FB6F44F" w:rsidR="00696E06" w:rsidRDefault="00696E06" w:rsidP="00696E06">
      <w:pPr>
        <w:ind w:left="360"/>
      </w:pPr>
      <w:r w:rsidRPr="00BC024C">
        <w:t>Summary:</w:t>
      </w:r>
      <w:r>
        <w:t xml:space="preserve"> </w:t>
      </w:r>
      <w:r w:rsidR="00BC024C" w:rsidRPr="00BC024C">
        <w:t xml:space="preserve">Systematic review and meta-analysis suggesting that there is no clinically significant analgesic effect for perioperative </w:t>
      </w:r>
      <w:proofErr w:type="spellStart"/>
      <w:r w:rsidR="00BC024C" w:rsidRPr="00BC024C">
        <w:t>gabapentinoids</w:t>
      </w:r>
      <w:proofErr w:type="spellEnd"/>
      <w:r w:rsidR="00BC024C" w:rsidRPr="00BC024C">
        <w:t xml:space="preserve"> and no effect on the prevention of postoperative chronic pain. However, there is a greater risk of adverse events</w:t>
      </w:r>
      <w:r w:rsidR="00BC024C">
        <w:t>.</w:t>
      </w:r>
    </w:p>
    <w:p w14:paraId="102D21C7" w14:textId="49B33CE1" w:rsidR="00696E06" w:rsidRDefault="00696E06" w:rsidP="001C23C4">
      <w:pPr>
        <w:ind w:left="360"/>
      </w:pPr>
    </w:p>
    <w:p w14:paraId="57B9BE09" w14:textId="3B84936C" w:rsidR="00696E06" w:rsidRDefault="00BC024C" w:rsidP="00696E06">
      <w:pPr>
        <w:pStyle w:val="ListParagraph"/>
        <w:numPr>
          <w:ilvl w:val="0"/>
          <w:numId w:val="1"/>
        </w:numPr>
        <w:ind w:hanging="450"/>
      </w:pPr>
      <w:r w:rsidRPr="00BC024C">
        <w:t xml:space="preserve">Vogel, J. P., Wilson, A. N., Scott, N., Widmer, M., </w:t>
      </w:r>
      <w:proofErr w:type="spellStart"/>
      <w:r w:rsidRPr="00BC024C">
        <w:t>Althabe</w:t>
      </w:r>
      <w:proofErr w:type="spellEnd"/>
      <w:r w:rsidRPr="00BC024C">
        <w:t xml:space="preserve">, F., &amp; </w:t>
      </w:r>
      <w:proofErr w:type="spellStart"/>
      <w:r w:rsidRPr="00BC024C">
        <w:t>Oladapo</w:t>
      </w:r>
      <w:proofErr w:type="spellEnd"/>
      <w:r w:rsidRPr="00BC024C">
        <w:t>, O. T. (2020). Cost</w:t>
      </w:r>
      <w:r w:rsidRPr="00BC024C">
        <w:rPr>
          <w:rFonts w:ascii="Cambria Math" w:hAnsi="Cambria Math" w:cs="Cambria Math"/>
        </w:rPr>
        <w:t>‐</w:t>
      </w:r>
      <w:r w:rsidRPr="00BC024C">
        <w:t xml:space="preserve">effectiveness of uterine tamponade devices for the treatment of postpartum hemorrhage: A systematic review. </w:t>
      </w:r>
      <w:r w:rsidRPr="00BC024C">
        <w:rPr>
          <w:i/>
          <w:iCs/>
        </w:rPr>
        <w:t>International Journal of Gynecology and Obstetrics</w:t>
      </w:r>
      <w:r w:rsidRPr="00BC024C">
        <w:t xml:space="preserve">, </w:t>
      </w:r>
      <w:r w:rsidRPr="00197910">
        <w:rPr>
          <w:i/>
          <w:iCs/>
        </w:rPr>
        <w:t>151</w:t>
      </w:r>
      <w:r w:rsidRPr="00BC024C">
        <w:t>(3), 333–340. https://doi.org/10.1002/ijgo.13393</w:t>
      </w:r>
    </w:p>
    <w:p w14:paraId="0BBC366A" w14:textId="77777777" w:rsidR="00696E06" w:rsidRDefault="00696E06" w:rsidP="00696E06"/>
    <w:p w14:paraId="4E803D80" w14:textId="1EC0260F" w:rsidR="00696E06" w:rsidRPr="00BC024C" w:rsidRDefault="00696E06" w:rsidP="00696E06">
      <w:pPr>
        <w:ind w:left="360"/>
      </w:pPr>
      <w:r w:rsidRPr="00BC024C">
        <w:t xml:space="preserve">Summary: </w:t>
      </w:r>
      <w:r w:rsidR="00BC024C" w:rsidRPr="00BC024C">
        <w:t>Systematic review suggesting that evidence on the cost-effectiveness of uterine tamponade devices is limited and not generalizable.</w:t>
      </w:r>
    </w:p>
    <w:p w14:paraId="7C335110" w14:textId="28C42BCC" w:rsidR="00696E06" w:rsidRPr="00BC024C" w:rsidRDefault="00696E06" w:rsidP="001C23C4">
      <w:pPr>
        <w:ind w:left="360"/>
      </w:pPr>
    </w:p>
    <w:p w14:paraId="52DAE946" w14:textId="528DA09E" w:rsidR="00696E06" w:rsidRPr="00BC024C" w:rsidRDefault="00BC024C" w:rsidP="00696E06">
      <w:pPr>
        <w:pStyle w:val="ListParagraph"/>
        <w:numPr>
          <w:ilvl w:val="0"/>
          <w:numId w:val="1"/>
        </w:numPr>
        <w:ind w:hanging="450"/>
      </w:pPr>
      <w:r w:rsidRPr="00BC024C">
        <w:t xml:space="preserve">Wang, E., Glazer, K. B., Howell, E. A., &amp; </w:t>
      </w:r>
      <w:proofErr w:type="spellStart"/>
      <w:r w:rsidRPr="00BC024C">
        <w:t>Janevic</w:t>
      </w:r>
      <w:proofErr w:type="spellEnd"/>
      <w:r w:rsidRPr="00BC024C">
        <w:t xml:space="preserve">, T. M. (2020). Social determinants of pregnancy-related mortality and morbidity in the United States: a systematic review. </w:t>
      </w:r>
      <w:r w:rsidRPr="00BC024C">
        <w:rPr>
          <w:i/>
          <w:iCs/>
        </w:rPr>
        <w:t>Obstetrics and Gynecology</w:t>
      </w:r>
      <w:r w:rsidRPr="00BC024C">
        <w:t xml:space="preserve"> (New York. 1953), </w:t>
      </w:r>
      <w:r w:rsidRPr="00197910">
        <w:rPr>
          <w:i/>
          <w:iCs/>
        </w:rPr>
        <w:t>135</w:t>
      </w:r>
      <w:r w:rsidRPr="00BC024C">
        <w:t>(4), 896–915. https://doi.org/10.1097/AOG.0000000000003762</w:t>
      </w:r>
    </w:p>
    <w:p w14:paraId="3333FB4C" w14:textId="77777777" w:rsidR="00696E06" w:rsidRPr="00BC024C" w:rsidRDefault="00696E06" w:rsidP="00696E06"/>
    <w:p w14:paraId="6C3C566B" w14:textId="22916A28" w:rsidR="00696E06" w:rsidRDefault="00696E06" w:rsidP="00696E06">
      <w:pPr>
        <w:ind w:left="360"/>
      </w:pPr>
      <w:r w:rsidRPr="00BC024C">
        <w:t>Summary:</w:t>
      </w:r>
      <w:r>
        <w:t xml:space="preserve"> </w:t>
      </w:r>
      <w:r w:rsidR="00BC024C" w:rsidRPr="00BC024C">
        <w:t>A systematic review of associations between social determinants of health and pregnancy-related mortality and morbidity in the US providing evidence for the role of race and ethnicity, insurance, and education in pregnancy-related mortality and severe maternal morbidity risk</w:t>
      </w:r>
      <w:r w:rsidR="00BC024C">
        <w:t>.</w:t>
      </w:r>
    </w:p>
    <w:p w14:paraId="08D0F1DA" w14:textId="61CC2F78" w:rsidR="00696E06" w:rsidRDefault="00696E06" w:rsidP="001C23C4">
      <w:pPr>
        <w:ind w:left="360"/>
      </w:pPr>
    </w:p>
    <w:p w14:paraId="253A163C" w14:textId="4356BDB6" w:rsidR="00696E06" w:rsidRDefault="00197910" w:rsidP="00696E06">
      <w:pPr>
        <w:pStyle w:val="ListParagraph"/>
        <w:numPr>
          <w:ilvl w:val="0"/>
          <w:numId w:val="1"/>
        </w:numPr>
        <w:ind w:hanging="450"/>
      </w:pPr>
      <w:r w:rsidRPr="00197910">
        <w:t>Wong, C. A. (2020). Spinal anesthesia-induced hypotension: is it more than just a pesky nuisance? </w:t>
      </w:r>
      <w:r w:rsidRPr="00197910">
        <w:rPr>
          <w:i/>
          <w:iCs/>
        </w:rPr>
        <w:t>American Journal of Obstetrics and Gynecology</w:t>
      </w:r>
      <w:r w:rsidRPr="00197910">
        <w:t>, </w:t>
      </w:r>
      <w:r w:rsidRPr="00197910">
        <w:rPr>
          <w:i/>
          <w:iCs/>
        </w:rPr>
        <w:t>223</w:t>
      </w:r>
      <w:r w:rsidRPr="00197910">
        <w:t>(5), 621–623. https://doi.org/10.1016/j.ajog.2020.08.105</w:t>
      </w:r>
      <w:r>
        <w:t>.</w:t>
      </w:r>
    </w:p>
    <w:p w14:paraId="4073C740" w14:textId="77777777" w:rsidR="00696E06" w:rsidRDefault="00696E06" w:rsidP="00696E06"/>
    <w:p w14:paraId="34AFB8B8" w14:textId="53DB506C" w:rsidR="00696E06" w:rsidRPr="00E36852" w:rsidRDefault="00696E06" w:rsidP="00696E06">
      <w:pPr>
        <w:ind w:left="360"/>
      </w:pPr>
      <w:r w:rsidRPr="00E36852">
        <w:t xml:space="preserve">Summary: </w:t>
      </w:r>
      <w:r w:rsidR="00E36852" w:rsidRPr="00E36852">
        <w:t xml:space="preserve">Editorial on </w:t>
      </w:r>
      <w:proofErr w:type="spellStart"/>
      <w:r w:rsidR="00E36852" w:rsidRPr="00E36852">
        <w:t>Knigin</w:t>
      </w:r>
      <w:proofErr w:type="spellEnd"/>
      <w:r w:rsidR="00E36852" w:rsidRPr="00E36852">
        <w:t xml:space="preserve"> et al. highlighting the finding that spinal anesthesia is relatively safe with respect to maternal hypotension and its consequences but stresses the importance of close blood pressure monitoring.</w:t>
      </w:r>
    </w:p>
    <w:p w14:paraId="7145FE4F" w14:textId="544E35D9" w:rsidR="00696E06" w:rsidRPr="00E36852" w:rsidRDefault="00696E06" w:rsidP="001C23C4">
      <w:pPr>
        <w:ind w:left="360"/>
      </w:pPr>
    </w:p>
    <w:p w14:paraId="2F18C6ED" w14:textId="7F0B385C" w:rsidR="00696E06" w:rsidRPr="00E36852" w:rsidRDefault="00E36852" w:rsidP="00696E06">
      <w:pPr>
        <w:pStyle w:val="ListParagraph"/>
        <w:numPr>
          <w:ilvl w:val="0"/>
          <w:numId w:val="1"/>
        </w:numPr>
        <w:ind w:hanging="450"/>
      </w:pPr>
      <w:r w:rsidRPr="00E36852">
        <w:t xml:space="preserve">Wong, C. A., </w:t>
      </w:r>
      <w:proofErr w:type="spellStart"/>
      <w:r w:rsidRPr="00E36852">
        <w:t>Moonesinghe</w:t>
      </w:r>
      <w:proofErr w:type="spellEnd"/>
      <w:r w:rsidRPr="00E36852">
        <w:t xml:space="preserve">, S. R., Boer, C., Hemmings, H. C., &amp; Hunter, J. M. (2020). Women in </w:t>
      </w:r>
      <w:proofErr w:type="spellStart"/>
      <w:r w:rsidRPr="00E36852">
        <w:t>anaesthesia</w:t>
      </w:r>
      <w:proofErr w:type="spellEnd"/>
      <w:r w:rsidRPr="00E36852">
        <w:t>, a special issue of the British Journal of Anaesthesia. </w:t>
      </w:r>
      <w:r w:rsidRPr="00E36852">
        <w:rPr>
          <w:i/>
          <w:iCs/>
        </w:rPr>
        <w:t xml:space="preserve">British Journal of </w:t>
      </w:r>
      <w:proofErr w:type="gramStart"/>
      <w:r w:rsidRPr="00E36852">
        <w:rPr>
          <w:i/>
          <w:iCs/>
        </w:rPr>
        <w:t>Anaesthesia :</w:t>
      </w:r>
      <w:proofErr w:type="gramEnd"/>
      <w:r w:rsidRPr="00E36852">
        <w:rPr>
          <w:i/>
          <w:iCs/>
        </w:rPr>
        <w:t xml:space="preserve"> BJA</w:t>
      </w:r>
      <w:r w:rsidRPr="00E36852">
        <w:t>, </w:t>
      </w:r>
      <w:r w:rsidRPr="00E36852">
        <w:rPr>
          <w:i/>
          <w:iCs/>
        </w:rPr>
        <w:t>124</w:t>
      </w:r>
      <w:r w:rsidRPr="00E36852">
        <w:t>(3), e40–e43. https://doi.org/10.1016/j.bja.2019.12.038.</w:t>
      </w:r>
    </w:p>
    <w:p w14:paraId="649442DE" w14:textId="77777777" w:rsidR="00696E06" w:rsidRPr="00E36852" w:rsidRDefault="00696E06" w:rsidP="00696E06"/>
    <w:p w14:paraId="26D63782" w14:textId="0E1C49E7" w:rsidR="00696E06" w:rsidRPr="00E36852" w:rsidRDefault="00696E06" w:rsidP="00696E06">
      <w:pPr>
        <w:ind w:left="360"/>
      </w:pPr>
      <w:r w:rsidRPr="00E36852">
        <w:t xml:space="preserve">Summary: </w:t>
      </w:r>
      <w:r w:rsidR="00E36852" w:rsidRPr="00E36852">
        <w:t xml:space="preserve">Editorial introducing the special issue, concluding that women </w:t>
      </w:r>
      <w:proofErr w:type="spellStart"/>
      <w:r w:rsidR="00E36852" w:rsidRPr="00E36852">
        <w:t>anaesthesiologists</w:t>
      </w:r>
      <w:proofErr w:type="spellEnd"/>
      <w:r w:rsidR="00E36852" w:rsidRPr="00E36852">
        <w:t>, educators, and researchers are critical to the profession and to the health of all patients.</w:t>
      </w:r>
    </w:p>
    <w:p w14:paraId="577498DA" w14:textId="031C4F8C" w:rsidR="00696E06" w:rsidRPr="00E36852" w:rsidRDefault="00696E06" w:rsidP="001C23C4">
      <w:pPr>
        <w:ind w:left="360"/>
      </w:pPr>
    </w:p>
    <w:p w14:paraId="3BEE11FD" w14:textId="22D57837" w:rsidR="00696E06" w:rsidRPr="00E36852" w:rsidRDefault="00E36852" w:rsidP="00696E06">
      <w:pPr>
        <w:pStyle w:val="ListParagraph"/>
        <w:numPr>
          <w:ilvl w:val="0"/>
          <w:numId w:val="1"/>
        </w:numPr>
        <w:ind w:hanging="450"/>
      </w:pPr>
      <w:proofErr w:type="spellStart"/>
      <w:r w:rsidRPr="00E36852">
        <w:t>Yentis</w:t>
      </w:r>
      <w:proofErr w:type="spellEnd"/>
      <w:r w:rsidRPr="00E36852">
        <w:t xml:space="preserve">, S. M., Lucas, D. N., </w:t>
      </w:r>
      <w:proofErr w:type="spellStart"/>
      <w:r w:rsidRPr="00E36852">
        <w:t>Brigante</w:t>
      </w:r>
      <w:proofErr w:type="spellEnd"/>
      <w:r w:rsidRPr="00E36852">
        <w:t xml:space="preserve">, L., Collis, R., Cowley, P., Denning, S., Fawcett, W. J., &amp; Gibson, A. (2020). Safety guideline: neurological monitoring associated with obstetric neuraxial block 2020: A joint guideline by the Association of Anaesthetists and the Obstetric </w:t>
      </w:r>
      <w:proofErr w:type="spellStart"/>
      <w:r w:rsidRPr="00E36852">
        <w:t>Anaesthetists’</w:t>
      </w:r>
      <w:proofErr w:type="spellEnd"/>
      <w:r w:rsidRPr="00E36852">
        <w:t xml:space="preserve"> Association. </w:t>
      </w:r>
      <w:r w:rsidRPr="00E36852">
        <w:rPr>
          <w:i/>
          <w:iCs/>
        </w:rPr>
        <w:t>Anaesthesia</w:t>
      </w:r>
      <w:r w:rsidRPr="00E36852">
        <w:t>, </w:t>
      </w:r>
      <w:r w:rsidRPr="00E36852">
        <w:rPr>
          <w:i/>
          <w:iCs/>
        </w:rPr>
        <w:t>75</w:t>
      </w:r>
      <w:r w:rsidRPr="00E36852">
        <w:t>(7), 913–919. https://doi.org/10.1111/anae.14993.</w:t>
      </w:r>
    </w:p>
    <w:p w14:paraId="3734F997" w14:textId="77777777" w:rsidR="00696E06" w:rsidRPr="00E36852" w:rsidRDefault="00696E06" w:rsidP="00696E06"/>
    <w:p w14:paraId="0657F82A" w14:textId="61C59457" w:rsidR="00696E06" w:rsidRPr="00E36852" w:rsidRDefault="00696E06" w:rsidP="00696E06">
      <w:pPr>
        <w:ind w:left="360"/>
      </w:pPr>
      <w:r w:rsidRPr="00E36852">
        <w:t xml:space="preserve">Summary: </w:t>
      </w:r>
      <w:r w:rsidR="00E36852" w:rsidRPr="00E36852">
        <w:t xml:space="preserve">Guidelines for monitoring during recovery from obstetric neuraxial block. Escalation is </w:t>
      </w:r>
      <w:r w:rsidR="00CC647F" w:rsidRPr="00E36852">
        <w:t>required when</w:t>
      </w:r>
      <w:r w:rsidR="00E36852" w:rsidRPr="00E36852">
        <w:t xml:space="preserve"> recovery is </w:t>
      </w:r>
      <w:proofErr w:type="gramStart"/>
      <w:r w:rsidR="00E36852" w:rsidRPr="00E36852">
        <w:t>delayed</w:t>
      </w:r>
      <w:proofErr w:type="gramEnd"/>
      <w:r w:rsidR="00E36852" w:rsidRPr="00E36852">
        <w:t xml:space="preserve"> or new symptoms develop.</w:t>
      </w:r>
    </w:p>
    <w:p w14:paraId="70244EC0" w14:textId="77D822B8" w:rsidR="00696E06" w:rsidRPr="00E36852" w:rsidRDefault="00696E06" w:rsidP="001C23C4">
      <w:pPr>
        <w:ind w:left="360"/>
      </w:pPr>
    </w:p>
    <w:p w14:paraId="6F72C25B" w14:textId="058D1B09" w:rsidR="00CC647F" w:rsidRDefault="00CC647F" w:rsidP="00696E06">
      <w:pPr>
        <w:pStyle w:val="ListParagraph"/>
        <w:numPr>
          <w:ilvl w:val="0"/>
          <w:numId w:val="1"/>
        </w:numPr>
        <w:ind w:hanging="450"/>
      </w:pPr>
      <w:r w:rsidRPr="00CC647F">
        <w:t xml:space="preserve">Young-Wolff, K. C., Sarovar, V., Tucker, L.-Y., Goler, N. C., </w:t>
      </w:r>
      <w:proofErr w:type="spellStart"/>
      <w:r w:rsidRPr="00CC647F">
        <w:t>Alexeeff</w:t>
      </w:r>
      <w:proofErr w:type="spellEnd"/>
      <w:r w:rsidRPr="00CC647F">
        <w:t xml:space="preserve">, S. E., </w:t>
      </w:r>
      <w:proofErr w:type="spellStart"/>
      <w:r w:rsidRPr="00CC647F">
        <w:t>Ridout</w:t>
      </w:r>
      <w:proofErr w:type="spellEnd"/>
      <w:r w:rsidRPr="00CC647F">
        <w:t>, K. K., &amp; Avalos, L. A. (2020). Association of depression, anxiety, and trauma with cannabis use during pregnancy. </w:t>
      </w:r>
      <w:r w:rsidRPr="00CC647F">
        <w:rPr>
          <w:i/>
          <w:iCs/>
        </w:rPr>
        <w:t>JAMA Network Open</w:t>
      </w:r>
      <w:r w:rsidRPr="00CC647F">
        <w:t>, </w:t>
      </w:r>
      <w:r w:rsidRPr="00CC647F">
        <w:rPr>
          <w:i/>
          <w:iCs/>
        </w:rPr>
        <w:t>3</w:t>
      </w:r>
      <w:r w:rsidRPr="00CC647F">
        <w:t>(2), e1921333–e1921333. https://doi.org/10.1001/jamanetworkopen.2019.21333</w:t>
      </w:r>
      <w:r>
        <w:t>.</w:t>
      </w:r>
    </w:p>
    <w:p w14:paraId="0395D3EC" w14:textId="59B3C69A" w:rsidR="00CC647F" w:rsidRDefault="00CC647F" w:rsidP="00CC647F"/>
    <w:p w14:paraId="60D6F855" w14:textId="5487F68C" w:rsidR="00CC647F" w:rsidRDefault="00CC647F" w:rsidP="00CC647F">
      <w:pPr>
        <w:ind w:left="360"/>
      </w:pPr>
      <w:r>
        <w:t xml:space="preserve">Summary: </w:t>
      </w:r>
      <w:r w:rsidRPr="00CC647F">
        <w:t>Cross-sectional database study from a single healthcare network. Depression, anxiety, and trauma diagnoses and symptoms were associated with higher odds of cannabis use among pregnant women in California</w:t>
      </w:r>
      <w:r>
        <w:t>.</w:t>
      </w:r>
    </w:p>
    <w:p w14:paraId="352C2462" w14:textId="3CB0C9B9" w:rsidR="00CC647F" w:rsidRDefault="00CC647F" w:rsidP="00CC647F">
      <w:pPr>
        <w:ind w:left="360"/>
      </w:pPr>
    </w:p>
    <w:p w14:paraId="058D6125" w14:textId="32BF497B" w:rsidR="00696E06" w:rsidRPr="00E36852" w:rsidRDefault="00E36852" w:rsidP="00696E06">
      <w:pPr>
        <w:pStyle w:val="ListParagraph"/>
        <w:numPr>
          <w:ilvl w:val="0"/>
          <w:numId w:val="1"/>
        </w:numPr>
        <w:ind w:hanging="450"/>
      </w:pPr>
      <w:proofErr w:type="spellStart"/>
      <w:r w:rsidRPr="00E36852">
        <w:t>Zaigham</w:t>
      </w:r>
      <w:proofErr w:type="spellEnd"/>
      <w:r w:rsidRPr="00E36852">
        <w:t xml:space="preserve">, M., Helfer, S., Kristensen, K. H., </w:t>
      </w:r>
      <w:proofErr w:type="spellStart"/>
      <w:r w:rsidRPr="00E36852">
        <w:t>Isberg</w:t>
      </w:r>
      <w:proofErr w:type="spellEnd"/>
      <w:r w:rsidRPr="00E36852">
        <w:t xml:space="preserve">, P., &amp; </w:t>
      </w:r>
      <w:proofErr w:type="spellStart"/>
      <w:r w:rsidRPr="00E36852">
        <w:t>Wiberg</w:t>
      </w:r>
      <w:proofErr w:type="spellEnd"/>
      <w:r w:rsidRPr="00E36852">
        <w:t xml:space="preserve">, N. (2020). Maternal arterial blood gas values during delivery: Effect of mode of delivery, maternal characteristics, obstetric </w:t>
      </w:r>
      <w:proofErr w:type="gramStart"/>
      <w:r w:rsidRPr="00E36852">
        <w:t>interventions</w:t>
      </w:r>
      <w:proofErr w:type="gramEnd"/>
      <w:r w:rsidRPr="00E36852">
        <w:t xml:space="preserve"> and correlation to fetal umbilical cord blood. </w:t>
      </w:r>
      <w:r w:rsidRPr="00E36852">
        <w:rPr>
          <w:i/>
          <w:iCs/>
        </w:rPr>
        <w:t xml:space="preserve">Acta </w:t>
      </w:r>
      <w:proofErr w:type="spellStart"/>
      <w:r w:rsidRPr="00E36852">
        <w:rPr>
          <w:i/>
          <w:iCs/>
        </w:rPr>
        <w:t>Obstetricia</w:t>
      </w:r>
      <w:proofErr w:type="spellEnd"/>
      <w:r w:rsidRPr="00E36852">
        <w:rPr>
          <w:i/>
          <w:iCs/>
        </w:rPr>
        <w:t xml:space="preserve"> et </w:t>
      </w:r>
      <w:proofErr w:type="spellStart"/>
      <w:r w:rsidRPr="00E36852">
        <w:rPr>
          <w:i/>
          <w:iCs/>
        </w:rPr>
        <w:t>Gynecologica</w:t>
      </w:r>
      <w:proofErr w:type="spellEnd"/>
      <w:r w:rsidRPr="00E36852">
        <w:rPr>
          <w:i/>
          <w:iCs/>
        </w:rPr>
        <w:t xml:space="preserve"> Scandinavica</w:t>
      </w:r>
      <w:r w:rsidRPr="00E36852">
        <w:t>, </w:t>
      </w:r>
      <w:r w:rsidRPr="00E36852">
        <w:rPr>
          <w:i/>
          <w:iCs/>
        </w:rPr>
        <w:t>99</w:t>
      </w:r>
      <w:r w:rsidRPr="00E36852">
        <w:t>(12), 1674–1681. https://doi.org/10.1111/aogs.13936.</w:t>
      </w:r>
    </w:p>
    <w:p w14:paraId="1BD46D75" w14:textId="77777777" w:rsidR="00696E06" w:rsidRPr="00E36852" w:rsidRDefault="00696E06" w:rsidP="00696E06"/>
    <w:p w14:paraId="3F77F101" w14:textId="4BA12C26" w:rsidR="00696E06" w:rsidRDefault="00696E06" w:rsidP="00696E06">
      <w:pPr>
        <w:ind w:left="360"/>
      </w:pPr>
      <w:r w:rsidRPr="00E36852">
        <w:t>Summary:</w:t>
      </w:r>
      <w:r>
        <w:t xml:space="preserve"> </w:t>
      </w:r>
      <w:r w:rsidR="00E36852" w:rsidRPr="00E36852">
        <w:t xml:space="preserve">A prospective-observational cohort study of 250 women undergoing vaginal delivery and 58 women undergoing planned cesarean section. There were significant associations between epidural anesthesia and maternal pH and pO2 and between synthetic oxytocin and pCO2, glucose, and lactate in maternal arterial </w:t>
      </w:r>
      <w:proofErr w:type="gramStart"/>
      <w:r w:rsidR="00E36852" w:rsidRPr="00E36852">
        <w:t>blood.</w:t>
      </w:r>
      <w:r w:rsidR="00E36852">
        <w:t>.</w:t>
      </w:r>
      <w:proofErr w:type="gramEnd"/>
    </w:p>
    <w:p w14:paraId="39B8E747" w14:textId="7765827C" w:rsidR="00696E06" w:rsidRDefault="00696E06" w:rsidP="001C23C4">
      <w:pPr>
        <w:ind w:left="360"/>
      </w:pPr>
    </w:p>
    <w:p w14:paraId="5246A869" w14:textId="5156A00B" w:rsidR="00696E06" w:rsidRDefault="00E36852" w:rsidP="00696E06">
      <w:pPr>
        <w:pStyle w:val="ListParagraph"/>
        <w:numPr>
          <w:ilvl w:val="0"/>
          <w:numId w:val="1"/>
        </w:numPr>
        <w:ind w:hanging="450"/>
      </w:pPr>
      <w:r w:rsidRPr="00E36852">
        <w:t xml:space="preserve">Zheng, N. S., Feng, Q., </w:t>
      </w:r>
      <w:proofErr w:type="spellStart"/>
      <w:r w:rsidRPr="00E36852">
        <w:t>Kerchberger</w:t>
      </w:r>
      <w:proofErr w:type="spellEnd"/>
      <w:r w:rsidRPr="00E36852">
        <w:t xml:space="preserve">, V. E., Zhao, J., Edwards, T. L., Cox, N. J., Stein, C. M., </w:t>
      </w:r>
      <w:proofErr w:type="spellStart"/>
      <w:r w:rsidRPr="00E36852">
        <w:t>Roden</w:t>
      </w:r>
      <w:proofErr w:type="spellEnd"/>
      <w:r w:rsidRPr="00E36852">
        <w:t xml:space="preserve">, D. M., Denny, J. C., &amp; Wei, W.-Q. (2020). </w:t>
      </w:r>
      <w:proofErr w:type="spellStart"/>
      <w:r w:rsidRPr="00E36852">
        <w:t>PheMap</w:t>
      </w:r>
      <w:proofErr w:type="spellEnd"/>
      <w:r w:rsidRPr="00E36852">
        <w:t>: a multi-resource knowledge base for high-throughput phenotyping within electronic health records. </w:t>
      </w:r>
      <w:r w:rsidRPr="00E36852">
        <w:rPr>
          <w:i/>
          <w:iCs/>
        </w:rPr>
        <w:t>Journal of the American Medical Informatics Association: JAMIA</w:t>
      </w:r>
      <w:r w:rsidRPr="00E36852">
        <w:t>, </w:t>
      </w:r>
      <w:r w:rsidRPr="00E36852">
        <w:rPr>
          <w:i/>
          <w:iCs/>
        </w:rPr>
        <w:t>27</w:t>
      </w:r>
      <w:r w:rsidRPr="00E36852">
        <w:t>(11), 1675–1687. https://doi.org/10.1093/jamia/ocaa104</w:t>
      </w:r>
      <w:r>
        <w:t>.</w:t>
      </w:r>
    </w:p>
    <w:p w14:paraId="7BB7B07D" w14:textId="77777777" w:rsidR="00696E06" w:rsidRDefault="00696E06" w:rsidP="00696E06"/>
    <w:p w14:paraId="50FA9E46" w14:textId="140AFE0A" w:rsidR="00696E06" w:rsidRDefault="00696E06" w:rsidP="00696E06">
      <w:pPr>
        <w:ind w:left="360"/>
      </w:pPr>
      <w:r w:rsidRPr="00E36852">
        <w:t>Summary</w:t>
      </w:r>
      <w:r>
        <w:t xml:space="preserve">: </w:t>
      </w:r>
      <w:r w:rsidR="00E36852" w:rsidRPr="00E36852">
        <w:t>Proof-of-concept study of an algorithm designed to identify phenotypes based on electronic health records. The algorithm performed as well or better performance than current phenotyping approaches</w:t>
      </w:r>
      <w:r w:rsidR="00E36852">
        <w:t>.</w:t>
      </w:r>
    </w:p>
    <w:p w14:paraId="04C08B65" w14:textId="69B05949" w:rsidR="0024717B" w:rsidRDefault="0024717B" w:rsidP="00696E06">
      <w:pPr>
        <w:ind w:left="360"/>
      </w:pPr>
    </w:p>
    <w:p w14:paraId="2D5E3D2E" w14:textId="1D206127" w:rsidR="0024717B" w:rsidRDefault="0024717B" w:rsidP="00696E06">
      <w:pPr>
        <w:ind w:left="360"/>
      </w:pPr>
    </w:p>
    <w:p w14:paraId="7E3BE676" w14:textId="5B054024" w:rsidR="002755B5" w:rsidRDefault="002755B5" w:rsidP="00696E06">
      <w:pPr>
        <w:ind w:left="360"/>
      </w:pPr>
    </w:p>
    <w:p w14:paraId="737A87E8" w14:textId="3EBCBF86" w:rsidR="002755B5" w:rsidRDefault="002755B5" w:rsidP="00696E06">
      <w:pPr>
        <w:ind w:left="360"/>
      </w:pPr>
    </w:p>
    <w:p w14:paraId="6A0C556A" w14:textId="77777777" w:rsidR="002755B5" w:rsidRDefault="002755B5" w:rsidP="00696E06">
      <w:pPr>
        <w:ind w:left="360"/>
      </w:pPr>
    </w:p>
    <w:p w14:paraId="14FEB898" w14:textId="0AFC691A" w:rsidR="0024717B" w:rsidRDefault="0024717B" w:rsidP="00696E06">
      <w:pPr>
        <w:ind w:left="360"/>
      </w:pPr>
    </w:p>
    <w:p w14:paraId="034DCCB5" w14:textId="5AB2EC4E" w:rsidR="002755B5" w:rsidRDefault="0024717B" w:rsidP="002755B5">
      <w:pPr>
        <w:jc w:val="center"/>
      </w:pPr>
      <w:r w:rsidRPr="0024717B">
        <w:rPr>
          <w:b/>
          <w:bCs/>
        </w:rPr>
        <w:t>Acknowledgements</w:t>
      </w:r>
      <w:r>
        <w:t>:</w:t>
      </w:r>
    </w:p>
    <w:p w14:paraId="1058C1AC" w14:textId="0A18BF01" w:rsidR="0024717B" w:rsidRDefault="0024717B" w:rsidP="002755B5">
      <w:pPr>
        <w:jc w:val="center"/>
      </w:pPr>
      <w:r>
        <w:t xml:space="preserve">I am deeply grateful to Carol </w:t>
      </w:r>
      <w:proofErr w:type="spellStart"/>
      <w:r>
        <w:t>Hunn</w:t>
      </w:r>
      <w:proofErr w:type="spellEnd"/>
      <w:r>
        <w:t xml:space="preserve"> and Philip Lindeman for their assistance in preparing this </w:t>
      </w:r>
      <w:r w:rsidR="002755B5">
        <w:t>supplement</w:t>
      </w:r>
      <w:r>
        <w:t>.</w:t>
      </w:r>
    </w:p>
    <w:sectPr w:rsidR="0024717B" w:rsidSect="005355C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6852" w14:textId="77777777" w:rsidR="00381F22" w:rsidRDefault="00381F22" w:rsidP="00552E7D">
      <w:r>
        <w:separator/>
      </w:r>
    </w:p>
  </w:endnote>
  <w:endnote w:type="continuationSeparator" w:id="0">
    <w:p w14:paraId="0AB5C976" w14:textId="77777777" w:rsidR="00381F22" w:rsidRDefault="00381F22" w:rsidP="0055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781799"/>
      <w:docPartObj>
        <w:docPartGallery w:val="Page Numbers (Bottom of Page)"/>
        <w:docPartUnique/>
      </w:docPartObj>
    </w:sdtPr>
    <w:sdtEndPr>
      <w:rPr>
        <w:noProof/>
      </w:rPr>
    </w:sdtEndPr>
    <w:sdtContent>
      <w:p w14:paraId="039DF721" w14:textId="503EF1B1" w:rsidR="00552E7D" w:rsidRDefault="00552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F493EB" w14:textId="77777777" w:rsidR="00552E7D" w:rsidRDefault="00552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6675" w14:textId="77777777" w:rsidR="00381F22" w:rsidRDefault="00381F22" w:rsidP="00552E7D">
      <w:r>
        <w:separator/>
      </w:r>
    </w:p>
  </w:footnote>
  <w:footnote w:type="continuationSeparator" w:id="0">
    <w:p w14:paraId="6E261C42" w14:textId="77777777" w:rsidR="00381F22" w:rsidRDefault="00381F22" w:rsidP="00552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5998"/>
    <w:multiLevelType w:val="hybridMultilevel"/>
    <w:tmpl w:val="B5C24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5C57A5"/>
    <w:multiLevelType w:val="hybridMultilevel"/>
    <w:tmpl w:val="229C24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6D74C6"/>
    <w:multiLevelType w:val="hybridMultilevel"/>
    <w:tmpl w:val="2B1657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3079A9"/>
    <w:multiLevelType w:val="hybridMultilevel"/>
    <w:tmpl w:val="BE1A8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DD520D"/>
    <w:multiLevelType w:val="hybridMultilevel"/>
    <w:tmpl w:val="D6A2B3C0"/>
    <w:lvl w:ilvl="0" w:tplc="737E179E">
      <w:start w:val="1"/>
      <w:numFmt w:val="decimal"/>
      <w:lvlText w:val="%1."/>
      <w:lvlJc w:val="left"/>
      <w:pPr>
        <w:ind w:left="360" w:hanging="360"/>
      </w:pPr>
      <w:rPr>
        <w:rFonts w:ascii="Arial" w:hAnsi="Arial" w:cs="Arial"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D24E64"/>
    <w:multiLevelType w:val="hybridMultilevel"/>
    <w:tmpl w:val="41141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B6713E-51DC-4097-A053-0EC37E7FFFBC}"/>
    <w:docVar w:name="dgnword-eventsink" w:val="343213408"/>
  </w:docVars>
  <w:rsids>
    <w:rsidRoot w:val="009F161E"/>
    <w:rsid w:val="00000B8C"/>
    <w:rsid w:val="000130EC"/>
    <w:rsid w:val="00030B30"/>
    <w:rsid w:val="00031AC7"/>
    <w:rsid w:val="000401D9"/>
    <w:rsid w:val="00040586"/>
    <w:rsid w:val="0004747E"/>
    <w:rsid w:val="00053129"/>
    <w:rsid w:val="0007019A"/>
    <w:rsid w:val="00083D4A"/>
    <w:rsid w:val="000937B9"/>
    <w:rsid w:val="00097108"/>
    <w:rsid w:val="000C41C6"/>
    <w:rsid w:val="000C42D2"/>
    <w:rsid w:val="000D331F"/>
    <w:rsid w:val="000D687A"/>
    <w:rsid w:val="000F5FB8"/>
    <w:rsid w:val="00110B6D"/>
    <w:rsid w:val="00127114"/>
    <w:rsid w:val="001307BD"/>
    <w:rsid w:val="00147524"/>
    <w:rsid w:val="00152416"/>
    <w:rsid w:val="00156190"/>
    <w:rsid w:val="00173207"/>
    <w:rsid w:val="00177DCB"/>
    <w:rsid w:val="001904F5"/>
    <w:rsid w:val="00197910"/>
    <w:rsid w:val="001B2C46"/>
    <w:rsid w:val="001B2D2D"/>
    <w:rsid w:val="001B40AF"/>
    <w:rsid w:val="001C23C4"/>
    <w:rsid w:val="001D2ADE"/>
    <w:rsid w:val="001E62D7"/>
    <w:rsid w:val="00203EDE"/>
    <w:rsid w:val="00210945"/>
    <w:rsid w:val="002368D3"/>
    <w:rsid w:val="00245509"/>
    <w:rsid w:val="00246A09"/>
    <w:rsid w:val="0024717B"/>
    <w:rsid w:val="00262FBC"/>
    <w:rsid w:val="00264A70"/>
    <w:rsid w:val="002660ED"/>
    <w:rsid w:val="002755B5"/>
    <w:rsid w:val="00276C80"/>
    <w:rsid w:val="002A6CAB"/>
    <w:rsid w:val="002B2200"/>
    <w:rsid w:val="002D66D1"/>
    <w:rsid w:val="002E1E0B"/>
    <w:rsid w:val="002F2DD2"/>
    <w:rsid w:val="003220E0"/>
    <w:rsid w:val="00360276"/>
    <w:rsid w:val="0037538C"/>
    <w:rsid w:val="00381F22"/>
    <w:rsid w:val="003932CD"/>
    <w:rsid w:val="003A0F7D"/>
    <w:rsid w:val="003C615D"/>
    <w:rsid w:val="003E7628"/>
    <w:rsid w:val="00406F89"/>
    <w:rsid w:val="004233D0"/>
    <w:rsid w:val="00436F86"/>
    <w:rsid w:val="00442F3C"/>
    <w:rsid w:val="00456D50"/>
    <w:rsid w:val="00462318"/>
    <w:rsid w:val="0046234B"/>
    <w:rsid w:val="00471812"/>
    <w:rsid w:val="0049373F"/>
    <w:rsid w:val="00493B89"/>
    <w:rsid w:val="004A2DDA"/>
    <w:rsid w:val="004E3B38"/>
    <w:rsid w:val="004F451E"/>
    <w:rsid w:val="004F5C85"/>
    <w:rsid w:val="00500749"/>
    <w:rsid w:val="00520F59"/>
    <w:rsid w:val="005355C2"/>
    <w:rsid w:val="0054758B"/>
    <w:rsid w:val="005509FD"/>
    <w:rsid w:val="00552E7D"/>
    <w:rsid w:val="00571510"/>
    <w:rsid w:val="00571EE5"/>
    <w:rsid w:val="00595CB7"/>
    <w:rsid w:val="00596039"/>
    <w:rsid w:val="005A5375"/>
    <w:rsid w:val="005B4BBA"/>
    <w:rsid w:val="005B570B"/>
    <w:rsid w:val="005D0EE7"/>
    <w:rsid w:val="005D231C"/>
    <w:rsid w:val="005D589E"/>
    <w:rsid w:val="005D7B11"/>
    <w:rsid w:val="005F3501"/>
    <w:rsid w:val="006072F4"/>
    <w:rsid w:val="00623346"/>
    <w:rsid w:val="006423D0"/>
    <w:rsid w:val="00642901"/>
    <w:rsid w:val="006530BE"/>
    <w:rsid w:val="0065632E"/>
    <w:rsid w:val="00657A5A"/>
    <w:rsid w:val="006623EA"/>
    <w:rsid w:val="00671317"/>
    <w:rsid w:val="0067327D"/>
    <w:rsid w:val="00680FC5"/>
    <w:rsid w:val="006854A9"/>
    <w:rsid w:val="0069368E"/>
    <w:rsid w:val="00696E06"/>
    <w:rsid w:val="006A2B3B"/>
    <w:rsid w:val="006B0FBF"/>
    <w:rsid w:val="006B1193"/>
    <w:rsid w:val="006B42FD"/>
    <w:rsid w:val="006B7B6B"/>
    <w:rsid w:val="006C3F56"/>
    <w:rsid w:val="006D0014"/>
    <w:rsid w:val="006E0AD5"/>
    <w:rsid w:val="006E15C4"/>
    <w:rsid w:val="00705FA7"/>
    <w:rsid w:val="00714150"/>
    <w:rsid w:val="00714A45"/>
    <w:rsid w:val="00753DB2"/>
    <w:rsid w:val="007B373E"/>
    <w:rsid w:val="007B576D"/>
    <w:rsid w:val="007E345F"/>
    <w:rsid w:val="00824D42"/>
    <w:rsid w:val="008735C3"/>
    <w:rsid w:val="0088456A"/>
    <w:rsid w:val="00886662"/>
    <w:rsid w:val="008959B8"/>
    <w:rsid w:val="008C54DF"/>
    <w:rsid w:val="008D65B3"/>
    <w:rsid w:val="008F0E0C"/>
    <w:rsid w:val="008F7761"/>
    <w:rsid w:val="00901086"/>
    <w:rsid w:val="0093335E"/>
    <w:rsid w:val="0093676C"/>
    <w:rsid w:val="0093705B"/>
    <w:rsid w:val="00950364"/>
    <w:rsid w:val="00966434"/>
    <w:rsid w:val="009811F0"/>
    <w:rsid w:val="00982AD7"/>
    <w:rsid w:val="00992134"/>
    <w:rsid w:val="009A4820"/>
    <w:rsid w:val="009B6365"/>
    <w:rsid w:val="009C32D7"/>
    <w:rsid w:val="009E66D1"/>
    <w:rsid w:val="009F161E"/>
    <w:rsid w:val="009F5E90"/>
    <w:rsid w:val="009F6A09"/>
    <w:rsid w:val="00A0310F"/>
    <w:rsid w:val="00A05188"/>
    <w:rsid w:val="00A13611"/>
    <w:rsid w:val="00A20B63"/>
    <w:rsid w:val="00A22DBE"/>
    <w:rsid w:val="00A22DDD"/>
    <w:rsid w:val="00A24063"/>
    <w:rsid w:val="00A410B1"/>
    <w:rsid w:val="00A62A5F"/>
    <w:rsid w:val="00A83C2E"/>
    <w:rsid w:val="00A85680"/>
    <w:rsid w:val="00A94DCC"/>
    <w:rsid w:val="00AA76D5"/>
    <w:rsid w:val="00AB2E1C"/>
    <w:rsid w:val="00AD32AD"/>
    <w:rsid w:val="00AD4548"/>
    <w:rsid w:val="00AE2B0C"/>
    <w:rsid w:val="00AE72D4"/>
    <w:rsid w:val="00B01B3E"/>
    <w:rsid w:val="00B03CAC"/>
    <w:rsid w:val="00B06EF8"/>
    <w:rsid w:val="00B12B88"/>
    <w:rsid w:val="00B14DBB"/>
    <w:rsid w:val="00B16880"/>
    <w:rsid w:val="00B2463B"/>
    <w:rsid w:val="00B258A0"/>
    <w:rsid w:val="00B37257"/>
    <w:rsid w:val="00B76070"/>
    <w:rsid w:val="00B8544D"/>
    <w:rsid w:val="00BA4E30"/>
    <w:rsid w:val="00BB72E3"/>
    <w:rsid w:val="00BC024C"/>
    <w:rsid w:val="00BC2982"/>
    <w:rsid w:val="00BC4200"/>
    <w:rsid w:val="00BD23FA"/>
    <w:rsid w:val="00BE2BEC"/>
    <w:rsid w:val="00BE52BE"/>
    <w:rsid w:val="00BE65D6"/>
    <w:rsid w:val="00BF7AEA"/>
    <w:rsid w:val="00C038AC"/>
    <w:rsid w:val="00C0773D"/>
    <w:rsid w:val="00C21A9C"/>
    <w:rsid w:val="00C2690D"/>
    <w:rsid w:val="00C3143F"/>
    <w:rsid w:val="00C50758"/>
    <w:rsid w:val="00C50B93"/>
    <w:rsid w:val="00C57927"/>
    <w:rsid w:val="00C60A1E"/>
    <w:rsid w:val="00C74E36"/>
    <w:rsid w:val="00C75775"/>
    <w:rsid w:val="00C7647E"/>
    <w:rsid w:val="00C77826"/>
    <w:rsid w:val="00C814F5"/>
    <w:rsid w:val="00C903C3"/>
    <w:rsid w:val="00CA1E40"/>
    <w:rsid w:val="00CA51DC"/>
    <w:rsid w:val="00CB0B85"/>
    <w:rsid w:val="00CB7B8E"/>
    <w:rsid w:val="00CC647F"/>
    <w:rsid w:val="00CC7EE8"/>
    <w:rsid w:val="00CD5128"/>
    <w:rsid w:val="00CE3D64"/>
    <w:rsid w:val="00CE5CA9"/>
    <w:rsid w:val="00D068FC"/>
    <w:rsid w:val="00D14756"/>
    <w:rsid w:val="00D207F9"/>
    <w:rsid w:val="00D25816"/>
    <w:rsid w:val="00D25B95"/>
    <w:rsid w:val="00D5623B"/>
    <w:rsid w:val="00D751DC"/>
    <w:rsid w:val="00D82A6C"/>
    <w:rsid w:val="00D871BD"/>
    <w:rsid w:val="00DD0D8F"/>
    <w:rsid w:val="00DD227E"/>
    <w:rsid w:val="00DE06FD"/>
    <w:rsid w:val="00DE74ED"/>
    <w:rsid w:val="00E00BAD"/>
    <w:rsid w:val="00E36852"/>
    <w:rsid w:val="00E43415"/>
    <w:rsid w:val="00E52F02"/>
    <w:rsid w:val="00E61945"/>
    <w:rsid w:val="00E66EE2"/>
    <w:rsid w:val="00EC4A02"/>
    <w:rsid w:val="00ED094D"/>
    <w:rsid w:val="00ED1937"/>
    <w:rsid w:val="00ED3CA2"/>
    <w:rsid w:val="00F03608"/>
    <w:rsid w:val="00F22AE8"/>
    <w:rsid w:val="00F367BF"/>
    <w:rsid w:val="00F41083"/>
    <w:rsid w:val="00F5716E"/>
    <w:rsid w:val="00F8003D"/>
    <w:rsid w:val="00F80E0C"/>
    <w:rsid w:val="00F86F57"/>
    <w:rsid w:val="00FC3136"/>
    <w:rsid w:val="00FC6D8C"/>
    <w:rsid w:val="00FC734B"/>
    <w:rsid w:val="00FD13A4"/>
    <w:rsid w:val="00FD474F"/>
    <w:rsid w:val="00FE207C"/>
    <w:rsid w:val="00FE2A4E"/>
    <w:rsid w:val="00FE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82C2"/>
  <w15:chartTrackingRefBased/>
  <w15:docId w15:val="{F9516DA9-B1B5-4095-AFC7-BEE5B475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E7D"/>
    <w:pPr>
      <w:tabs>
        <w:tab w:val="center" w:pos="4680"/>
        <w:tab w:val="right" w:pos="9360"/>
      </w:tabs>
    </w:pPr>
  </w:style>
  <w:style w:type="character" w:customStyle="1" w:styleId="HeaderChar">
    <w:name w:val="Header Char"/>
    <w:basedOn w:val="DefaultParagraphFont"/>
    <w:link w:val="Header"/>
    <w:uiPriority w:val="99"/>
    <w:rsid w:val="00552E7D"/>
  </w:style>
  <w:style w:type="paragraph" w:styleId="Footer">
    <w:name w:val="footer"/>
    <w:basedOn w:val="Normal"/>
    <w:link w:val="FooterChar"/>
    <w:uiPriority w:val="99"/>
    <w:unhideWhenUsed/>
    <w:rsid w:val="00552E7D"/>
    <w:pPr>
      <w:tabs>
        <w:tab w:val="center" w:pos="4680"/>
        <w:tab w:val="right" w:pos="9360"/>
      </w:tabs>
    </w:pPr>
  </w:style>
  <w:style w:type="character" w:customStyle="1" w:styleId="FooterChar">
    <w:name w:val="Footer Char"/>
    <w:basedOn w:val="DefaultParagraphFont"/>
    <w:link w:val="Footer"/>
    <w:uiPriority w:val="99"/>
    <w:rsid w:val="00552E7D"/>
  </w:style>
  <w:style w:type="paragraph" w:styleId="ListParagraph">
    <w:name w:val="List Paragraph"/>
    <w:basedOn w:val="Normal"/>
    <w:uiPriority w:val="34"/>
    <w:qFormat/>
    <w:rsid w:val="00552E7D"/>
    <w:pPr>
      <w:ind w:left="720"/>
      <w:contextualSpacing/>
    </w:pPr>
  </w:style>
  <w:style w:type="character" w:styleId="Emphasis">
    <w:name w:val="Emphasis"/>
    <w:basedOn w:val="DefaultParagraphFont"/>
    <w:uiPriority w:val="20"/>
    <w:qFormat/>
    <w:rsid w:val="001B2D2D"/>
    <w:rPr>
      <w:i/>
      <w:iCs/>
    </w:rPr>
  </w:style>
  <w:style w:type="table" w:styleId="TableGrid">
    <w:name w:val="Table Grid"/>
    <w:basedOn w:val="TableNormal"/>
    <w:uiPriority w:val="39"/>
    <w:rsid w:val="00C5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6D1"/>
    <w:rPr>
      <w:color w:val="0563C1" w:themeColor="hyperlink"/>
      <w:u w:val="single"/>
    </w:rPr>
  </w:style>
  <w:style w:type="character" w:styleId="UnresolvedMention">
    <w:name w:val="Unresolved Mention"/>
    <w:basedOn w:val="DefaultParagraphFont"/>
    <w:uiPriority w:val="99"/>
    <w:semiHidden/>
    <w:unhideWhenUsed/>
    <w:rsid w:val="002D6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3673">
      <w:bodyDiv w:val="1"/>
      <w:marLeft w:val="0"/>
      <w:marRight w:val="0"/>
      <w:marTop w:val="0"/>
      <w:marBottom w:val="0"/>
      <w:divBdr>
        <w:top w:val="none" w:sz="0" w:space="0" w:color="auto"/>
        <w:left w:val="none" w:sz="0" w:space="0" w:color="auto"/>
        <w:bottom w:val="none" w:sz="0" w:space="0" w:color="auto"/>
        <w:right w:val="none" w:sz="0" w:space="0" w:color="auto"/>
      </w:divBdr>
    </w:div>
    <w:div w:id="155998697">
      <w:bodyDiv w:val="1"/>
      <w:marLeft w:val="0"/>
      <w:marRight w:val="0"/>
      <w:marTop w:val="0"/>
      <w:marBottom w:val="0"/>
      <w:divBdr>
        <w:top w:val="none" w:sz="0" w:space="0" w:color="auto"/>
        <w:left w:val="none" w:sz="0" w:space="0" w:color="auto"/>
        <w:bottom w:val="none" w:sz="0" w:space="0" w:color="auto"/>
        <w:right w:val="none" w:sz="0" w:space="0" w:color="auto"/>
      </w:divBdr>
    </w:div>
    <w:div w:id="160825908">
      <w:bodyDiv w:val="1"/>
      <w:marLeft w:val="0"/>
      <w:marRight w:val="0"/>
      <w:marTop w:val="0"/>
      <w:marBottom w:val="0"/>
      <w:divBdr>
        <w:top w:val="none" w:sz="0" w:space="0" w:color="auto"/>
        <w:left w:val="none" w:sz="0" w:space="0" w:color="auto"/>
        <w:bottom w:val="none" w:sz="0" w:space="0" w:color="auto"/>
        <w:right w:val="none" w:sz="0" w:space="0" w:color="auto"/>
      </w:divBdr>
    </w:div>
    <w:div w:id="176191127">
      <w:bodyDiv w:val="1"/>
      <w:marLeft w:val="0"/>
      <w:marRight w:val="0"/>
      <w:marTop w:val="0"/>
      <w:marBottom w:val="0"/>
      <w:divBdr>
        <w:top w:val="none" w:sz="0" w:space="0" w:color="auto"/>
        <w:left w:val="none" w:sz="0" w:space="0" w:color="auto"/>
        <w:bottom w:val="none" w:sz="0" w:space="0" w:color="auto"/>
        <w:right w:val="none" w:sz="0" w:space="0" w:color="auto"/>
      </w:divBdr>
    </w:div>
    <w:div w:id="232088682">
      <w:bodyDiv w:val="1"/>
      <w:marLeft w:val="0"/>
      <w:marRight w:val="0"/>
      <w:marTop w:val="0"/>
      <w:marBottom w:val="0"/>
      <w:divBdr>
        <w:top w:val="none" w:sz="0" w:space="0" w:color="auto"/>
        <w:left w:val="none" w:sz="0" w:space="0" w:color="auto"/>
        <w:bottom w:val="none" w:sz="0" w:space="0" w:color="auto"/>
        <w:right w:val="none" w:sz="0" w:space="0" w:color="auto"/>
      </w:divBdr>
    </w:div>
    <w:div w:id="242885453">
      <w:bodyDiv w:val="1"/>
      <w:marLeft w:val="0"/>
      <w:marRight w:val="0"/>
      <w:marTop w:val="0"/>
      <w:marBottom w:val="0"/>
      <w:divBdr>
        <w:top w:val="none" w:sz="0" w:space="0" w:color="auto"/>
        <w:left w:val="none" w:sz="0" w:space="0" w:color="auto"/>
        <w:bottom w:val="none" w:sz="0" w:space="0" w:color="auto"/>
        <w:right w:val="none" w:sz="0" w:space="0" w:color="auto"/>
      </w:divBdr>
    </w:div>
    <w:div w:id="256333906">
      <w:bodyDiv w:val="1"/>
      <w:marLeft w:val="0"/>
      <w:marRight w:val="0"/>
      <w:marTop w:val="0"/>
      <w:marBottom w:val="0"/>
      <w:divBdr>
        <w:top w:val="none" w:sz="0" w:space="0" w:color="auto"/>
        <w:left w:val="none" w:sz="0" w:space="0" w:color="auto"/>
        <w:bottom w:val="none" w:sz="0" w:space="0" w:color="auto"/>
        <w:right w:val="none" w:sz="0" w:space="0" w:color="auto"/>
      </w:divBdr>
    </w:div>
    <w:div w:id="270557340">
      <w:bodyDiv w:val="1"/>
      <w:marLeft w:val="0"/>
      <w:marRight w:val="0"/>
      <w:marTop w:val="0"/>
      <w:marBottom w:val="0"/>
      <w:divBdr>
        <w:top w:val="none" w:sz="0" w:space="0" w:color="auto"/>
        <w:left w:val="none" w:sz="0" w:space="0" w:color="auto"/>
        <w:bottom w:val="none" w:sz="0" w:space="0" w:color="auto"/>
        <w:right w:val="none" w:sz="0" w:space="0" w:color="auto"/>
      </w:divBdr>
    </w:div>
    <w:div w:id="294020491">
      <w:bodyDiv w:val="1"/>
      <w:marLeft w:val="0"/>
      <w:marRight w:val="0"/>
      <w:marTop w:val="0"/>
      <w:marBottom w:val="0"/>
      <w:divBdr>
        <w:top w:val="none" w:sz="0" w:space="0" w:color="auto"/>
        <w:left w:val="none" w:sz="0" w:space="0" w:color="auto"/>
        <w:bottom w:val="none" w:sz="0" w:space="0" w:color="auto"/>
        <w:right w:val="none" w:sz="0" w:space="0" w:color="auto"/>
      </w:divBdr>
    </w:div>
    <w:div w:id="303630827">
      <w:bodyDiv w:val="1"/>
      <w:marLeft w:val="0"/>
      <w:marRight w:val="0"/>
      <w:marTop w:val="0"/>
      <w:marBottom w:val="0"/>
      <w:divBdr>
        <w:top w:val="none" w:sz="0" w:space="0" w:color="auto"/>
        <w:left w:val="none" w:sz="0" w:space="0" w:color="auto"/>
        <w:bottom w:val="none" w:sz="0" w:space="0" w:color="auto"/>
        <w:right w:val="none" w:sz="0" w:space="0" w:color="auto"/>
      </w:divBdr>
    </w:div>
    <w:div w:id="326517858">
      <w:bodyDiv w:val="1"/>
      <w:marLeft w:val="0"/>
      <w:marRight w:val="0"/>
      <w:marTop w:val="0"/>
      <w:marBottom w:val="0"/>
      <w:divBdr>
        <w:top w:val="none" w:sz="0" w:space="0" w:color="auto"/>
        <w:left w:val="none" w:sz="0" w:space="0" w:color="auto"/>
        <w:bottom w:val="none" w:sz="0" w:space="0" w:color="auto"/>
        <w:right w:val="none" w:sz="0" w:space="0" w:color="auto"/>
      </w:divBdr>
    </w:div>
    <w:div w:id="330066602">
      <w:bodyDiv w:val="1"/>
      <w:marLeft w:val="0"/>
      <w:marRight w:val="0"/>
      <w:marTop w:val="0"/>
      <w:marBottom w:val="0"/>
      <w:divBdr>
        <w:top w:val="none" w:sz="0" w:space="0" w:color="auto"/>
        <w:left w:val="none" w:sz="0" w:space="0" w:color="auto"/>
        <w:bottom w:val="none" w:sz="0" w:space="0" w:color="auto"/>
        <w:right w:val="none" w:sz="0" w:space="0" w:color="auto"/>
      </w:divBdr>
    </w:div>
    <w:div w:id="337001751">
      <w:bodyDiv w:val="1"/>
      <w:marLeft w:val="0"/>
      <w:marRight w:val="0"/>
      <w:marTop w:val="0"/>
      <w:marBottom w:val="0"/>
      <w:divBdr>
        <w:top w:val="none" w:sz="0" w:space="0" w:color="auto"/>
        <w:left w:val="none" w:sz="0" w:space="0" w:color="auto"/>
        <w:bottom w:val="none" w:sz="0" w:space="0" w:color="auto"/>
        <w:right w:val="none" w:sz="0" w:space="0" w:color="auto"/>
      </w:divBdr>
    </w:div>
    <w:div w:id="337513040">
      <w:bodyDiv w:val="1"/>
      <w:marLeft w:val="0"/>
      <w:marRight w:val="0"/>
      <w:marTop w:val="0"/>
      <w:marBottom w:val="0"/>
      <w:divBdr>
        <w:top w:val="none" w:sz="0" w:space="0" w:color="auto"/>
        <w:left w:val="none" w:sz="0" w:space="0" w:color="auto"/>
        <w:bottom w:val="none" w:sz="0" w:space="0" w:color="auto"/>
        <w:right w:val="none" w:sz="0" w:space="0" w:color="auto"/>
      </w:divBdr>
    </w:div>
    <w:div w:id="414596913">
      <w:bodyDiv w:val="1"/>
      <w:marLeft w:val="0"/>
      <w:marRight w:val="0"/>
      <w:marTop w:val="0"/>
      <w:marBottom w:val="0"/>
      <w:divBdr>
        <w:top w:val="none" w:sz="0" w:space="0" w:color="auto"/>
        <w:left w:val="none" w:sz="0" w:space="0" w:color="auto"/>
        <w:bottom w:val="none" w:sz="0" w:space="0" w:color="auto"/>
        <w:right w:val="none" w:sz="0" w:space="0" w:color="auto"/>
      </w:divBdr>
    </w:div>
    <w:div w:id="474108513">
      <w:bodyDiv w:val="1"/>
      <w:marLeft w:val="0"/>
      <w:marRight w:val="0"/>
      <w:marTop w:val="0"/>
      <w:marBottom w:val="0"/>
      <w:divBdr>
        <w:top w:val="none" w:sz="0" w:space="0" w:color="auto"/>
        <w:left w:val="none" w:sz="0" w:space="0" w:color="auto"/>
        <w:bottom w:val="none" w:sz="0" w:space="0" w:color="auto"/>
        <w:right w:val="none" w:sz="0" w:space="0" w:color="auto"/>
      </w:divBdr>
    </w:div>
    <w:div w:id="520097149">
      <w:bodyDiv w:val="1"/>
      <w:marLeft w:val="0"/>
      <w:marRight w:val="0"/>
      <w:marTop w:val="0"/>
      <w:marBottom w:val="0"/>
      <w:divBdr>
        <w:top w:val="none" w:sz="0" w:space="0" w:color="auto"/>
        <w:left w:val="none" w:sz="0" w:space="0" w:color="auto"/>
        <w:bottom w:val="none" w:sz="0" w:space="0" w:color="auto"/>
        <w:right w:val="none" w:sz="0" w:space="0" w:color="auto"/>
      </w:divBdr>
    </w:div>
    <w:div w:id="535192234">
      <w:bodyDiv w:val="1"/>
      <w:marLeft w:val="0"/>
      <w:marRight w:val="0"/>
      <w:marTop w:val="0"/>
      <w:marBottom w:val="0"/>
      <w:divBdr>
        <w:top w:val="none" w:sz="0" w:space="0" w:color="auto"/>
        <w:left w:val="none" w:sz="0" w:space="0" w:color="auto"/>
        <w:bottom w:val="none" w:sz="0" w:space="0" w:color="auto"/>
        <w:right w:val="none" w:sz="0" w:space="0" w:color="auto"/>
      </w:divBdr>
    </w:div>
    <w:div w:id="569342549">
      <w:bodyDiv w:val="1"/>
      <w:marLeft w:val="0"/>
      <w:marRight w:val="0"/>
      <w:marTop w:val="0"/>
      <w:marBottom w:val="0"/>
      <w:divBdr>
        <w:top w:val="none" w:sz="0" w:space="0" w:color="auto"/>
        <w:left w:val="none" w:sz="0" w:space="0" w:color="auto"/>
        <w:bottom w:val="none" w:sz="0" w:space="0" w:color="auto"/>
        <w:right w:val="none" w:sz="0" w:space="0" w:color="auto"/>
      </w:divBdr>
    </w:div>
    <w:div w:id="574127125">
      <w:bodyDiv w:val="1"/>
      <w:marLeft w:val="0"/>
      <w:marRight w:val="0"/>
      <w:marTop w:val="0"/>
      <w:marBottom w:val="0"/>
      <w:divBdr>
        <w:top w:val="none" w:sz="0" w:space="0" w:color="auto"/>
        <w:left w:val="none" w:sz="0" w:space="0" w:color="auto"/>
        <w:bottom w:val="none" w:sz="0" w:space="0" w:color="auto"/>
        <w:right w:val="none" w:sz="0" w:space="0" w:color="auto"/>
      </w:divBdr>
    </w:div>
    <w:div w:id="631180307">
      <w:bodyDiv w:val="1"/>
      <w:marLeft w:val="0"/>
      <w:marRight w:val="0"/>
      <w:marTop w:val="0"/>
      <w:marBottom w:val="0"/>
      <w:divBdr>
        <w:top w:val="none" w:sz="0" w:space="0" w:color="auto"/>
        <w:left w:val="none" w:sz="0" w:space="0" w:color="auto"/>
        <w:bottom w:val="none" w:sz="0" w:space="0" w:color="auto"/>
        <w:right w:val="none" w:sz="0" w:space="0" w:color="auto"/>
      </w:divBdr>
    </w:div>
    <w:div w:id="688289375">
      <w:bodyDiv w:val="1"/>
      <w:marLeft w:val="0"/>
      <w:marRight w:val="0"/>
      <w:marTop w:val="0"/>
      <w:marBottom w:val="0"/>
      <w:divBdr>
        <w:top w:val="none" w:sz="0" w:space="0" w:color="auto"/>
        <w:left w:val="none" w:sz="0" w:space="0" w:color="auto"/>
        <w:bottom w:val="none" w:sz="0" w:space="0" w:color="auto"/>
        <w:right w:val="none" w:sz="0" w:space="0" w:color="auto"/>
      </w:divBdr>
    </w:div>
    <w:div w:id="738359781">
      <w:bodyDiv w:val="1"/>
      <w:marLeft w:val="0"/>
      <w:marRight w:val="0"/>
      <w:marTop w:val="0"/>
      <w:marBottom w:val="0"/>
      <w:divBdr>
        <w:top w:val="none" w:sz="0" w:space="0" w:color="auto"/>
        <w:left w:val="none" w:sz="0" w:space="0" w:color="auto"/>
        <w:bottom w:val="none" w:sz="0" w:space="0" w:color="auto"/>
        <w:right w:val="none" w:sz="0" w:space="0" w:color="auto"/>
      </w:divBdr>
    </w:div>
    <w:div w:id="784033668">
      <w:bodyDiv w:val="1"/>
      <w:marLeft w:val="0"/>
      <w:marRight w:val="0"/>
      <w:marTop w:val="0"/>
      <w:marBottom w:val="0"/>
      <w:divBdr>
        <w:top w:val="none" w:sz="0" w:space="0" w:color="auto"/>
        <w:left w:val="none" w:sz="0" w:space="0" w:color="auto"/>
        <w:bottom w:val="none" w:sz="0" w:space="0" w:color="auto"/>
        <w:right w:val="none" w:sz="0" w:space="0" w:color="auto"/>
      </w:divBdr>
    </w:div>
    <w:div w:id="787553588">
      <w:bodyDiv w:val="1"/>
      <w:marLeft w:val="0"/>
      <w:marRight w:val="0"/>
      <w:marTop w:val="0"/>
      <w:marBottom w:val="0"/>
      <w:divBdr>
        <w:top w:val="none" w:sz="0" w:space="0" w:color="auto"/>
        <w:left w:val="none" w:sz="0" w:space="0" w:color="auto"/>
        <w:bottom w:val="none" w:sz="0" w:space="0" w:color="auto"/>
        <w:right w:val="none" w:sz="0" w:space="0" w:color="auto"/>
      </w:divBdr>
    </w:div>
    <w:div w:id="792673710">
      <w:bodyDiv w:val="1"/>
      <w:marLeft w:val="0"/>
      <w:marRight w:val="0"/>
      <w:marTop w:val="0"/>
      <w:marBottom w:val="0"/>
      <w:divBdr>
        <w:top w:val="none" w:sz="0" w:space="0" w:color="auto"/>
        <w:left w:val="none" w:sz="0" w:space="0" w:color="auto"/>
        <w:bottom w:val="none" w:sz="0" w:space="0" w:color="auto"/>
        <w:right w:val="none" w:sz="0" w:space="0" w:color="auto"/>
      </w:divBdr>
    </w:div>
    <w:div w:id="826239233">
      <w:bodyDiv w:val="1"/>
      <w:marLeft w:val="0"/>
      <w:marRight w:val="0"/>
      <w:marTop w:val="0"/>
      <w:marBottom w:val="0"/>
      <w:divBdr>
        <w:top w:val="none" w:sz="0" w:space="0" w:color="auto"/>
        <w:left w:val="none" w:sz="0" w:space="0" w:color="auto"/>
        <w:bottom w:val="none" w:sz="0" w:space="0" w:color="auto"/>
        <w:right w:val="none" w:sz="0" w:space="0" w:color="auto"/>
      </w:divBdr>
    </w:div>
    <w:div w:id="829565946">
      <w:bodyDiv w:val="1"/>
      <w:marLeft w:val="0"/>
      <w:marRight w:val="0"/>
      <w:marTop w:val="0"/>
      <w:marBottom w:val="0"/>
      <w:divBdr>
        <w:top w:val="none" w:sz="0" w:space="0" w:color="auto"/>
        <w:left w:val="none" w:sz="0" w:space="0" w:color="auto"/>
        <w:bottom w:val="none" w:sz="0" w:space="0" w:color="auto"/>
        <w:right w:val="none" w:sz="0" w:space="0" w:color="auto"/>
      </w:divBdr>
    </w:div>
    <w:div w:id="838038407">
      <w:bodyDiv w:val="1"/>
      <w:marLeft w:val="0"/>
      <w:marRight w:val="0"/>
      <w:marTop w:val="0"/>
      <w:marBottom w:val="0"/>
      <w:divBdr>
        <w:top w:val="none" w:sz="0" w:space="0" w:color="auto"/>
        <w:left w:val="none" w:sz="0" w:space="0" w:color="auto"/>
        <w:bottom w:val="none" w:sz="0" w:space="0" w:color="auto"/>
        <w:right w:val="none" w:sz="0" w:space="0" w:color="auto"/>
      </w:divBdr>
    </w:div>
    <w:div w:id="898129095">
      <w:bodyDiv w:val="1"/>
      <w:marLeft w:val="0"/>
      <w:marRight w:val="0"/>
      <w:marTop w:val="0"/>
      <w:marBottom w:val="0"/>
      <w:divBdr>
        <w:top w:val="none" w:sz="0" w:space="0" w:color="auto"/>
        <w:left w:val="none" w:sz="0" w:space="0" w:color="auto"/>
        <w:bottom w:val="none" w:sz="0" w:space="0" w:color="auto"/>
        <w:right w:val="none" w:sz="0" w:space="0" w:color="auto"/>
      </w:divBdr>
    </w:div>
    <w:div w:id="935090803">
      <w:bodyDiv w:val="1"/>
      <w:marLeft w:val="0"/>
      <w:marRight w:val="0"/>
      <w:marTop w:val="0"/>
      <w:marBottom w:val="0"/>
      <w:divBdr>
        <w:top w:val="none" w:sz="0" w:space="0" w:color="auto"/>
        <w:left w:val="none" w:sz="0" w:space="0" w:color="auto"/>
        <w:bottom w:val="none" w:sz="0" w:space="0" w:color="auto"/>
        <w:right w:val="none" w:sz="0" w:space="0" w:color="auto"/>
      </w:divBdr>
    </w:div>
    <w:div w:id="947927585">
      <w:bodyDiv w:val="1"/>
      <w:marLeft w:val="0"/>
      <w:marRight w:val="0"/>
      <w:marTop w:val="0"/>
      <w:marBottom w:val="0"/>
      <w:divBdr>
        <w:top w:val="none" w:sz="0" w:space="0" w:color="auto"/>
        <w:left w:val="none" w:sz="0" w:space="0" w:color="auto"/>
        <w:bottom w:val="none" w:sz="0" w:space="0" w:color="auto"/>
        <w:right w:val="none" w:sz="0" w:space="0" w:color="auto"/>
      </w:divBdr>
    </w:div>
    <w:div w:id="1016345095">
      <w:bodyDiv w:val="1"/>
      <w:marLeft w:val="0"/>
      <w:marRight w:val="0"/>
      <w:marTop w:val="0"/>
      <w:marBottom w:val="0"/>
      <w:divBdr>
        <w:top w:val="none" w:sz="0" w:space="0" w:color="auto"/>
        <w:left w:val="none" w:sz="0" w:space="0" w:color="auto"/>
        <w:bottom w:val="none" w:sz="0" w:space="0" w:color="auto"/>
        <w:right w:val="none" w:sz="0" w:space="0" w:color="auto"/>
      </w:divBdr>
    </w:div>
    <w:div w:id="1018433147">
      <w:bodyDiv w:val="1"/>
      <w:marLeft w:val="0"/>
      <w:marRight w:val="0"/>
      <w:marTop w:val="0"/>
      <w:marBottom w:val="0"/>
      <w:divBdr>
        <w:top w:val="none" w:sz="0" w:space="0" w:color="auto"/>
        <w:left w:val="none" w:sz="0" w:space="0" w:color="auto"/>
        <w:bottom w:val="none" w:sz="0" w:space="0" w:color="auto"/>
        <w:right w:val="none" w:sz="0" w:space="0" w:color="auto"/>
      </w:divBdr>
    </w:div>
    <w:div w:id="1042827297">
      <w:bodyDiv w:val="1"/>
      <w:marLeft w:val="0"/>
      <w:marRight w:val="0"/>
      <w:marTop w:val="0"/>
      <w:marBottom w:val="0"/>
      <w:divBdr>
        <w:top w:val="none" w:sz="0" w:space="0" w:color="auto"/>
        <w:left w:val="none" w:sz="0" w:space="0" w:color="auto"/>
        <w:bottom w:val="none" w:sz="0" w:space="0" w:color="auto"/>
        <w:right w:val="none" w:sz="0" w:space="0" w:color="auto"/>
      </w:divBdr>
    </w:div>
    <w:div w:id="1058940074">
      <w:bodyDiv w:val="1"/>
      <w:marLeft w:val="0"/>
      <w:marRight w:val="0"/>
      <w:marTop w:val="0"/>
      <w:marBottom w:val="0"/>
      <w:divBdr>
        <w:top w:val="none" w:sz="0" w:space="0" w:color="auto"/>
        <w:left w:val="none" w:sz="0" w:space="0" w:color="auto"/>
        <w:bottom w:val="none" w:sz="0" w:space="0" w:color="auto"/>
        <w:right w:val="none" w:sz="0" w:space="0" w:color="auto"/>
      </w:divBdr>
    </w:div>
    <w:div w:id="1059979658">
      <w:bodyDiv w:val="1"/>
      <w:marLeft w:val="0"/>
      <w:marRight w:val="0"/>
      <w:marTop w:val="0"/>
      <w:marBottom w:val="0"/>
      <w:divBdr>
        <w:top w:val="none" w:sz="0" w:space="0" w:color="auto"/>
        <w:left w:val="none" w:sz="0" w:space="0" w:color="auto"/>
        <w:bottom w:val="none" w:sz="0" w:space="0" w:color="auto"/>
        <w:right w:val="none" w:sz="0" w:space="0" w:color="auto"/>
      </w:divBdr>
    </w:div>
    <w:div w:id="1067651820">
      <w:bodyDiv w:val="1"/>
      <w:marLeft w:val="0"/>
      <w:marRight w:val="0"/>
      <w:marTop w:val="0"/>
      <w:marBottom w:val="0"/>
      <w:divBdr>
        <w:top w:val="none" w:sz="0" w:space="0" w:color="auto"/>
        <w:left w:val="none" w:sz="0" w:space="0" w:color="auto"/>
        <w:bottom w:val="none" w:sz="0" w:space="0" w:color="auto"/>
        <w:right w:val="none" w:sz="0" w:space="0" w:color="auto"/>
      </w:divBdr>
    </w:div>
    <w:div w:id="1092818071">
      <w:bodyDiv w:val="1"/>
      <w:marLeft w:val="0"/>
      <w:marRight w:val="0"/>
      <w:marTop w:val="0"/>
      <w:marBottom w:val="0"/>
      <w:divBdr>
        <w:top w:val="none" w:sz="0" w:space="0" w:color="auto"/>
        <w:left w:val="none" w:sz="0" w:space="0" w:color="auto"/>
        <w:bottom w:val="none" w:sz="0" w:space="0" w:color="auto"/>
        <w:right w:val="none" w:sz="0" w:space="0" w:color="auto"/>
      </w:divBdr>
    </w:div>
    <w:div w:id="1163395893">
      <w:bodyDiv w:val="1"/>
      <w:marLeft w:val="0"/>
      <w:marRight w:val="0"/>
      <w:marTop w:val="0"/>
      <w:marBottom w:val="0"/>
      <w:divBdr>
        <w:top w:val="none" w:sz="0" w:space="0" w:color="auto"/>
        <w:left w:val="none" w:sz="0" w:space="0" w:color="auto"/>
        <w:bottom w:val="none" w:sz="0" w:space="0" w:color="auto"/>
        <w:right w:val="none" w:sz="0" w:space="0" w:color="auto"/>
      </w:divBdr>
    </w:div>
    <w:div w:id="1164008138">
      <w:bodyDiv w:val="1"/>
      <w:marLeft w:val="0"/>
      <w:marRight w:val="0"/>
      <w:marTop w:val="0"/>
      <w:marBottom w:val="0"/>
      <w:divBdr>
        <w:top w:val="none" w:sz="0" w:space="0" w:color="auto"/>
        <w:left w:val="none" w:sz="0" w:space="0" w:color="auto"/>
        <w:bottom w:val="none" w:sz="0" w:space="0" w:color="auto"/>
        <w:right w:val="none" w:sz="0" w:space="0" w:color="auto"/>
      </w:divBdr>
    </w:div>
    <w:div w:id="1209806271">
      <w:bodyDiv w:val="1"/>
      <w:marLeft w:val="0"/>
      <w:marRight w:val="0"/>
      <w:marTop w:val="0"/>
      <w:marBottom w:val="0"/>
      <w:divBdr>
        <w:top w:val="none" w:sz="0" w:space="0" w:color="auto"/>
        <w:left w:val="none" w:sz="0" w:space="0" w:color="auto"/>
        <w:bottom w:val="none" w:sz="0" w:space="0" w:color="auto"/>
        <w:right w:val="none" w:sz="0" w:space="0" w:color="auto"/>
      </w:divBdr>
    </w:div>
    <w:div w:id="1231303426">
      <w:bodyDiv w:val="1"/>
      <w:marLeft w:val="0"/>
      <w:marRight w:val="0"/>
      <w:marTop w:val="0"/>
      <w:marBottom w:val="0"/>
      <w:divBdr>
        <w:top w:val="none" w:sz="0" w:space="0" w:color="auto"/>
        <w:left w:val="none" w:sz="0" w:space="0" w:color="auto"/>
        <w:bottom w:val="none" w:sz="0" w:space="0" w:color="auto"/>
        <w:right w:val="none" w:sz="0" w:space="0" w:color="auto"/>
      </w:divBdr>
    </w:div>
    <w:div w:id="1232932398">
      <w:bodyDiv w:val="1"/>
      <w:marLeft w:val="0"/>
      <w:marRight w:val="0"/>
      <w:marTop w:val="0"/>
      <w:marBottom w:val="0"/>
      <w:divBdr>
        <w:top w:val="none" w:sz="0" w:space="0" w:color="auto"/>
        <w:left w:val="none" w:sz="0" w:space="0" w:color="auto"/>
        <w:bottom w:val="none" w:sz="0" w:space="0" w:color="auto"/>
        <w:right w:val="none" w:sz="0" w:space="0" w:color="auto"/>
      </w:divBdr>
    </w:div>
    <w:div w:id="1237086985">
      <w:bodyDiv w:val="1"/>
      <w:marLeft w:val="0"/>
      <w:marRight w:val="0"/>
      <w:marTop w:val="0"/>
      <w:marBottom w:val="0"/>
      <w:divBdr>
        <w:top w:val="none" w:sz="0" w:space="0" w:color="auto"/>
        <w:left w:val="none" w:sz="0" w:space="0" w:color="auto"/>
        <w:bottom w:val="none" w:sz="0" w:space="0" w:color="auto"/>
        <w:right w:val="none" w:sz="0" w:space="0" w:color="auto"/>
      </w:divBdr>
    </w:div>
    <w:div w:id="1249121941">
      <w:bodyDiv w:val="1"/>
      <w:marLeft w:val="0"/>
      <w:marRight w:val="0"/>
      <w:marTop w:val="0"/>
      <w:marBottom w:val="0"/>
      <w:divBdr>
        <w:top w:val="none" w:sz="0" w:space="0" w:color="auto"/>
        <w:left w:val="none" w:sz="0" w:space="0" w:color="auto"/>
        <w:bottom w:val="none" w:sz="0" w:space="0" w:color="auto"/>
        <w:right w:val="none" w:sz="0" w:space="0" w:color="auto"/>
      </w:divBdr>
    </w:div>
    <w:div w:id="1251696770">
      <w:bodyDiv w:val="1"/>
      <w:marLeft w:val="0"/>
      <w:marRight w:val="0"/>
      <w:marTop w:val="0"/>
      <w:marBottom w:val="0"/>
      <w:divBdr>
        <w:top w:val="none" w:sz="0" w:space="0" w:color="auto"/>
        <w:left w:val="none" w:sz="0" w:space="0" w:color="auto"/>
        <w:bottom w:val="none" w:sz="0" w:space="0" w:color="auto"/>
        <w:right w:val="none" w:sz="0" w:space="0" w:color="auto"/>
      </w:divBdr>
    </w:div>
    <w:div w:id="1269317527">
      <w:bodyDiv w:val="1"/>
      <w:marLeft w:val="0"/>
      <w:marRight w:val="0"/>
      <w:marTop w:val="0"/>
      <w:marBottom w:val="0"/>
      <w:divBdr>
        <w:top w:val="none" w:sz="0" w:space="0" w:color="auto"/>
        <w:left w:val="none" w:sz="0" w:space="0" w:color="auto"/>
        <w:bottom w:val="none" w:sz="0" w:space="0" w:color="auto"/>
        <w:right w:val="none" w:sz="0" w:space="0" w:color="auto"/>
      </w:divBdr>
    </w:div>
    <w:div w:id="1330862545">
      <w:bodyDiv w:val="1"/>
      <w:marLeft w:val="0"/>
      <w:marRight w:val="0"/>
      <w:marTop w:val="0"/>
      <w:marBottom w:val="0"/>
      <w:divBdr>
        <w:top w:val="none" w:sz="0" w:space="0" w:color="auto"/>
        <w:left w:val="none" w:sz="0" w:space="0" w:color="auto"/>
        <w:bottom w:val="none" w:sz="0" w:space="0" w:color="auto"/>
        <w:right w:val="none" w:sz="0" w:space="0" w:color="auto"/>
      </w:divBdr>
    </w:div>
    <w:div w:id="1367102786">
      <w:bodyDiv w:val="1"/>
      <w:marLeft w:val="0"/>
      <w:marRight w:val="0"/>
      <w:marTop w:val="0"/>
      <w:marBottom w:val="0"/>
      <w:divBdr>
        <w:top w:val="none" w:sz="0" w:space="0" w:color="auto"/>
        <w:left w:val="none" w:sz="0" w:space="0" w:color="auto"/>
        <w:bottom w:val="none" w:sz="0" w:space="0" w:color="auto"/>
        <w:right w:val="none" w:sz="0" w:space="0" w:color="auto"/>
      </w:divBdr>
    </w:div>
    <w:div w:id="1438679038">
      <w:bodyDiv w:val="1"/>
      <w:marLeft w:val="0"/>
      <w:marRight w:val="0"/>
      <w:marTop w:val="0"/>
      <w:marBottom w:val="0"/>
      <w:divBdr>
        <w:top w:val="none" w:sz="0" w:space="0" w:color="auto"/>
        <w:left w:val="none" w:sz="0" w:space="0" w:color="auto"/>
        <w:bottom w:val="none" w:sz="0" w:space="0" w:color="auto"/>
        <w:right w:val="none" w:sz="0" w:space="0" w:color="auto"/>
      </w:divBdr>
    </w:div>
    <w:div w:id="1513181940">
      <w:bodyDiv w:val="1"/>
      <w:marLeft w:val="0"/>
      <w:marRight w:val="0"/>
      <w:marTop w:val="0"/>
      <w:marBottom w:val="0"/>
      <w:divBdr>
        <w:top w:val="none" w:sz="0" w:space="0" w:color="auto"/>
        <w:left w:val="none" w:sz="0" w:space="0" w:color="auto"/>
        <w:bottom w:val="none" w:sz="0" w:space="0" w:color="auto"/>
        <w:right w:val="none" w:sz="0" w:space="0" w:color="auto"/>
      </w:divBdr>
    </w:div>
    <w:div w:id="1576627527">
      <w:bodyDiv w:val="1"/>
      <w:marLeft w:val="0"/>
      <w:marRight w:val="0"/>
      <w:marTop w:val="0"/>
      <w:marBottom w:val="0"/>
      <w:divBdr>
        <w:top w:val="none" w:sz="0" w:space="0" w:color="auto"/>
        <w:left w:val="none" w:sz="0" w:space="0" w:color="auto"/>
        <w:bottom w:val="none" w:sz="0" w:space="0" w:color="auto"/>
        <w:right w:val="none" w:sz="0" w:space="0" w:color="auto"/>
      </w:divBdr>
    </w:div>
    <w:div w:id="1615939276">
      <w:bodyDiv w:val="1"/>
      <w:marLeft w:val="0"/>
      <w:marRight w:val="0"/>
      <w:marTop w:val="0"/>
      <w:marBottom w:val="0"/>
      <w:divBdr>
        <w:top w:val="none" w:sz="0" w:space="0" w:color="auto"/>
        <w:left w:val="none" w:sz="0" w:space="0" w:color="auto"/>
        <w:bottom w:val="none" w:sz="0" w:space="0" w:color="auto"/>
        <w:right w:val="none" w:sz="0" w:space="0" w:color="auto"/>
      </w:divBdr>
    </w:div>
    <w:div w:id="1668358444">
      <w:bodyDiv w:val="1"/>
      <w:marLeft w:val="0"/>
      <w:marRight w:val="0"/>
      <w:marTop w:val="0"/>
      <w:marBottom w:val="0"/>
      <w:divBdr>
        <w:top w:val="none" w:sz="0" w:space="0" w:color="auto"/>
        <w:left w:val="none" w:sz="0" w:space="0" w:color="auto"/>
        <w:bottom w:val="none" w:sz="0" w:space="0" w:color="auto"/>
        <w:right w:val="none" w:sz="0" w:space="0" w:color="auto"/>
      </w:divBdr>
    </w:div>
    <w:div w:id="1691106720">
      <w:bodyDiv w:val="1"/>
      <w:marLeft w:val="0"/>
      <w:marRight w:val="0"/>
      <w:marTop w:val="0"/>
      <w:marBottom w:val="0"/>
      <w:divBdr>
        <w:top w:val="none" w:sz="0" w:space="0" w:color="auto"/>
        <w:left w:val="none" w:sz="0" w:space="0" w:color="auto"/>
        <w:bottom w:val="none" w:sz="0" w:space="0" w:color="auto"/>
        <w:right w:val="none" w:sz="0" w:space="0" w:color="auto"/>
      </w:divBdr>
    </w:div>
    <w:div w:id="1741903917">
      <w:bodyDiv w:val="1"/>
      <w:marLeft w:val="0"/>
      <w:marRight w:val="0"/>
      <w:marTop w:val="0"/>
      <w:marBottom w:val="0"/>
      <w:divBdr>
        <w:top w:val="none" w:sz="0" w:space="0" w:color="auto"/>
        <w:left w:val="none" w:sz="0" w:space="0" w:color="auto"/>
        <w:bottom w:val="none" w:sz="0" w:space="0" w:color="auto"/>
        <w:right w:val="none" w:sz="0" w:space="0" w:color="auto"/>
      </w:divBdr>
    </w:div>
    <w:div w:id="1804422911">
      <w:bodyDiv w:val="1"/>
      <w:marLeft w:val="0"/>
      <w:marRight w:val="0"/>
      <w:marTop w:val="0"/>
      <w:marBottom w:val="0"/>
      <w:divBdr>
        <w:top w:val="none" w:sz="0" w:space="0" w:color="auto"/>
        <w:left w:val="none" w:sz="0" w:space="0" w:color="auto"/>
        <w:bottom w:val="none" w:sz="0" w:space="0" w:color="auto"/>
        <w:right w:val="none" w:sz="0" w:space="0" w:color="auto"/>
      </w:divBdr>
    </w:div>
    <w:div w:id="1818301530">
      <w:bodyDiv w:val="1"/>
      <w:marLeft w:val="0"/>
      <w:marRight w:val="0"/>
      <w:marTop w:val="0"/>
      <w:marBottom w:val="0"/>
      <w:divBdr>
        <w:top w:val="none" w:sz="0" w:space="0" w:color="auto"/>
        <w:left w:val="none" w:sz="0" w:space="0" w:color="auto"/>
        <w:bottom w:val="none" w:sz="0" w:space="0" w:color="auto"/>
        <w:right w:val="none" w:sz="0" w:space="0" w:color="auto"/>
      </w:divBdr>
    </w:div>
    <w:div w:id="1835101854">
      <w:bodyDiv w:val="1"/>
      <w:marLeft w:val="0"/>
      <w:marRight w:val="0"/>
      <w:marTop w:val="0"/>
      <w:marBottom w:val="0"/>
      <w:divBdr>
        <w:top w:val="none" w:sz="0" w:space="0" w:color="auto"/>
        <w:left w:val="none" w:sz="0" w:space="0" w:color="auto"/>
        <w:bottom w:val="none" w:sz="0" w:space="0" w:color="auto"/>
        <w:right w:val="none" w:sz="0" w:space="0" w:color="auto"/>
      </w:divBdr>
    </w:div>
    <w:div w:id="1877817203">
      <w:bodyDiv w:val="1"/>
      <w:marLeft w:val="0"/>
      <w:marRight w:val="0"/>
      <w:marTop w:val="0"/>
      <w:marBottom w:val="0"/>
      <w:divBdr>
        <w:top w:val="none" w:sz="0" w:space="0" w:color="auto"/>
        <w:left w:val="none" w:sz="0" w:space="0" w:color="auto"/>
        <w:bottom w:val="none" w:sz="0" w:space="0" w:color="auto"/>
        <w:right w:val="none" w:sz="0" w:space="0" w:color="auto"/>
      </w:divBdr>
    </w:div>
    <w:div w:id="1894199452">
      <w:bodyDiv w:val="1"/>
      <w:marLeft w:val="0"/>
      <w:marRight w:val="0"/>
      <w:marTop w:val="0"/>
      <w:marBottom w:val="0"/>
      <w:divBdr>
        <w:top w:val="none" w:sz="0" w:space="0" w:color="auto"/>
        <w:left w:val="none" w:sz="0" w:space="0" w:color="auto"/>
        <w:bottom w:val="none" w:sz="0" w:space="0" w:color="auto"/>
        <w:right w:val="none" w:sz="0" w:space="0" w:color="auto"/>
      </w:divBdr>
    </w:div>
    <w:div w:id="1902477206">
      <w:bodyDiv w:val="1"/>
      <w:marLeft w:val="0"/>
      <w:marRight w:val="0"/>
      <w:marTop w:val="0"/>
      <w:marBottom w:val="0"/>
      <w:divBdr>
        <w:top w:val="none" w:sz="0" w:space="0" w:color="auto"/>
        <w:left w:val="none" w:sz="0" w:space="0" w:color="auto"/>
        <w:bottom w:val="none" w:sz="0" w:space="0" w:color="auto"/>
        <w:right w:val="none" w:sz="0" w:space="0" w:color="auto"/>
      </w:divBdr>
    </w:div>
    <w:div w:id="1932736741">
      <w:bodyDiv w:val="1"/>
      <w:marLeft w:val="0"/>
      <w:marRight w:val="0"/>
      <w:marTop w:val="0"/>
      <w:marBottom w:val="0"/>
      <w:divBdr>
        <w:top w:val="none" w:sz="0" w:space="0" w:color="auto"/>
        <w:left w:val="none" w:sz="0" w:space="0" w:color="auto"/>
        <w:bottom w:val="none" w:sz="0" w:space="0" w:color="auto"/>
        <w:right w:val="none" w:sz="0" w:space="0" w:color="auto"/>
      </w:divBdr>
    </w:div>
    <w:div w:id="1948006494">
      <w:bodyDiv w:val="1"/>
      <w:marLeft w:val="0"/>
      <w:marRight w:val="0"/>
      <w:marTop w:val="0"/>
      <w:marBottom w:val="0"/>
      <w:divBdr>
        <w:top w:val="none" w:sz="0" w:space="0" w:color="auto"/>
        <w:left w:val="none" w:sz="0" w:space="0" w:color="auto"/>
        <w:bottom w:val="none" w:sz="0" w:space="0" w:color="auto"/>
        <w:right w:val="none" w:sz="0" w:space="0" w:color="auto"/>
      </w:divBdr>
    </w:div>
    <w:div w:id="1983458082">
      <w:bodyDiv w:val="1"/>
      <w:marLeft w:val="0"/>
      <w:marRight w:val="0"/>
      <w:marTop w:val="0"/>
      <w:marBottom w:val="0"/>
      <w:divBdr>
        <w:top w:val="none" w:sz="0" w:space="0" w:color="auto"/>
        <w:left w:val="none" w:sz="0" w:space="0" w:color="auto"/>
        <w:bottom w:val="none" w:sz="0" w:space="0" w:color="auto"/>
        <w:right w:val="none" w:sz="0" w:space="0" w:color="auto"/>
      </w:divBdr>
    </w:div>
    <w:div w:id="1995720312">
      <w:bodyDiv w:val="1"/>
      <w:marLeft w:val="0"/>
      <w:marRight w:val="0"/>
      <w:marTop w:val="0"/>
      <w:marBottom w:val="0"/>
      <w:divBdr>
        <w:top w:val="none" w:sz="0" w:space="0" w:color="auto"/>
        <w:left w:val="none" w:sz="0" w:space="0" w:color="auto"/>
        <w:bottom w:val="none" w:sz="0" w:space="0" w:color="auto"/>
        <w:right w:val="none" w:sz="0" w:space="0" w:color="auto"/>
      </w:divBdr>
    </w:div>
    <w:div w:id="20888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19</Pages>
  <Words>9224</Words>
  <Characters>52579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dc:description/>
  <cp:lastModifiedBy>GL</cp:lastModifiedBy>
  <cp:revision>244</cp:revision>
  <dcterms:created xsi:type="dcterms:W3CDTF">2021-05-24T16:10:00Z</dcterms:created>
  <dcterms:modified xsi:type="dcterms:W3CDTF">2021-06-23T19:54:00Z</dcterms:modified>
</cp:coreProperties>
</file>