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324C" w14:textId="77777777" w:rsidR="00542B33" w:rsidRDefault="00542B33" w:rsidP="00542B33">
      <w:pPr>
        <w:spacing w:after="196" w:line="276" w:lineRule="auto"/>
        <w:ind w:left="16" w:hanging="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noProof/>
          <w:color w:val="000000"/>
        </w:rPr>
        <w:drawing>
          <wp:inline distT="0" distB="0" distL="0" distR="0" wp14:anchorId="3ADA0325" wp14:editId="58B77B3B">
            <wp:extent cx="5943600" cy="37147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87CBB" w14:textId="77777777" w:rsidR="00542B33" w:rsidRDefault="00542B33" w:rsidP="00542B33">
      <w:pPr>
        <w:spacing w:after="196" w:line="276" w:lineRule="auto"/>
        <w:ind w:left="16" w:hanging="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0420">
        <w:rPr>
          <w:rFonts w:ascii="Times New Roman" w:eastAsia="Calibri" w:hAnsi="Times New Roman" w:cs="Times New Roman"/>
          <w:color w:val="000000"/>
          <w:sz w:val="24"/>
          <w:szCs w:val="24"/>
        </w:rPr>
        <w:t>Supplemental Digital Content 1. Time to first oral intake (hours) over time.</w:t>
      </w:r>
      <w:r w:rsidRPr="00B2585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25858">
        <w:rPr>
          <w:rFonts w:ascii="Times New Roman" w:eastAsia="Times New Roman" w:hAnsi="Times New Roman" w:cs="Times New Roman"/>
          <w:bCs/>
          <w:sz w:val="24"/>
          <w:szCs w:val="24"/>
        </w:rPr>
        <w:t>Each point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represents the time to first oral intake (hours) for each case. The blue line represents the average time to first oral intake (hours) in each month. Pre-intervention: 4/2019 – 6/2019. Post-intervention: 7/2019 – 9/2019.</w:t>
      </w:r>
    </w:p>
    <w:p w14:paraId="4C85D3B8" w14:textId="77777777" w:rsidR="00542B33" w:rsidRDefault="00542B33" w:rsidP="00542B33"/>
    <w:p w14:paraId="4518261D" w14:textId="77777777" w:rsidR="00542B33" w:rsidRDefault="00542B33" w:rsidP="00542B33"/>
    <w:p w14:paraId="4A7B126E" w14:textId="77777777" w:rsidR="00542B33" w:rsidRDefault="00542B33" w:rsidP="00542B33"/>
    <w:p w14:paraId="6E7EF560" w14:textId="77777777" w:rsidR="00542B33" w:rsidRDefault="00542B33" w:rsidP="00542B33"/>
    <w:p w14:paraId="179867E7" w14:textId="77777777" w:rsidR="00542B33" w:rsidRDefault="00542B33" w:rsidP="00542B33"/>
    <w:p w14:paraId="4CD6BE7E" w14:textId="77777777" w:rsidR="00542B33" w:rsidRDefault="00542B33" w:rsidP="00542B33"/>
    <w:p w14:paraId="6556BCBD" w14:textId="77777777" w:rsidR="00542B33" w:rsidRDefault="00542B33" w:rsidP="00542B33"/>
    <w:p w14:paraId="4B939E1D" w14:textId="77777777" w:rsidR="00542B33" w:rsidRDefault="00542B33" w:rsidP="00542B33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080"/>
        <w:gridCol w:w="1260"/>
        <w:gridCol w:w="1255"/>
        <w:gridCol w:w="1409"/>
        <w:gridCol w:w="1386"/>
      </w:tblGrid>
      <w:tr w:rsidR="00542B33" w14:paraId="06995E9F" w14:textId="77777777" w:rsidTr="002669E6">
        <w:tc>
          <w:tcPr>
            <w:tcW w:w="2970" w:type="dxa"/>
            <w:tcBorders>
              <w:bottom w:val="single" w:sz="4" w:space="0" w:color="auto"/>
            </w:tcBorders>
          </w:tcPr>
          <w:p w14:paraId="7925973F" w14:textId="77777777" w:rsidR="00542B33" w:rsidRDefault="00542B33" w:rsidP="002669E6">
            <w:pPr>
              <w:spacing w:line="360" w:lineRule="auto"/>
            </w:pPr>
            <w:r>
              <w:lastRenderedPageBreak/>
              <w:t>Parameter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2284E7D" w14:textId="77777777" w:rsidR="00542B33" w:rsidRDefault="00542B33" w:rsidP="002669E6">
            <w:pPr>
              <w:spacing w:line="360" w:lineRule="auto"/>
            </w:pPr>
            <w:r>
              <w:t>Estimate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F57DBF7" w14:textId="77777777" w:rsidR="00542B33" w:rsidRPr="001E133C" w:rsidRDefault="00542B33" w:rsidP="002669E6">
            <w:pPr>
              <w:spacing w:line="360" w:lineRule="auto"/>
            </w:pPr>
            <w:r>
              <w:rPr>
                <w:i/>
                <w:iCs/>
              </w:rPr>
              <w:t>SE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789E624D" w14:textId="77777777" w:rsidR="00542B33" w:rsidRDefault="00542B33" w:rsidP="002669E6">
            <w:pPr>
              <w:spacing w:line="360" w:lineRule="auto"/>
            </w:pPr>
            <w:r>
              <w:t>OR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6F2E206D" w14:textId="77777777" w:rsidR="00542B33" w:rsidRDefault="00542B33" w:rsidP="002669E6">
            <w:pPr>
              <w:spacing w:line="360" w:lineRule="auto"/>
            </w:pPr>
            <w:r>
              <w:t>95% CI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14:paraId="579EEA8F" w14:textId="77777777" w:rsidR="00542B33" w:rsidRPr="001E133C" w:rsidRDefault="00542B33" w:rsidP="002669E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</w:p>
        </w:tc>
      </w:tr>
      <w:tr w:rsidR="00542B33" w14:paraId="6FD69C14" w14:textId="77777777" w:rsidTr="002669E6">
        <w:tc>
          <w:tcPr>
            <w:tcW w:w="9360" w:type="dxa"/>
            <w:gridSpan w:val="6"/>
            <w:tcBorders>
              <w:top w:val="nil"/>
              <w:bottom w:val="nil"/>
            </w:tcBorders>
          </w:tcPr>
          <w:p w14:paraId="44CFB81A" w14:textId="77777777" w:rsidR="00542B33" w:rsidRDefault="00542B33" w:rsidP="002669E6">
            <w:pPr>
              <w:spacing w:line="360" w:lineRule="auto"/>
            </w:pPr>
            <w:r>
              <w:t>All data, adjusted for confounders: logistic model on wound dehiscence.</w:t>
            </w:r>
          </w:p>
        </w:tc>
      </w:tr>
      <w:tr w:rsidR="00542B33" w14:paraId="700A7EC3" w14:textId="77777777" w:rsidTr="002669E6">
        <w:tc>
          <w:tcPr>
            <w:tcW w:w="2970" w:type="dxa"/>
            <w:tcBorders>
              <w:top w:val="nil"/>
              <w:bottom w:val="nil"/>
            </w:tcBorders>
          </w:tcPr>
          <w:p w14:paraId="172E94EB" w14:textId="77777777" w:rsidR="00542B33" w:rsidRDefault="00542B33" w:rsidP="002669E6">
            <w:pPr>
              <w:spacing w:line="360" w:lineRule="auto"/>
            </w:pPr>
            <w:r>
              <w:t xml:space="preserve">Intercept,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113B357" w14:textId="77777777" w:rsidR="00542B33" w:rsidRDefault="00542B33" w:rsidP="002669E6">
            <w:pPr>
              <w:spacing w:line="360" w:lineRule="auto"/>
            </w:pPr>
            <w:r>
              <w:t>-9.16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BD404BF" w14:textId="77777777" w:rsidR="00542B33" w:rsidRDefault="00542B33" w:rsidP="002669E6">
            <w:pPr>
              <w:spacing w:line="360" w:lineRule="auto"/>
            </w:pPr>
            <w:r>
              <w:t>3.87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2FC6DBD8" w14:textId="77777777" w:rsidR="00542B33" w:rsidRDefault="00542B33" w:rsidP="002669E6">
            <w:pPr>
              <w:spacing w:line="360" w:lineRule="auto"/>
            </w:pPr>
            <w:r>
              <w:t>-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14:paraId="7AECB9BE" w14:textId="77777777" w:rsidR="00542B33" w:rsidRDefault="00542B33" w:rsidP="002669E6">
            <w:pPr>
              <w:spacing w:line="360" w:lineRule="auto"/>
            </w:pPr>
            <w:r>
              <w:t>-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14:paraId="669EAAC7" w14:textId="77777777" w:rsidR="00542B33" w:rsidRDefault="00542B33" w:rsidP="002669E6">
            <w:pPr>
              <w:spacing w:line="360" w:lineRule="auto"/>
            </w:pPr>
            <w:r>
              <w:t>-</w:t>
            </w:r>
          </w:p>
        </w:tc>
      </w:tr>
      <w:tr w:rsidR="00542B33" w14:paraId="63F84987" w14:textId="77777777" w:rsidTr="002669E6">
        <w:tc>
          <w:tcPr>
            <w:tcW w:w="2970" w:type="dxa"/>
            <w:tcBorders>
              <w:top w:val="nil"/>
              <w:bottom w:val="nil"/>
            </w:tcBorders>
          </w:tcPr>
          <w:p w14:paraId="5DAE0350" w14:textId="77777777" w:rsidR="00542B33" w:rsidRDefault="00542B33" w:rsidP="002669E6">
            <w:pPr>
              <w:spacing w:line="360" w:lineRule="auto"/>
            </w:pPr>
            <w:r>
              <w:t xml:space="preserve">Time (months),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7C1F34B" w14:textId="77777777" w:rsidR="00542B33" w:rsidRDefault="00542B33" w:rsidP="002669E6">
            <w:pPr>
              <w:spacing w:line="360" w:lineRule="auto"/>
            </w:pPr>
            <w:r>
              <w:t>2.34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69F7F47" w14:textId="77777777" w:rsidR="00542B33" w:rsidRDefault="00542B33" w:rsidP="002669E6">
            <w:pPr>
              <w:spacing w:line="360" w:lineRule="auto"/>
            </w:pPr>
            <w:r>
              <w:t>0.93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0FE2AA87" w14:textId="77777777" w:rsidR="00542B33" w:rsidRDefault="00542B33" w:rsidP="002669E6">
            <w:pPr>
              <w:spacing w:line="360" w:lineRule="auto"/>
            </w:pPr>
            <w:r>
              <w:t>10.33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14:paraId="05B4A775" w14:textId="77777777" w:rsidR="00542B33" w:rsidRDefault="00542B33" w:rsidP="002669E6">
            <w:pPr>
              <w:spacing w:line="360" w:lineRule="auto"/>
            </w:pPr>
            <w:r>
              <w:t>2.03, 81.97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14:paraId="7E88DFA2" w14:textId="77777777" w:rsidR="00542B33" w:rsidRDefault="00542B33" w:rsidP="002669E6">
            <w:pPr>
              <w:spacing w:line="360" w:lineRule="auto"/>
            </w:pPr>
            <w:r>
              <w:t>0.01</w:t>
            </w:r>
          </w:p>
        </w:tc>
      </w:tr>
      <w:tr w:rsidR="00542B33" w14:paraId="63BAD817" w14:textId="77777777" w:rsidTr="002669E6">
        <w:tc>
          <w:tcPr>
            <w:tcW w:w="2970" w:type="dxa"/>
            <w:tcBorders>
              <w:top w:val="nil"/>
              <w:bottom w:val="nil"/>
            </w:tcBorders>
          </w:tcPr>
          <w:p w14:paraId="4729ADAA" w14:textId="77777777" w:rsidR="00542B33" w:rsidRDefault="00542B33" w:rsidP="002669E6">
            <w:pPr>
              <w:spacing w:line="360" w:lineRule="auto"/>
            </w:pPr>
            <w:r>
              <w:t xml:space="preserve">Intervention,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4F822A2" w14:textId="77777777" w:rsidR="00542B33" w:rsidRDefault="00542B33" w:rsidP="002669E6">
            <w:pPr>
              <w:spacing w:line="360" w:lineRule="auto"/>
            </w:pPr>
            <w:r>
              <w:t>-4.48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E556C74" w14:textId="77777777" w:rsidR="00542B33" w:rsidRDefault="00542B33" w:rsidP="002669E6">
            <w:pPr>
              <w:spacing w:line="360" w:lineRule="auto"/>
            </w:pPr>
            <w:r>
              <w:t>1.98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0E2E828C" w14:textId="77777777" w:rsidR="00542B33" w:rsidRDefault="00542B33" w:rsidP="002669E6">
            <w:pPr>
              <w:spacing w:line="360" w:lineRule="auto"/>
            </w:pPr>
            <w:r>
              <w:t>0.01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14:paraId="2952F79F" w14:textId="77777777" w:rsidR="00542B33" w:rsidRDefault="00542B33" w:rsidP="002669E6">
            <w:pPr>
              <w:spacing w:line="360" w:lineRule="auto"/>
            </w:pPr>
            <w:r>
              <w:t>0, 0.42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14:paraId="6EF26287" w14:textId="77777777" w:rsidR="00542B33" w:rsidRDefault="00542B33" w:rsidP="002669E6">
            <w:pPr>
              <w:spacing w:line="360" w:lineRule="auto"/>
            </w:pPr>
            <w:r>
              <w:t>0.02</w:t>
            </w:r>
          </w:p>
        </w:tc>
      </w:tr>
      <w:tr w:rsidR="00542B33" w14:paraId="05FA87CF" w14:textId="77777777" w:rsidTr="002669E6"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14:paraId="1200DEB9" w14:textId="77777777" w:rsidR="00542B33" w:rsidRDefault="00542B33" w:rsidP="002669E6">
            <w:pPr>
              <w:spacing w:line="360" w:lineRule="auto"/>
            </w:pPr>
            <w:r>
              <w:t xml:space="preserve">Time (months) x post,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466D160E" w14:textId="77777777" w:rsidR="00542B33" w:rsidRDefault="00542B33" w:rsidP="002669E6">
            <w:pPr>
              <w:spacing w:line="360" w:lineRule="auto"/>
            </w:pPr>
            <w:r>
              <w:t>-19.37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61F3EF6D" w14:textId="77777777" w:rsidR="00542B33" w:rsidRDefault="00542B33" w:rsidP="002669E6">
            <w:pPr>
              <w:spacing w:line="360" w:lineRule="auto"/>
            </w:pPr>
            <w:r>
              <w:t>2261.73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</w:tcPr>
          <w:p w14:paraId="6635085B" w14:textId="77777777" w:rsidR="00542B33" w:rsidRDefault="00542B33" w:rsidP="002669E6">
            <w:pPr>
              <w:spacing w:line="360" w:lineRule="auto"/>
            </w:pPr>
            <w:r>
              <w:t>&lt;0.001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</w:tcPr>
          <w:p w14:paraId="1B8E6A25" w14:textId="77777777" w:rsidR="00542B33" w:rsidRDefault="00542B33" w:rsidP="002669E6">
            <w:pPr>
              <w:spacing w:line="360" w:lineRule="auto"/>
            </w:pPr>
            <w:r>
              <w:t xml:space="preserve">- 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14:paraId="418AD42D" w14:textId="77777777" w:rsidR="00542B33" w:rsidRDefault="00542B33" w:rsidP="002669E6">
            <w:pPr>
              <w:spacing w:line="360" w:lineRule="auto"/>
            </w:pPr>
            <w:r>
              <w:t>0.99</w:t>
            </w:r>
          </w:p>
        </w:tc>
      </w:tr>
    </w:tbl>
    <w:p w14:paraId="7738D248" w14:textId="77777777" w:rsidR="00542B33" w:rsidRPr="00380420" w:rsidRDefault="00542B33" w:rsidP="00542B33">
      <w:pPr>
        <w:spacing w:line="240" w:lineRule="auto"/>
        <w:rPr>
          <w:sz w:val="20"/>
          <w:szCs w:val="20"/>
        </w:rPr>
      </w:pPr>
      <w:r>
        <w:t>Supplemental Digital Content 2. Case-level interrupted time series analysis logistic models on wound dehiscence.</w:t>
      </w:r>
      <w:r>
        <w:rPr>
          <w:rFonts w:eastAsiaTheme="minorEastAsi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Pr="00380420">
        <w:rPr>
          <w:rFonts w:eastAsiaTheme="minorEastAsia"/>
          <w:sz w:val="20"/>
          <w:szCs w:val="20"/>
        </w:rPr>
        <w:t xml:space="preserve">: intercept: log-odds of wound dehiscence at time 0 with intervention = 0.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 w:rsidRPr="00380420">
        <w:rPr>
          <w:rFonts w:eastAsiaTheme="minorEastAsia"/>
          <w:sz w:val="20"/>
          <w:szCs w:val="20"/>
        </w:rPr>
        <w:t xml:space="preserve">: pre-intervention slope: change in log-odds of wound dehiscence per month pre-intervention.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 w:rsidRPr="00380420">
        <w:rPr>
          <w:rFonts w:eastAsiaTheme="minorEastAsia"/>
          <w:sz w:val="20"/>
          <w:szCs w:val="20"/>
        </w:rPr>
        <w:t xml:space="preserve">: log-odds ratio of wound dehiscence at the start of intervention compared to end of pre-intervention.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</m:oMath>
      <w:r w:rsidRPr="00380420">
        <w:rPr>
          <w:rFonts w:eastAsiaTheme="minorEastAsia"/>
          <w:sz w:val="20"/>
          <w:szCs w:val="20"/>
        </w:rPr>
        <w:t>: difference between periods in slope of wound dehiscence over time: post-intervention minus pre-intervention</w:t>
      </w:r>
    </w:p>
    <w:p w14:paraId="59E81C4D" w14:textId="77777777" w:rsidR="00542B33" w:rsidRDefault="00542B33" w:rsidP="00542B33">
      <w:pPr>
        <w:spacing w:after="0" w:line="240" w:lineRule="auto"/>
      </w:pPr>
      <w:r>
        <w:br w:type="page"/>
      </w:r>
    </w:p>
    <w:p w14:paraId="38929176" w14:textId="77777777" w:rsidR="00542B33" w:rsidRDefault="00542B33" w:rsidP="00542B33">
      <w:pPr>
        <w:spacing w:after="196" w:line="276" w:lineRule="auto"/>
        <w:ind w:left="16" w:hanging="3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noProof/>
          <w:color w:val="000000"/>
        </w:rPr>
        <w:lastRenderedPageBreak/>
        <w:drawing>
          <wp:inline distT="0" distB="0" distL="0" distR="0" wp14:anchorId="11FF69A4" wp14:editId="0E847EF0">
            <wp:extent cx="5943600" cy="371475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32D63" w14:textId="77777777" w:rsidR="00542B33" w:rsidRDefault="00542B33" w:rsidP="00542B33">
      <w:pPr>
        <w:spacing w:after="196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B5120C8" w14:textId="77777777" w:rsidR="00542B33" w:rsidRDefault="00542B33" w:rsidP="00542B33">
      <w:pPr>
        <w:spacing w:before="240" w:after="2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>Supplemental Digital Content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Rate of wound dehiscence over time.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Each point represents the rate of wound dehiscence in each month. Pre-intervention: 4/2019 – 6/2019. Post-intervention: 7/2019 – 9/2019.</w:t>
      </w:r>
    </w:p>
    <w:p w14:paraId="02636F21" w14:textId="77777777" w:rsidR="00542B33" w:rsidRDefault="00542B33" w:rsidP="00542B33">
      <w:pPr>
        <w:spacing w:after="0" w:line="240" w:lineRule="auto"/>
      </w:pPr>
      <w:r>
        <w:br w:type="page"/>
      </w:r>
    </w:p>
    <w:p w14:paraId="3BAAE9A1" w14:textId="77777777" w:rsidR="00542B33" w:rsidRDefault="00542B33" w:rsidP="00542B33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1427"/>
        <w:gridCol w:w="1170"/>
        <w:gridCol w:w="1032"/>
        <w:gridCol w:w="1511"/>
        <w:gridCol w:w="1507"/>
      </w:tblGrid>
      <w:tr w:rsidR="00542B33" w14:paraId="10A5C5AC" w14:textId="77777777" w:rsidTr="002669E6">
        <w:tc>
          <w:tcPr>
            <w:tcW w:w="2713" w:type="dxa"/>
            <w:tcBorders>
              <w:bottom w:val="single" w:sz="4" w:space="0" w:color="auto"/>
            </w:tcBorders>
          </w:tcPr>
          <w:p w14:paraId="26D19883" w14:textId="77777777" w:rsidR="00542B33" w:rsidRDefault="00542B33" w:rsidP="002669E6">
            <w:pPr>
              <w:spacing w:line="360" w:lineRule="auto"/>
            </w:pPr>
            <w:r>
              <w:t>Parameter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51D4ADF5" w14:textId="77777777" w:rsidR="00542B33" w:rsidRDefault="00542B33" w:rsidP="002669E6">
            <w:pPr>
              <w:spacing w:line="360" w:lineRule="auto"/>
            </w:pPr>
            <w:r>
              <w:t>Estimate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7227E12" w14:textId="77777777" w:rsidR="00542B33" w:rsidRPr="001E133C" w:rsidRDefault="00542B33" w:rsidP="002669E6">
            <w:pPr>
              <w:spacing w:line="360" w:lineRule="auto"/>
            </w:pPr>
            <w:r>
              <w:rPr>
                <w:i/>
                <w:iCs/>
              </w:rPr>
              <w:t>SE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314B7239" w14:textId="77777777" w:rsidR="00542B33" w:rsidRDefault="00542B33" w:rsidP="002669E6">
            <w:pPr>
              <w:spacing w:line="360" w:lineRule="auto"/>
            </w:pPr>
            <w:r>
              <w:t>RR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3669CDF3" w14:textId="77777777" w:rsidR="00542B33" w:rsidRDefault="00542B33" w:rsidP="002669E6">
            <w:pPr>
              <w:spacing w:line="360" w:lineRule="auto"/>
            </w:pPr>
            <w:r>
              <w:t>95% CI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140EA392" w14:textId="77777777" w:rsidR="00542B33" w:rsidRPr="001E133C" w:rsidRDefault="00542B33" w:rsidP="002669E6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p</w:t>
            </w:r>
          </w:p>
        </w:tc>
      </w:tr>
      <w:tr w:rsidR="00542B33" w14:paraId="6890EB3B" w14:textId="77777777" w:rsidTr="002669E6">
        <w:tc>
          <w:tcPr>
            <w:tcW w:w="2713" w:type="dxa"/>
            <w:tcBorders>
              <w:top w:val="nil"/>
              <w:bottom w:val="nil"/>
            </w:tcBorders>
          </w:tcPr>
          <w:p w14:paraId="429D22B6" w14:textId="77777777" w:rsidR="00542B33" w:rsidRDefault="00542B33" w:rsidP="002669E6">
            <w:pPr>
              <w:spacing w:line="360" w:lineRule="auto"/>
            </w:pPr>
            <w:r>
              <w:t xml:space="preserve">Intercept,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</w:p>
        </w:tc>
        <w:tc>
          <w:tcPr>
            <w:tcW w:w="1427" w:type="dxa"/>
            <w:tcBorders>
              <w:top w:val="nil"/>
              <w:bottom w:val="nil"/>
            </w:tcBorders>
          </w:tcPr>
          <w:p w14:paraId="2149880C" w14:textId="77777777" w:rsidR="00542B33" w:rsidRDefault="00542B33" w:rsidP="002669E6">
            <w:pPr>
              <w:spacing w:line="360" w:lineRule="auto"/>
            </w:pPr>
            <w:r>
              <w:t>1.38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CF4E55D" w14:textId="77777777" w:rsidR="00542B33" w:rsidRDefault="00542B33" w:rsidP="002669E6">
            <w:pPr>
              <w:spacing w:line="360" w:lineRule="auto"/>
            </w:pPr>
            <w:r>
              <w:t>0.44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7A0FF2AE" w14:textId="77777777" w:rsidR="00542B33" w:rsidRDefault="00542B33" w:rsidP="002669E6">
            <w:pPr>
              <w:spacing w:line="360" w:lineRule="auto"/>
            </w:pPr>
            <w:r>
              <w:t>-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50DDEB81" w14:textId="77777777" w:rsidR="00542B33" w:rsidRDefault="00542B33" w:rsidP="002669E6">
            <w:pPr>
              <w:spacing w:line="360" w:lineRule="auto"/>
            </w:pPr>
            <w:r>
              <w:t>-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14:paraId="6CA09C16" w14:textId="77777777" w:rsidR="00542B33" w:rsidRDefault="00542B33" w:rsidP="002669E6">
            <w:pPr>
              <w:spacing w:line="360" w:lineRule="auto"/>
            </w:pPr>
            <w:r>
              <w:t>-</w:t>
            </w:r>
          </w:p>
        </w:tc>
      </w:tr>
      <w:tr w:rsidR="00542B33" w14:paraId="01FD9C20" w14:textId="77777777" w:rsidTr="002669E6">
        <w:tc>
          <w:tcPr>
            <w:tcW w:w="2713" w:type="dxa"/>
            <w:tcBorders>
              <w:top w:val="nil"/>
              <w:bottom w:val="nil"/>
            </w:tcBorders>
          </w:tcPr>
          <w:p w14:paraId="1A9D1E5D" w14:textId="77777777" w:rsidR="00542B33" w:rsidRDefault="00542B33" w:rsidP="002669E6">
            <w:pPr>
              <w:spacing w:line="360" w:lineRule="auto"/>
            </w:pPr>
            <w:r>
              <w:t xml:space="preserve">Time (months),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1427" w:type="dxa"/>
            <w:tcBorders>
              <w:top w:val="nil"/>
              <w:bottom w:val="nil"/>
            </w:tcBorders>
          </w:tcPr>
          <w:p w14:paraId="18A286CA" w14:textId="77777777" w:rsidR="00542B33" w:rsidRDefault="00542B33" w:rsidP="002669E6">
            <w:pPr>
              <w:spacing w:line="360" w:lineRule="auto"/>
            </w:pPr>
            <w:r>
              <w:t>0.06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E19C548" w14:textId="77777777" w:rsidR="00542B33" w:rsidRDefault="00542B33" w:rsidP="002669E6">
            <w:pPr>
              <w:spacing w:line="360" w:lineRule="auto"/>
            </w:pPr>
            <w:r>
              <w:t>0.13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2DB22317" w14:textId="77777777" w:rsidR="00542B33" w:rsidRDefault="00542B33" w:rsidP="002669E6">
            <w:pPr>
              <w:spacing w:line="360" w:lineRule="auto"/>
            </w:pPr>
            <w:r>
              <w:t>1.07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25F8EB38" w14:textId="77777777" w:rsidR="00542B33" w:rsidRDefault="00542B33" w:rsidP="002669E6">
            <w:pPr>
              <w:spacing w:line="360" w:lineRule="auto"/>
            </w:pPr>
            <w:r>
              <w:t>0.82, 1.39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14:paraId="59649038" w14:textId="77777777" w:rsidR="00542B33" w:rsidRDefault="00542B33" w:rsidP="002669E6">
            <w:pPr>
              <w:spacing w:line="360" w:lineRule="auto"/>
            </w:pPr>
            <w:r>
              <w:t>0.62</w:t>
            </w:r>
          </w:p>
        </w:tc>
      </w:tr>
      <w:tr w:rsidR="00542B33" w14:paraId="5D63423D" w14:textId="77777777" w:rsidTr="002669E6">
        <w:tc>
          <w:tcPr>
            <w:tcW w:w="2713" w:type="dxa"/>
            <w:tcBorders>
              <w:top w:val="nil"/>
              <w:bottom w:val="nil"/>
            </w:tcBorders>
          </w:tcPr>
          <w:p w14:paraId="795B1AB0" w14:textId="77777777" w:rsidR="00542B33" w:rsidRDefault="00542B33" w:rsidP="002669E6">
            <w:pPr>
              <w:spacing w:line="360" w:lineRule="auto"/>
            </w:pPr>
            <w:r>
              <w:t xml:space="preserve">Intervention,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1427" w:type="dxa"/>
            <w:tcBorders>
              <w:top w:val="nil"/>
              <w:bottom w:val="nil"/>
            </w:tcBorders>
          </w:tcPr>
          <w:p w14:paraId="371BD271" w14:textId="77777777" w:rsidR="00542B33" w:rsidRDefault="00542B33" w:rsidP="002669E6">
            <w:pPr>
              <w:spacing w:line="360" w:lineRule="auto"/>
            </w:pPr>
            <w:r>
              <w:t>-0.23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4165173C" w14:textId="77777777" w:rsidR="00542B33" w:rsidRDefault="00542B33" w:rsidP="002669E6">
            <w:pPr>
              <w:spacing w:line="360" w:lineRule="auto"/>
            </w:pPr>
            <w:r>
              <w:t>0.34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E393EFF" w14:textId="77777777" w:rsidR="00542B33" w:rsidRDefault="00542B33" w:rsidP="002669E6">
            <w:pPr>
              <w:spacing w:line="360" w:lineRule="auto"/>
            </w:pPr>
            <w:r>
              <w:t>0.79</w:t>
            </w:r>
          </w:p>
        </w:tc>
        <w:tc>
          <w:tcPr>
            <w:tcW w:w="1511" w:type="dxa"/>
            <w:tcBorders>
              <w:top w:val="nil"/>
              <w:bottom w:val="nil"/>
            </w:tcBorders>
          </w:tcPr>
          <w:p w14:paraId="5532B38C" w14:textId="77777777" w:rsidR="00542B33" w:rsidRDefault="00542B33" w:rsidP="002669E6">
            <w:pPr>
              <w:spacing w:line="360" w:lineRule="auto"/>
            </w:pPr>
            <w:r>
              <w:t>0.39, 1.58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14:paraId="151EE5D1" w14:textId="77777777" w:rsidR="00542B33" w:rsidRDefault="00542B33" w:rsidP="002669E6">
            <w:pPr>
              <w:spacing w:line="360" w:lineRule="auto"/>
            </w:pPr>
            <w:r>
              <w:t>0.49</w:t>
            </w:r>
          </w:p>
        </w:tc>
      </w:tr>
      <w:tr w:rsidR="00542B33" w14:paraId="270A26C8" w14:textId="77777777" w:rsidTr="002669E6">
        <w:tc>
          <w:tcPr>
            <w:tcW w:w="2713" w:type="dxa"/>
            <w:tcBorders>
              <w:top w:val="nil"/>
              <w:bottom w:val="single" w:sz="4" w:space="0" w:color="auto"/>
            </w:tcBorders>
          </w:tcPr>
          <w:p w14:paraId="43F10AA8" w14:textId="77777777" w:rsidR="00542B33" w:rsidRDefault="00542B33" w:rsidP="002669E6">
            <w:pPr>
              <w:spacing w:line="360" w:lineRule="auto"/>
            </w:pPr>
            <w:r>
              <w:t xml:space="preserve">Time (months) x post,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</w:p>
        </w:tc>
        <w:tc>
          <w:tcPr>
            <w:tcW w:w="1427" w:type="dxa"/>
            <w:tcBorders>
              <w:top w:val="nil"/>
              <w:bottom w:val="single" w:sz="4" w:space="0" w:color="auto"/>
            </w:tcBorders>
          </w:tcPr>
          <w:p w14:paraId="1132A979" w14:textId="77777777" w:rsidR="00542B33" w:rsidRDefault="00542B33" w:rsidP="002669E6">
            <w:pPr>
              <w:spacing w:line="360" w:lineRule="auto"/>
            </w:pPr>
            <w:r>
              <w:t>-0.35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14:paraId="5F9C43A6" w14:textId="77777777" w:rsidR="00542B33" w:rsidRDefault="00542B33" w:rsidP="002669E6">
            <w:pPr>
              <w:spacing w:line="360" w:lineRule="auto"/>
            </w:pPr>
            <w:r>
              <w:t>0.18</w:t>
            </w:r>
          </w:p>
        </w:tc>
        <w:tc>
          <w:tcPr>
            <w:tcW w:w="1032" w:type="dxa"/>
            <w:tcBorders>
              <w:top w:val="nil"/>
              <w:bottom w:val="single" w:sz="4" w:space="0" w:color="auto"/>
            </w:tcBorders>
          </w:tcPr>
          <w:p w14:paraId="08DC1618" w14:textId="77777777" w:rsidR="00542B33" w:rsidRDefault="00542B33" w:rsidP="002669E6">
            <w:pPr>
              <w:spacing w:line="360" w:lineRule="auto"/>
            </w:pPr>
            <w:r>
              <w:t>0.70</w:t>
            </w:r>
          </w:p>
        </w:tc>
        <w:tc>
          <w:tcPr>
            <w:tcW w:w="1511" w:type="dxa"/>
            <w:tcBorders>
              <w:top w:val="nil"/>
              <w:bottom w:val="single" w:sz="4" w:space="0" w:color="auto"/>
            </w:tcBorders>
          </w:tcPr>
          <w:p w14:paraId="7E484193" w14:textId="77777777" w:rsidR="00542B33" w:rsidRDefault="00542B33" w:rsidP="002669E6">
            <w:pPr>
              <w:spacing w:line="360" w:lineRule="auto"/>
            </w:pPr>
            <w:r>
              <w:t>0.49, 1.00</w:t>
            </w:r>
          </w:p>
        </w:tc>
        <w:tc>
          <w:tcPr>
            <w:tcW w:w="1507" w:type="dxa"/>
            <w:tcBorders>
              <w:top w:val="nil"/>
              <w:bottom w:val="single" w:sz="4" w:space="0" w:color="auto"/>
            </w:tcBorders>
          </w:tcPr>
          <w:p w14:paraId="3508A0B6" w14:textId="77777777" w:rsidR="00542B33" w:rsidRDefault="00542B33" w:rsidP="002669E6">
            <w:pPr>
              <w:spacing w:line="360" w:lineRule="auto"/>
            </w:pPr>
            <w:r>
              <w:t>0.05</w:t>
            </w:r>
          </w:p>
        </w:tc>
      </w:tr>
    </w:tbl>
    <w:p w14:paraId="4B7E9721" w14:textId="77777777" w:rsidR="00542B33" w:rsidRDefault="00542B33" w:rsidP="00542B33">
      <w:pPr>
        <w:spacing w:line="240" w:lineRule="auto"/>
        <w:rPr>
          <w:rFonts w:eastAsiaTheme="minorEastAsia"/>
          <w:sz w:val="20"/>
          <w:szCs w:val="20"/>
        </w:rPr>
      </w:pPr>
      <w:r>
        <w:t xml:space="preserve">Supplemental Digital Content 4. Case-level interrupted time series analysis negative binomial model on hospital length of stay (days), adjusted for confounders.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Pr="00380420">
        <w:rPr>
          <w:rFonts w:eastAsiaTheme="minorEastAsia"/>
          <w:sz w:val="20"/>
          <w:szCs w:val="20"/>
        </w:rPr>
        <w:t>: intercept: average hospital length of stay</w:t>
      </w:r>
      <w:r>
        <w:rPr>
          <w:rFonts w:eastAsiaTheme="minorEastAsia"/>
          <w:sz w:val="20"/>
          <w:szCs w:val="20"/>
        </w:rPr>
        <w:t xml:space="preserve"> (days)</w:t>
      </w:r>
      <w:r w:rsidRPr="00380420">
        <w:rPr>
          <w:rFonts w:eastAsiaTheme="minorEastAsia"/>
          <w:sz w:val="20"/>
          <w:szCs w:val="20"/>
        </w:rPr>
        <w:t xml:space="preserve"> at time 0 with intervention = 0.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</m:oMath>
      <w:r w:rsidRPr="00380420">
        <w:rPr>
          <w:rFonts w:eastAsiaTheme="minorEastAsia"/>
          <w:sz w:val="20"/>
          <w:szCs w:val="20"/>
        </w:rPr>
        <w:t>: pre-intervention slope: change in average hospital length of stay</w:t>
      </w:r>
      <w:r>
        <w:rPr>
          <w:rFonts w:eastAsiaTheme="minorEastAsia"/>
          <w:sz w:val="20"/>
          <w:szCs w:val="20"/>
        </w:rPr>
        <w:t xml:space="preserve"> (days)</w:t>
      </w:r>
      <w:r w:rsidRPr="00380420">
        <w:rPr>
          <w:rFonts w:eastAsiaTheme="minorEastAsia"/>
          <w:sz w:val="20"/>
          <w:szCs w:val="20"/>
        </w:rPr>
        <w:t xml:space="preserve"> per month pre-intervention.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</m:oMath>
      <w:r w:rsidRPr="00380420">
        <w:rPr>
          <w:rFonts w:eastAsiaTheme="minorEastAsia"/>
          <w:sz w:val="20"/>
          <w:szCs w:val="20"/>
        </w:rPr>
        <w:t xml:space="preserve">: average hospital length of stay </w:t>
      </w:r>
      <w:r>
        <w:rPr>
          <w:rFonts w:eastAsiaTheme="minorEastAsia"/>
          <w:sz w:val="20"/>
          <w:szCs w:val="20"/>
        </w:rPr>
        <w:t xml:space="preserve">(days) </w:t>
      </w:r>
      <w:r w:rsidRPr="00380420">
        <w:rPr>
          <w:rFonts w:eastAsiaTheme="minorEastAsia"/>
          <w:sz w:val="20"/>
          <w:szCs w:val="20"/>
        </w:rPr>
        <w:t xml:space="preserve">at the start of intervention compared to end of pre-intervention.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</m:oMath>
      <w:r w:rsidRPr="00380420">
        <w:rPr>
          <w:rFonts w:eastAsiaTheme="minorEastAsia"/>
          <w:sz w:val="20"/>
          <w:szCs w:val="20"/>
        </w:rPr>
        <w:t xml:space="preserve">: difference between periods in slope of hospital length of stay </w:t>
      </w:r>
      <w:r>
        <w:rPr>
          <w:rFonts w:eastAsiaTheme="minorEastAsia"/>
          <w:sz w:val="20"/>
          <w:szCs w:val="20"/>
        </w:rPr>
        <w:t xml:space="preserve">(days) </w:t>
      </w:r>
      <w:r w:rsidRPr="00380420">
        <w:rPr>
          <w:rFonts w:eastAsiaTheme="minorEastAsia"/>
          <w:sz w:val="20"/>
          <w:szCs w:val="20"/>
        </w:rPr>
        <w:t>over time: post-intervention minus pre-intervention</w:t>
      </w:r>
      <w:r>
        <w:rPr>
          <w:rFonts w:eastAsiaTheme="minorEastAsia"/>
          <w:sz w:val="20"/>
          <w:szCs w:val="20"/>
        </w:rPr>
        <w:t>. SE: Standard error, RR: Relative Risk, CI: Confidence interval</w:t>
      </w:r>
    </w:p>
    <w:p w14:paraId="5278A9F9" w14:textId="77777777" w:rsidR="00542B33" w:rsidRDefault="00542B33" w:rsidP="00542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D9F41" w14:textId="77777777" w:rsidR="00542B33" w:rsidRDefault="00542B33" w:rsidP="00542B3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br w:type="page"/>
      </w:r>
    </w:p>
    <w:p w14:paraId="5D736CBC" w14:textId="77777777" w:rsidR="00542B33" w:rsidRDefault="00542B33" w:rsidP="00542B33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noProof/>
          <w:color w:val="000000"/>
        </w:rPr>
        <w:lastRenderedPageBreak/>
        <w:drawing>
          <wp:inline distT="0" distB="0" distL="0" distR="0" wp14:anchorId="0C06862C" wp14:editId="7155F64F">
            <wp:extent cx="5943600" cy="37147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F4655" w14:textId="77777777" w:rsidR="00542B33" w:rsidRPr="00514B82" w:rsidRDefault="00542B33" w:rsidP="00542B33">
      <w:pPr>
        <w:spacing w:after="196" w:line="276" w:lineRule="auto"/>
        <w:ind w:left="16" w:hanging="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0420">
        <w:rPr>
          <w:sz w:val="24"/>
          <w:szCs w:val="24"/>
        </w:rPr>
        <w:t>Supplemental Digital Content 5</w:t>
      </w:r>
      <w:r w:rsidRPr="00380420">
        <w:rPr>
          <w:rFonts w:ascii="Times New Roman" w:eastAsia="Calibri" w:hAnsi="Times New Roman" w:cs="Times New Roman"/>
          <w:color w:val="000000"/>
          <w:sz w:val="24"/>
          <w:szCs w:val="24"/>
        </w:rPr>
        <w:t>. Hospital length of stay (days) over time.</w:t>
      </w:r>
      <w:r w:rsidRPr="00514B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14B82">
        <w:rPr>
          <w:rFonts w:ascii="Times New Roman" w:eastAsia="Times New Roman" w:hAnsi="Times New Roman" w:cs="Times New Roman"/>
          <w:bCs/>
          <w:sz w:val="24"/>
          <w:szCs w:val="24"/>
        </w:rPr>
        <w:t>Each point represents the hospital length of stay for each case. The blue line represents the average hospital length of stay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(days)</w:t>
      </w:r>
      <w:r w:rsidRPr="00514B82">
        <w:rPr>
          <w:rFonts w:ascii="Times New Roman" w:eastAsia="Times New Roman" w:hAnsi="Times New Roman" w:cs="Times New Roman"/>
          <w:bCs/>
          <w:sz w:val="24"/>
          <w:szCs w:val="24"/>
        </w:rPr>
        <w:t xml:space="preserve"> in each month. Pre-intervention: 4/2019 – 6/2019. Post-intervention: 7/2019 – 9/2019.</w:t>
      </w:r>
    </w:p>
    <w:p w14:paraId="118E78CD" w14:textId="77777777" w:rsidR="00573E87" w:rsidRDefault="00573E87"/>
    <w:sectPr w:rsidR="0057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33"/>
    <w:rsid w:val="00542B33"/>
    <w:rsid w:val="005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F5F6B"/>
  <w15:chartTrackingRefBased/>
  <w15:docId w15:val="{A6D9816C-09FF-4E68-B88F-CEEAF57D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B33"/>
    <w:pPr>
      <w:spacing w:line="480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B33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Durieux</dc:creator>
  <cp:keywords/>
  <dc:description/>
  <cp:lastModifiedBy>Marcel Durieux</cp:lastModifiedBy>
  <cp:revision>1</cp:revision>
  <dcterms:created xsi:type="dcterms:W3CDTF">2022-08-03T20:26:00Z</dcterms:created>
  <dcterms:modified xsi:type="dcterms:W3CDTF">2022-08-03T20:27:00Z</dcterms:modified>
</cp:coreProperties>
</file>