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F4B6" w14:textId="6420AEC8" w:rsidR="003D6BE6" w:rsidRPr="002C174B" w:rsidRDefault="00CC7DB1" w:rsidP="00CA36BF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en-GB"/>
        </w:rPr>
      </w:pPr>
      <w:r w:rsidRPr="002C174B">
        <w:rPr>
          <w:rFonts w:ascii="Arial" w:hAnsi="Arial" w:cs="Arial"/>
          <w:b/>
          <w:sz w:val="28"/>
          <w:szCs w:val="24"/>
          <w:lang w:val="en-GB"/>
        </w:rPr>
        <w:t>Supporting Documents</w:t>
      </w:r>
    </w:p>
    <w:p w14:paraId="208FCED2" w14:textId="7D069AAB" w:rsidR="0093765E" w:rsidRPr="0093765E" w:rsidRDefault="0093765E" w:rsidP="0093765E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  <w:bookmarkStart w:id="0" w:name="Title_Page"/>
      <w:bookmarkEnd w:id="0"/>
      <w:r w:rsidRPr="0093765E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Earlier </w:t>
      </w:r>
      <w:r w:rsidR="00B04782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>Normalization</w:t>
      </w:r>
      <w:r w:rsidRPr="0093765E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 of Serum Alanine Aminotransferase Levels during Antiviral Treatment is Independently Associated with Lower Risk of Hepatocellular Carcinoma in Patients with Chronic Hepatitis B</w:t>
      </w:r>
    </w:p>
    <w:p w14:paraId="32352F82" w14:textId="77777777" w:rsidR="002C174B" w:rsidRDefault="00F255F0" w:rsidP="00CA36BF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A36BF">
        <w:rPr>
          <w:rFonts w:ascii="Arial" w:hAnsi="Arial" w:cs="Arial"/>
          <w:sz w:val="24"/>
          <w:szCs w:val="24"/>
          <w:lang w:val="en-GB"/>
        </w:rPr>
        <w:t>Jonggi Choi, MD</w:t>
      </w:r>
      <w:r w:rsidR="00742CBB" w:rsidRPr="00CA36BF">
        <w:rPr>
          <w:rFonts w:ascii="Arial" w:hAnsi="Arial" w:cs="Arial"/>
          <w:sz w:val="24"/>
          <w:szCs w:val="24"/>
          <w:lang w:val="en-GB"/>
        </w:rPr>
        <w:t>, PhD</w:t>
      </w:r>
      <w:r w:rsidR="00A73F1F" w:rsidRPr="00CA36BF">
        <w:rPr>
          <w:rFonts w:ascii="Arial" w:hAnsi="Arial" w:cs="Arial"/>
          <w:sz w:val="24"/>
          <w:szCs w:val="24"/>
          <w:lang w:val="en-GB"/>
        </w:rPr>
        <w:t>;</w:t>
      </w:r>
      <w:r w:rsidRPr="00CA36BF">
        <w:rPr>
          <w:rFonts w:ascii="Arial" w:hAnsi="Arial" w:cs="Arial"/>
          <w:sz w:val="24"/>
          <w:szCs w:val="24"/>
          <w:lang w:val="en-GB"/>
        </w:rPr>
        <w:t xml:space="preserve"> </w:t>
      </w:r>
      <w:r w:rsidR="00435BB1" w:rsidRPr="00CA36BF">
        <w:rPr>
          <w:rFonts w:ascii="Arial" w:hAnsi="Arial" w:cs="Arial"/>
          <w:sz w:val="24"/>
          <w:szCs w:val="24"/>
          <w:lang w:val="en-GB"/>
        </w:rPr>
        <w:t>Gi-Ae Kim, MD, PhD</w:t>
      </w:r>
      <w:r w:rsidR="00A73F1F" w:rsidRPr="00CA36BF">
        <w:rPr>
          <w:rFonts w:ascii="Arial" w:hAnsi="Arial" w:cs="Arial"/>
          <w:sz w:val="24"/>
          <w:szCs w:val="24"/>
          <w:lang w:val="en-GB"/>
        </w:rPr>
        <w:t>;</w:t>
      </w:r>
      <w:r w:rsidR="00435BB1" w:rsidRPr="00CA36BF">
        <w:rPr>
          <w:rFonts w:ascii="Arial" w:hAnsi="Arial" w:cs="Arial"/>
          <w:sz w:val="24"/>
          <w:szCs w:val="24"/>
          <w:lang w:val="en-GB"/>
        </w:rPr>
        <w:t xml:space="preserve"> </w:t>
      </w:r>
      <w:r w:rsidR="006B0CB3" w:rsidRPr="00CA36BF">
        <w:rPr>
          <w:rFonts w:ascii="Arial" w:hAnsi="Arial" w:cs="Arial"/>
          <w:sz w:val="24"/>
          <w:szCs w:val="24"/>
          <w:lang w:val="en-GB"/>
        </w:rPr>
        <w:t>Seungbong Han, PhD</w:t>
      </w:r>
      <w:r w:rsidR="00A73F1F" w:rsidRPr="00CA36BF">
        <w:rPr>
          <w:rFonts w:ascii="Arial" w:hAnsi="Arial" w:cs="Arial"/>
          <w:sz w:val="24"/>
          <w:szCs w:val="24"/>
          <w:lang w:val="en-GB"/>
        </w:rPr>
        <w:t>;</w:t>
      </w:r>
      <w:r w:rsidR="006B0CB3" w:rsidRPr="00CA36B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C7ACFA" w14:textId="397A10F8" w:rsidR="003E4D5B" w:rsidRPr="00CA36BF" w:rsidRDefault="00741D6B" w:rsidP="00D16284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A36BF">
        <w:rPr>
          <w:rFonts w:ascii="Arial" w:hAnsi="Arial" w:cs="Arial"/>
          <w:sz w:val="24"/>
          <w:szCs w:val="24"/>
          <w:lang w:val="en-GB"/>
        </w:rPr>
        <w:t xml:space="preserve">and </w:t>
      </w:r>
      <w:r w:rsidR="00F255F0" w:rsidRPr="00CA36BF">
        <w:rPr>
          <w:rFonts w:ascii="Arial" w:hAnsi="Arial" w:cs="Arial"/>
          <w:sz w:val="24"/>
          <w:szCs w:val="24"/>
          <w:lang w:val="en-GB"/>
        </w:rPr>
        <w:t>Young-Suk Lim, MD, P</w:t>
      </w:r>
      <w:r w:rsidR="00883E54" w:rsidRPr="00CA36BF">
        <w:rPr>
          <w:rFonts w:ascii="Arial" w:hAnsi="Arial" w:cs="Arial"/>
          <w:sz w:val="24"/>
          <w:szCs w:val="24"/>
          <w:lang w:val="en-GB"/>
        </w:rPr>
        <w:t>h</w:t>
      </w:r>
      <w:r w:rsidR="00F255F0" w:rsidRPr="00CA36BF">
        <w:rPr>
          <w:rFonts w:ascii="Arial" w:hAnsi="Arial" w:cs="Arial"/>
          <w:sz w:val="24"/>
          <w:szCs w:val="24"/>
          <w:lang w:val="en-GB"/>
        </w:rPr>
        <w:t>D</w:t>
      </w:r>
    </w:p>
    <w:p w14:paraId="4543CE3C" w14:textId="640FBA77" w:rsidR="003E4D5B" w:rsidRDefault="003E4D5B" w:rsidP="00D16284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A36BF">
        <w:rPr>
          <w:rFonts w:ascii="Arial" w:hAnsi="Arial" w:cs="Arial"/>
          <w:b/>
          <w:sz w:val="24"/>
          <w:szCs w:val="24"/>
          <w:lang w:val="en-GB"/>
        </w:rPr>
        <w:t>Table of Contents</w:t>
      </w:r>
    </w:p>
    <w:p w14:paraId="1F8958B4" w14:textId="77777777" w:rsidR="008754CE" w:rsidRPr="001C79D9" w:rsidRDefault="008754CE" w:rsidP="008754CE">
      <w:pPr>
        <w:pStyle w:val="a3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bookmarkStart w:id="1" w:name="_Hlk523303573"/>
      <w:r w:rsidRPr="00BD40B4">
        <w:rPr>
          <w:rFonts w:ascii="Arial" w:hAnsi="Arial" w:cs="Arial" w:hint="eastAsia"/>
          <w:b/>
          <w:sz w:val="24"/>
          <w:szCs w:val="24"/>
        </w:rPr>
        <w:t>S</w:t>
      </w:r>
      <w:r w:rsidRPr="00BD40B4">
        <w:rPr>
          <w:rFonts w:ascii="Arial" w:hAnsi="Arial" w:cs="Arial"/>
          <w:b/>
          <w:sz w:val="24"/>
          <w:szCs w:val="24"/>
        </w:rPr>
        <w:t>upplementary Table 1.</w:t>
      </w:r>
      <w:r w:rsidRPr="00BD40B4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18841412"/>
      <w:r w:rsidRPr="00BD40B4">
        <w:rPr>
          <w:rFonts w:ascii="Arial" w:hAnsi="Arial" w:cs="Arial"/>
          <w:bCs/>
          <w:sz w:val="24"/>
          <w:szCs w:val="24"/>
        </w:rPr>
        <w:t>Time-dependent Cox regression analysis for the risk of hepatocellular carcinoma according to the timing of ALT normalization in CHB patients with and without cirrhosis</w:t>
      </w:r>
      <w:r>
        <w:rPr>
          <w:rFonts w:ascii="Arial" w:hAnsi="Arial" w:cs="Arial"/>
          <w:bCs/>
          <w:sz w:val="24"/>
          <w:szCs w:val="24"/>
        </w:rPr>
        <w:t>.</w:t>
      </w:r>
    </w:p>
    <w:p w14:paraId="731CA9E2" w14:textId="77777777" w:rsidR="008754CE" w:rsidRPr="001C79D9" w:rsidRDefault="008754CE" w:rsidP="008754CE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14:paraId="2DAE41A8" w14:textId="77777777" w:rsidR="008754CE" w:rsidRPr="001C79D9" w:rsidRDefault="008754CE" w:rsidP="008754CE">
      <w:pPr>
        <w:pStyle w:val="a3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r w:rsidRPr="00BD40B4">
        <w:rPr>
          <w:rFonts w:ascii="Arial" w:hAnsi="Arial" w:cs="Arial" w:hint="eastAsia"/>
          <w:b/>
          <w:sz w:val="24"/>
          <w:szCs w:val="24"/>
        </w:rPr>
        <w:t>S</w:t>
      </w:r>
      <w:r w:rsidRPr="00BD40B4">
        <w:rPr>
          <w:rFonts w:ascii="Arial" w:hAnsi="Arial" w:cs="Arial"/>
          <w:b/>
          <w:sz w:val="24"/>
          <w:szCs w:val="24"/>
        </w:rPr>
        <w:t>upplementary Table 2.</w:t>
      </w:r>
      <w:r w:rsidRPr="00BD40B4">
        <w:rPr>
          <w:rFonts w:ascii="Arial" w:hAnsi="Arial" w:cs="Arial"/>
          <w:bCs/>
          <w:sz w:val="24"/>
          <w:szCs w:val="24"/>
        </w:rPr>
        <w:t xml:space="preserve"> Time-dependent Cox regression analysis for the risk of hepatocellular carcinoma by the timing of ALT normalization according to the type of antiviral </w:t>
      </w:r>
      <w:bookmarkEnd w:id="2"/>
      <w:r w:rsidRPr="00BD40B4">
        <w:rPr>
          <w:rFonts w:ascii="Arial" w:hAnsi="Arial" w:cs="Arial"/>
          <w:bCs/>
          <w:sz w:val="24"/>
          <w:szCs w:val="24"/>
        </w:rPr>
        <w:t>drug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</w:p>
    <w:p w14:paraId="11199BEE" w14:textId="77777777" w:rsidR="008754CE" w:rsidRPr="001C79D9" w:rsidRDefault="008754CE" w:rsidP="008754CE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14:paraId="1E7FC165" w14:textId="77777777" w:rsidR="008754CE" w:rsidRPr="00BD40B4" w:rsidRDefault="008754CE" w:rsidP="008754CE">
      <w:pPr>
        <w:pStyle w:val="a3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r w:rsidRPr="00BD40B4">
        <w:rPr>
          <w:rFonts w:ascii="Arial" w:hAnsi="Arial" w:cs="Arial"/>
          <w:b/>
          <w:color w:val="000000"/>
          <w:sz w:val="24"/>
          <w:szCs w:val="24"/>
          <w:lang w:val="en-GB"/>
        </w:rPr>
        <w:t>Supplementary Table 3.</w:t>
      </w:r>
      <w:r w:rsidRPr="00BD40B4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Ti</w:t>
      </w:r>
      <w:r w:rsidRPr="00BD40B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me-dependent </w:t>
      </w:r>
      <w:r w:rsidRPr="00BD40B4">
        <w:rPr>
          <w:rFonts w:ascii="Arial" w:hAnsi="Arial" w:cs="Arial"/>
          <w:bCs/>
          <w:color w:val="000000"/>
          <w:sz w:val="24"/>
          <w:szCs w:val="24"/>
          <w:lang w:val="en-GB"/>
        </w:rPr>
        <w:t>Cox regression analysis for the risk of hepatocellular carcinoma according to the timing of ALT normalization based on presence of fatty liver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  <w:r w:rsidRPr="00BD40B4">
        <w:rPr>
          <w:rFonts w:ascii="Arial" w:hAnsi="Arial" w:cs="Arial"/>
          <w:bCs/>
          <w:sz w:val="24"/>
          <w:szCs w:val="24"/>
        </w:rPr>
        <w:br/>
      </w:r>
    </w:p>
    <w:p w14:paraId="262B018E" w14:textId="77777777" w:rsidR="008754CE" w:rsidRPr="00BD40B4" w:rsidRDefault="008754CE" w:rsidP="008754CE">
      <w:pPr>
        <w:pStyle w:val="a3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r w:rsidRPr="00BD40B4">
        <w:rPr>
          <w:rFonts w:ascii="Arial" w:hAnsi="Arial" w:cs="Arial"/>
          <w:b/>
          <w:sz w:val="24"/>
          <w:szCs w:val="24"/>
        </w:rPr>
        <w:t xml:space="preserve">Supplementary </w:t>
      </w:r>
      <w:r w:rsidRPr="00BD40B4">
        <w:rPr>
          <w:rFonts w:ascii="Arial" w:hAnsi="Arial" w:cs="Arial" w:hint="eastAsia"/>
          <w:b/>
          <w:sz w:val="24"/>
          <w:szCs w:val="24"/>
        </w:rPr>
        <w:t>T</w:t>
      </w:r>
      <w:r w:rsidRPr="00BD40B4">
        <w:rPr>
          <w:rFonts w:ascii="Arial" w:hAnsi="Arial" w:cs="Arial"/>
          <w:b/>
          <w:sz w:val="24"/>
          <w:szCs w:val="24"/>
        </w:rPr>
        <w:t>able 4.</w:t>
      </w:r>
      <w:r w:rsidRPr="00BD40B4">
        <w:rPr>
          <w:rFonts w:ascii="Arial" w:hAnsi="Arial" w:cs="Arial"/>
          <w:bCs/>
          <w:sz w:val="24"/>
          <w:szCs w:val="24"/>
        </w:rPr>
        <w:t xml:space="preserve"> Factors associated with early (&lt;6 months) ALT normalization as compared to late (7-24 months) ALT normalization among 3438 patients who achieved ALT normalization at 2-year of treatment</w:t>
      </w:r>
      <w:r>
        <w:rPr>
          <w:rFonts w:ascii="Arial" w:hAnsi="Arial" w:cs="Arial"/>
          <w:bCs/>
          <w:sz w:val="24"/>
          <w:szCs w:val="24"/>
        </w:rPr>
        <w:t>.</w:t>
      </w:r>
      <w:r w:rsidRPr="00BD40B4">
        <w:rPr>
          <w:rFonts w:ascii="Arial" w:hAnsi="Arial" w:cs="Arial"/>
          <w:bCs/>
          <w:sz w:val="24"/>
          <w:szCs w:val="24"/>
        </w:rPr>
        <w:br/>
      </w:r>
    </w:p>
    <w:p w14:paraId="5AE77176" w14:textId="77777777" w:rsidR="008754CE" w:rsidRPr="008C6B4C" w:rsidRDefault="008754CE" w:rsidP="008754CE">
      <w:pPr>
        <w:pStyle w:val="a3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/>
        <w:rPr>
          <w:rFonts w:ascii="Arial" w:hAnsi="Arial" w:cs="Arial"/>
          <w:b/>
          <w:sz w:val="24"/>
          <w:szCs w:val="24"/>
          <w:lang w:val="en-GB"/>
        </w:rPr>
      </w:pPr>
      <w:r w:rsidRPr="00BD40B4">
        <w:rPr>
          <w:rFonts w:ascii="Arial" w:hAnsi="Arial" w:cs="Arial"/>
          <w:b/>
          <w:sz w:val="24"/>
          <w:szCs w:val="24"/>
        </w:rPr>
        <w:t xml:space="preserve">Supplementary </w:t>
      </w:r>
      <w:r w:rsidRPr="00BD40B4">
        <w:rPr>
          <w:rFonts w:ascii="Arial" w:hAnsi="Arial" w:cs="Arial" w:hint="eastAsia"/>
          <w:b/>
          <w:sz w:val="24"/>
          <w:szCs w:val="24"/>
        </w:rPr>
        <w:t>T</w:t>
      </w:r>
      <w:r w:rsidRPr="00BD40B4">
        <w:rPr>
          <w:rFonts w:ascii="Arial" w:hAnsi="Arial" w:cs="Arial"/>
          <w:b/>
          <w:sz w:val="24"/>
          <w:szCs w:val="24"/>
        </w:rPr>
        <w:t>able 5.</w:t>
      </w:r>
      <w:r w:rsidRPr="00BD40B4">
        <w:rPr>
          <w:rFonts w:ascii="Arial" w:hAnsi="Arial" w:cs="Arial"/>
          <w:bCs/>
          <w:sz w:val="24"/>
          <w:szCs w:val="24"/>
        </w:rPr>
        <w:t xml:space="preserve"> Factors associated with no ALT normalization as reference to ALT normalization among 3054 patients who achieved VR at 2-year of treatment</w:t>
      </w:r>
      <w:r>
        <w:rPr>
          <w:rFonts w:ascii="Arial" w:hAnsi="Arial" w:cs="Arial"/>
          <w:bCs/>
          <w:sz w:val="24"/>
          <w:szCs w:val="24"/>
        </w:rPr>
        <w:t>.</w:t>
      </w:r>
      <w:r w:rsidRPr="00BD40B4">
        <w:rPr>
          <w:rFonts w:ascii="Arial" w:hAnsi="Arial" w:cs="Arial"/>
          <w:bCs/>
          <w:sz w:val="24"/>
          <w:szCs w:val="24"/>
        </w:rPr>
        <w:br/>
      </w:r>
    </w:p>
    <w:p w14:paraId="7BF8A3A4" w14:textId="77777777" w:rsidR="008754CE" w:rsidRDefault="008754CE" w:rsidP="008754CE">
      <w:pPr>
        <w:pStyle w:val="a3"/>
        <w:numPr>
          <w:ilvl w:val="0"/>
          <w:numId w:val="7"/>
        </w:numPr>
        <w:spacing w:after="200" w:line="360" w:lineRule="auto"/>
        <w:ind w:leftChars="0"/>
        <w:rPr>
          <w:rFonts w:ascii="Arial" w:hAnsi="Arial" w:cs="Arial"/>
          <w:sz w:val="24"/>
          <w:szCs w:val="24"/>
          <w:lang w:val="en-GB"/>
        </w:rPr>
      </w:pPr>
      <w:r w:rsidRPr="00CA36BF">
        <w:rPr>
          <w:rFonts w:ascii="Arial" w:hAnsi="Arial" w:cs="Arial"/>
          <w:b/>
          <w:sz w:val="24"/>
          <w:szCs w:val="24"/>
          <w:lang w:val="en-GB"/>
        </w:rPr>
        <w:t>Supplementary Figure 1.</w:t>
      </w:r>
      <w:r w:rsidRPr="00CA36BF">
        <w:rPr>
          <w:rFonts w:ascii="Arial" w:hAnsi="Arial" w:cs="Arial"/>
          <w:sz w:val="24"/>
          <w:szCs w:val="24"/>
          <w:lang w:val="en-GB"/>
        </w:rPr>
        <w:t xml:space="preserve"> Cumulative rates of achievement of surrogate markers during treatment with entecavir or tenofovir disoproxil fumarate in patients with chronic hepatitis B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CA36BF">
        <w:rPr>
          <w:rFonts w:ascii="Arial" w:hAnsi="Arial" w:cs="Arial"/>
          <w:sz w:val="24"/>
          <w:szCs w:val="24"/>
          <w:lang w:val="en-GB"/>
        </w:rPr>
        <w:br/>
        <w:t xml:space="preserve">(A) ALT </w:t>
      </w:r>
      <w:r>
        <w:rPr>
          <w:rFonts w:ascii="Arial" w:hAnsi="Arial" w:cs="Arial"/>
          <w:sz w:val="24"/>
          <w:szCs w:val="24"/>
          <w:lang w:val="en-GB"/>
        </w:rPr>
        <w:t>normalization</w:t>
      </w:r>
      <w:r w:rsidRPr="00CA36BF">
        <w:rPr>
          <w:rFonts w:ascii="Arial" w:hAnsi="Arial" w:cs="Arial"/>
          <w:sz w:val="24"/>
          <w:szCs w:val="24"/>
          <w:lang w:val="en-GB"/>
        </w:rPr>
        <w:t xml:space="preserve"> </w:t>
      </w:r>
      <w:r w:rsidRPr="00CA36BF">
        <w:rPr>
          <w:rFonts w:ascii="Arial" w:hAnsi="Arial" w:cs="Arial"/>
          <w:sz w:val="24"/>
          <w:szCs w:val="24"/>
          <w:lang w:val="en-GB"/>
        </w:rPr>
        <w:br/>
      </w:r>
      <w:r w:rsidRPr="00CA36BF">
        <w:rPr>
          <w:rFonts w:ascii="Arial" w:hAnsi="Arial" w:cs="Arial"/>
          <w:sz w:val="24"/>
          <w:szCs w:val="24"/>
          <w:lang w:val="en-GB"/>
        </w:rPr>
        <w:lastRenderedPageBreak/>
        <w:t>(B) Virological response</w:t>
      </w:r>
      <w:r w:rsidRPr="00CA36BF">
        <w:rPr>
          <w:rFonts w:ascii="Arial" w:hAnsi="Arial" w:cs="Arial"/>
          <w:sz w:val="24"/>
          <w:szCs w:val="24"/>
          <w:lang w:val="en-GB"/>
        </w:rPr>
        <w:br/>
        <w:t>(C) HBeAg seroclearance in HBeAg</w:t>
      </w:r>
      <w:r>
        <w:rPr>
          <w:rFonts w:ascii="Arial" w:hAnsi="Arial" w:cs="Arial"/>
          <w:sz w:val="24"/>
          <w:szCs w:val="24"/>
          <w:lang w:val="en-GB"/>
        </w:rPr>
        <w:t>-</w:t>
      </w:r>
      <w:r w:rsidRPr="00CA36BF">
        <w:rPr>
          <w:rFonts w:ascii="Arial" w:hAnsi="Arial" w:cs="Arial"/>
          <w:sz w:val="24"/>
          <w:szCs w:val="24"/>
          <w:lang w:val="en-GB"/>
        </w:rPr>
        <w:t>positiv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CA36BF">
        <w:rPr>
          <w:rFonts w:ascii="Arial" w:hAnsi="Arial" w:cs="Arial"/>
          <w:sz w:val="24"/>
          <w:szCs w:val="24"/>
          <w:lang w:val="en-GB"/>
        </w:rPr>
        <w:t xml:space="preserve"> patients</w:t>
      </w:r>
      <w:r w:rsidRPr="00CA36BF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Pr="00CA36BF">
        <w:rPr>
          <w:rFonts w:ascii="Arial" w:hAnsi="Arial" w:cs="Arial"/>
          <w:sz w:val="24"/>
          <w:szCs w:val="24"/>
          <w:lang w:val="en-GB"/>
        </w:rPr>
        <w:t>ALT, alanine aminotransferase; HBeAg, hepatitis B e antigen</w:t>
      </w:r>
    </w:p>
    <w:p w14:paraId="0CAABA60" w14:textId="77777777" w:rsidR="008754CE" w:rsidRPr="00BD40B4" w:rsidRDefault="008754CE" w:rsidP="008754CE">
      <w:pPr>
        <w:pStyle w:val="a3"/>
        <w:numPr>
          <w:ilvl w:val="0"/>
          <w:numId w:val="7"/>
        </w:numPr>
        <w:spacing w:after="20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r w:rsidRPr="00BD40B4">
        <w:rPr>
          <w:rFonts w:ascii="Arial" w:hAnsi="Arial" w:cs="Arial"/>
          <w:b/>
          <w:sz w:val="24"/>
          <w:szCs w:val="20"/>
          <w:lang w:val="en-GB"/>
        </w:rPr>
        <w:t>Supplementary Figure 2.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</w:t>
      </w:r>
      <w:bookmarkStart w:id="3" w:name="_Hlk19121758"/>
      <w:r w:rsidRPr="00BD40B4">
        <w:rPr>
          <w:rFonts w:ascii="Arial" w:hAnsi="Arial" w:cs="Arial"/>
          <w:bCs/>
          <w:sz w:val="24"/>
          <w:szCs w:val="20"/>
          <w:lang w:val="en-GB"/>
        </w:rPr>
        <w:t>Risk of HCC by the timing of ALT normalization in CHB patients with and without cirrhosis by 2-year landmark analysis</w:t>
      </w:r>
      <w:r>
        <w:rPr>
          <w:rFonts w:ascii="Arial" w:hAnsi="Arial" w:cs="Arial"/>
          <w:bCs/>
          <w:sz w:val="24"/>
          <w:szCs w:val="20"/>
          <w:lang w:val="en-GB"/>
        </w:rPr>
        <w:t>.</w:t>
      </w:r>
      <w:bookmarkEnd w:id="3"/>
      <w:r w:rsidRPr="00BD40B4">
        <w:rPr>
          <w:rFonts w:ascii="Arial" w:hAnsi="Arial" w:cs="Arial"/>
          <w:bCs/>
          <w:sz w:val="24"/>
          <w:szCs w:val="20"/>
          <w:lang w:val="en-GB"/>
        </w:rPr>
        <w:br/>
        <w:t xml:space="preserve">(A) Cirrhosis </w:t>
      </w:r>
      <w:r>
        <w:rPr>
          <w:rFonts w:ascii="Arial" w:hAnsi="Arial" w:cs="Arial"/>
          <w:bCs/>
          <w:sz w:val="24"/>
          <w:szCs w:val="20"/>
          <w:lang w:val="en-GB"/>
        </w:rPr>
        <w:t>sub</w:t>
      </w:r>
      <w:r w:rsidRPr="00BD40B4">
        <w:rPr>
          <w:rFonts w:ascii="Arial" w:hAnsi="Arial" w:cs="Arial"/>
          <w:bCs/>
          <w:sz w:val="24"/>
          <w:szCs w:val="20"/>
          <w:lang w:val="en-GB"/>
        </w:rPr>
        <w:t>cohort (n=1811)</w:t>
      </w:r>
      <w:r w:rsidRPr="00BD40B4">
        <w:rPr>
          <w:rFonts w:ascii="Arial" w:hAnsi="Arial" w:cs="Arial"/>
          <w:bCs/>
          <w:sz w:val="24"/>
          <w:szCs w:val="20"/>
          <w:lang w:val="en-GB"/>
        </w:rPr>
        <w:br/>
        <w:t xml:space="preserve">(B) Non-cirrhosis </w:t>
      </w:r>
      <w:r>
        <w:rPr>
          <w:rFonts w:ascii="Arial" w:hAnsi="Arial" w:cs="Arial"/>
          <w:bCs/>
          <w:sz w:val="24"/>
          <w:szCs w:val="20"/>
          <w:lang w:val="en-GB"/>
        </w:rPr>
        <w:t>sub</w:t>
      </w:r>
      <w:r w:rsidRPr="00BD40B4">
        <w:rPr>
          <w:rFonts w:ascii="Arial" w:hAnsi="Arial" w:cs="Arial"/>
          <w:bCs/>
          <w:sz w:val="24"/>
          <w:szCs w:val="20"/>
          <w:lang w:val="en-GB"/>
        </w:rPr>
        <w:t>cohort (n=2431)</w:t>
      </w:r>
    </w:p>
    <w:p w14:paraId="0CBCA8A7" w14:textId="77777777" w:rsidR="008754CE" w:rsidRPr="00BD40B4" w:rsidRDefault="008754CE" w:rsidP="008754CE">
      <w:pPr>
        <w:pStyle w:val="a3"/>
        <w:numPr>
          <w:ilvl w:val="0"/>
          <w:numId w:val="7"/>
        </w:numPr>
        <w:spacing w:after="200" w:line="360" w:lineRule="auto"/>
        <w:ind w:leftChars="0"/>
        <w:rPr>
          <w:rFonts w:ascii="Arial" w:hAnsi="Arial" w:cs="Arial"/>
          <w:bCs/>
          <w:sz w:val="24"/>
          <w:szCs w:val="24"/>
          <w:lang w:val="en-GB"/>
        </w:rPr>
      </w:pPr>
      <w:bookmarkStart w:id="4" w:name="_Hlk18842493"/>
      <w:r w:rsidRPr="00BD40B4">
        <w:rPr>
          <w:rFonts w:ascii="Arial" w:hAnsi="Arial" w:cs="Arial"/>
          <w:b/>
          <w:sz w:val="24"/>
          <w:szCs w:val="20"/>
          <w:lang w:val="en-GB"/>
        </w:rPr>
        <w:t>Supplementary Figure 3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. Risk of HCC </w:t>
      </w:r>
      <w:r>
        <w:rPr>
          <w:rFonts w:ascii="Arial" w:hAnsi="Arial" w:cs="Arial"/>
          <w:bCs/>
          <w:sz w:val="24"/>
          <w:szCs w:val="20"/>
          <w:lang w:val="en-GB"/>
        </w:rPr>
        <w:t>by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the timing of ALT normalization by 2-year landmark analysis</w:t>
      </w:r>
      <w:r>
        <w:rPr>
          <w:rFonts w:ascii="Arial" w:hAnsi="Arial" w:cs="Arial"/>
          <w:bCs/>
          <w:sz w:val="24"/>
          <w:szCs w:val="20"/>
          <w:lang w:val="en-GB"/>
        </w:rPr>
        <w:t xml:space="preserve"> in ETV and TDF </w:t>
      </w:r>
      <w:bookmarkStart w:id="5" w:name="_Hlk19121893"/>
      <w:r>
        <w:rPr>
          <w:rFonts w:ascii="Arial" w:hAnsi="Arial" w:cs="Arial"/>
          <w:bCs/>
          <w:sz w:val="24"/>
          <w:szCs w:val="20"/>
          <w:lang w:val="en-GB"/>
        </w:rPr>
        <w:t>subcohorts</w:t>
      </w:r>
      <w:bookmarkEnd w:id="5"/>
      <w:r>
        <w:rPr>
          <w:rFonts w:ascii="Arial" w:hAnsi="Arial" w:cs="Arial"/>
          <w:bCs/>
          <w:sz w:val="24"/>
          <w:szCs w:val="20"/>
          <w:lang w:val="en-GB"/>
        </w:rPr>
        <w:t>.</w:t>
      </w:r>
      <w:r w:rsidRPr="00BD40B4">
        <w:rPr>
          <w:rFonts w:ascii="Arial" w:hAnsi="Arial" w:cs="Arial"/>
          <w:bCs/>
          <w:sz w:val="24"/>
          <w:szCs w:val="20"/>
          <w:lang w:val="en-GB"/>
        </w:rPr>
        <w:br/>
        <w:t xml:space="preserve">(A) Entecavir </w:t>
      </w:r>
      <w:r>
        <w:rPr>
          <w:rFonts w:ascii="Arial" w:hAnsi="Arial" w:cs="Arial"/>
          <w:bCs/>
          <w:sz w:val="24"/>
          <w:szCs w:val="20"/>
          <w:lang w:val="en-GB"/>
        </w:rPr>
        <w:t>subcohorts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(n=2803)</w:t>
      </w:r>
      <w:bookmarkEnd w:id="4"/>
      <w:r w:rsidRPr="00BD40B4">
        <w:rPr>
          <w:rFonts w:ascii="Arial" w:hAnsi="Arial" w:cs="Arial"/>
          <w:bCs/>
          <w:sz w:val="24"/>
          <w:szCs w:val="20"/>
          <w:lang w:val="en-GB"/>
        </w:rPr>
        <w:br/>
        <w:t xml:space="preserve">(B) Tenofovir </w:t>
      </w:r>
      <w:r>
        <w:rPr>
          <w:rFonts w:ascii="Arial" w:hAnsi="Arial" w:cs="Arial"/>
          <w:bCs/>
          <w:sz w:val="24"/>
          <w:szCs w:val="20"/>
          <w:lang w:val="en-GB"/>
        </w:rPr>
        <w:t>subcohorts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(n=1349)</w:t>
      </w:r>
    </w:p>
    <w:p w14:paraId="4E5654B2" w14:textId="3C9ED5DA" w:rsidR="00D16284" w:rsidRPr="00D16284" w:rsidRDefault="008754CE" w:rsidP="008754CE">
      <w:pPr>
        <w:pStyle w:val="a3"/>
        <w:numPr>
          <w:ilvl w:val="0"/>
          <w:numId w:val="7"/>
        </w:numPr>
        <w:spacing w:after="200" w:line="360" w:lineRule="auto"/>
        <w:ind w:leftChars="0"/>
        <w:rPr>
          <w:rFonts w:ascii="Arial" w:hAnsi="Arial" w:cs="Arial"/>
          <w:bCs/>
          <w:sz w:val="24"/>
          <w:szCs w:val="24"/>
        </w:rPr>
      </w:pPr>
      <w:bookmarkStart w:id="6" w:name="_Hlk12194857"/>
      <w:r w:rsidRPr="00D16284">
        <w:rPr>
          <w:rFonts w:ascii="Arial" w:hAnsi="Arial" w:cs="Arial"/>
          <w:b/>
          <w:sz w:val="24"/>
          <w:szCs w:val="24"/>
          <w:lang w:val="en-GB"/>
        </w:rPr>
        <w:t xml:space="preserve">Supplementary Figure 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Pr="00D16284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D16284">
        <w:rPr>
          <w:rFonts w:ascii="Arial" w:hAnsi="Arial" w:cs="Arial"/>
          <w:sz w:val="24"/>
          <w:szCs w:val="24"/>
          <w:lang w:val="en-GB"/>
        </w:rPr>
        <w:t>Risk of</w:t>
      </w:r>
      <w:r w:rsidRPr="00D1628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16284">
        <w:rPr>
          <w:rFonts w:ascii="Arial" w:hAnsi="Arial" w:cs="Arial"/>
          <w:sz w:val="24"/>
          <w:szCs w:val="24"/>
          <w:lang w:val="en-GB"/>
        </w:rPr>
        <w:t xml:space="preserve">Death or transplantation according to on-treatment ALT normalization in patients with </w:t>
      </w:r>
      <w:r>
        <w:rPr>
          <w:rFonts w:ascii="Arial" w:hAnsi="Arial" w:cs="Arial"/>
          <w:sz w:val="24"/>
          <w:szCs w:val="24"/>
          <w:lang w:val="en-GB"/>
        </w:rPr>
        <w:t>CH</w:t>
      </w:r>
      <w:r w:rsidRPr="00D16284">
        <w:rPr>
          <w:rFonts w:ascii="Arial" w:hAnsi="Arial" w:cs="Arial"/>
          <w:sz w:val="24"/>
          <w:szCs w:val="24"/>
          <w:lang w:val="en-GB"/>
        </w:rPr>
        <w:t>B</w:t>
      </w:r>
      <w:bookmarkEnd w:id="6"/>
      <w:r w:rsidRPr="00D16284">
        <w:rPr>
          <w:rFonts w:ascii="Arial" w:hAnsi="Arial" w:cs="Arial"/>
          <w:b/>
          <w:sz w:val="24"/>
          <w:szCs w:val="24"/>
          <w:lang w:val="en-GB"/>
        </w:rPr>
        <w:br/>
        <w:t>(</w:t>
      </w:r>
      <w:r w:rsidRPr="00D16284">
        <w:rPr>
          <w:rFonts w:ascii="Arial" w:hAnsi="Arial" w:cs="Arial"/>
          <w:sz w:val="24"/>
          <w:szCs w:val="24"/>
          <w:lang w:val="en-GB"/>
        </w:rPr>
        <w:t>A) One-year landmark analysis</w:t>
      </w:r>
      <w:r w:rsidRPr="00D16284">
        <w:rPr>
          <w:rFonts w:ascii="Arial" w:hAnsi="Arial" w:cs="Arial"/>
          <w:sz w:val="24"/>
          <w:szCs w:val="24"/>
          <w:lang w:val="en-GB"/>
        </w:rPr>
        <w:br/>
        <w:t>(B) Two-year landmark analysis</w:t>
      </w:r>
      <w:bookmarkStart w:id="7" w:name="_GoBack"/>
      <w:bookmarkEnd w:id="7"/>
      <w:r w:rsidR="00D16284" w:rsidRPr="00D16284">
        <w:rPr>
          <w:rFonts w:ascii="Arial" w:hAnsi="Arial" w:cs="Arial"/>
          <w:bCs/>
          <w:sz w:val="24"/>
          <w:szCs w:val="24"/>
        </w:rPr>
        <w:br w:type="page"/>
      </w:r>
    </w:p>
    <w:p w14:paraId="787DA2D1" w14:textId="0757EA52" w:rsidR="00336782" w:rsidRPr="00BD40B4" w:rsidRDefault="00336782" w:rsidP="00336782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D40B4">
        <w:rPr>
          <w:rFonts w:ascii="Arial" w:hAnsi="Arial" w:cs="Arial" w:hint="eastAsia"/>
          <w:b/>
          <w:sz w:val="24"/>
          <w:szCs w:val="24"/>
        </w:rPr>
        <w:lastRenderedPageBreak/>
        <w:t>S</w:t>
      </w:r>
      <w:r w:rsidRPr="00BD40B4">
        <w:rPr>
          <w:rFonts w:ascii="Arial" w:hAnsi="Arial" w:cs="Arial"/>
          <w:b/>
          <w:sz w:val="24"/>
          <w:szCs w:val="24"/>
        </w:rPr>
        <w:t>upplementary Table 1.</w:t>
      </w:r>
      <w:r w:rsidRPr="00BD40B4">
        <w:rPr>
          <w:rFonts w:ascii="Arial" w:hAnsi="Arial" w:cs="Arial"/>
          <w:bCs/>
          <w:sz w:val="24"/>
          <w:szCs w:val="24"/>
        </w:rPr>
        <w:t xml:space="preserve"> </w:t>
      </w:r>
      <w:bookmarkStart w:id="8" w:name="_Hlk19121624"/>
      <w:r w:rsidR="007107A5" w:rsidRPr="00BD40B4">
        <w:rPr>
          <w:rFonts w:ascii="Arial" w:hAnsi="Arial" w:cs="Arial"/>
          <w:bCs/>
          <w:sz w:val="24"/>
          <w:szCs w:val="24"/>
        </w:rPr>
        <w:t>Time-dependent Cox regression analysis for the risk of hepatocellular carcinoma according to the timing of ALT normalization in CHB patients with and without cirrhosis</w:t>
      </w:r>
      <w:r w:rsidR="008754CE">
        <w:rPr>
          <w:rFonts w:ascii="Arial" w:hAnsi="Arial" w:cs="Arial"/>
          <w:bCs/>
          <w:sz w:val="24"/>
          <w:szCs w:val="24"/>
        </w:rPr>
        <w:t>.</w:t>
      </w:r>
      <w:bookmarkEnd w:id="8"/>
    </w:p>
    <w:tbl>
      <w:tblPr>
        <w:tblStyle w:val="a6"/>
        <w:tblpPr w:leftFromText="142" w:rightFromText="142" w:vertAnchor="text" w:horzAnchor="margin" w:tblpY="148"/>
        <w:tblW w:w="4978" w:type="pct"/>
        <w:tblLook w:val="04A0" w:firstRow="1" w:lastRow="0" w:firstColumn="1" w:lastColumn="0" w:noHBand="0" w:noVBand="1"/>
      </w:tblPr>
      <w:tblGrid>
        <w:gridCol w:w="1939"/>
        <w:gridCol w:w="1540"/>
        <w:gridCol w:w="1183"/>
        <w:gridCol w:w="1662"/>
        <w:gridCol w:w="1173"/>
        <w:gridCol w:w="1556"/>
        <w:gridCol w:w="973"/>
      </w:tblGrid>
      <w:tr w:rsidR="00336782" w:rsidRPr="00CA3DCE" w14:paraId="3F87B662" w14:textId="77777777" w:rsidTr="007107A5">
        <w:trPr>
          <w:cantSplit/>
          <w:trHeight w:val="737"/>
        </w:trPr>
        <w:tc>
          <w:tcPr>
            <w:tcW w:w="967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DC2251" w14:textId="57142641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Timing of ALT </w:t>
            </w:r>
            <w:r w:rsidR="00B04782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normalization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during treatment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1D309A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Entire population</w:t>
            </w:r>
          </w:p>
          <w:p w14:paraId="68DE601B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(n=4152)</w:t>
            </w:r>
          </w:p>
        </w:tc>
        <w:tc>
          <w:tcPr>
            <w:tcW w:w="1414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19D5AF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1827674E" w14:textId="21167F98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with cirrhosis</w:t>
            </w:r>
          </w:p>
          <w:p w14:paraId="3AB2CED0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(n=1811)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B4D33B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4C187E30" w14:textId="1DA21B01" w:rsidR="00336782" w:rsidRPr="00BD40B4" w:rsidRDefault="007107A5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w</w:t>
            </w:r>
            <w:r w:rsidR="00336782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itho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ut </w:t>
            </w:r>
            <w:r w:rsidR="00336782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cirrhosis</w:t>
            </w:r>
          </w:p>
          <w:p w14:paraId="62ADC5BC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(n=2431)</w:t>
            </w:r>
          </w:p>
        </w:tc>
      </w:tr>
      <w:tr w:rsidR="00336782" w:rsidRPr="00CA3DCE" w14:paraId="156519EA" w14:textId="77777777" w:rsidTr="007107A5">
        <w:trPr>
          <w:cantSplit/>
          <w:trHeight w:val="737"/>
        </w:trPr>
        <w:tc>
          <w:tcPr>
            <w:tcW w:w="967" w:type="pct"/>
            <w:vMerge/>
            <w:tcMar>
              <w:left w:w="57" w:type="dxa"/>
              <w:right w:w="57" w:type="dxa"/>
            </w:tcMar>
            <w:vAlign w:val="center"/>
          </w:tcPr>
          <w:p w14:paraId="546C9575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4AE8AC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AHR* </w:t>
            </w:r>
          </w:p>
          <w:p w14:paraId="170E2BD7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9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5B49825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829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C3D9064" w14:textId="45E42323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="00BF6CFF" w:rsidRPr="00BD40B4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  <w:p w14:paraId="70D93B1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BC0D36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776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153AB35" w14:textId="0AE51024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="00BF6CFF" w:rsidRPr="00BD40B4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  <w:p w14:paraId="41DBDAE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4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68E6A5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</w:tr>
      <w:tr w:rsidR="00336782" w:rsidRPr="00CA3DCE" w14:paraId="1DDCCC33" w14:textId="77777777" w:rsidTr="007107A5">
        <w:trPr>
          <w:cantSplit/>
          <w:trHeight w:val="737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629FF4E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At </w:t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sym w:font="Symbol" w:char="F0A3"/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6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2D834C63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21163F3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6D84053B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7CC9A9FB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5F8B04A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733D9DD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</w:tr>
      <w:tr w:rsidR="00336782" w:rsidRPr="00CA3DCE" w14:paraId="4E63D5C0" w14:textId="77777777" w:rsidTr="007107A5">
        <w:trPr>
          <w:cantSplit/>
          <w:trHeight w:val="737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3A926F8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6‒12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1ECCA3CC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1.40 </w:t>
            </w:r>
          </w:p>
          <w:p w14:paraId="2BB48D39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(1.05–1.87)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489A7B7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0.02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697EF05F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1.44 </w:t>
            </w:r>
          </w:p>
          <w:p w14:paraId="45D8678B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(1.06–1.96)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1A09231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0.004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6B937919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1.11</w:t>
            </w:r>
          </w:p>
          <w:p w14:paraId="1399B530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(0.50-2.46)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0AC8A4B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0.65</w:t>
            </w:r>
          </w:p>
        </w:tc>
      </w:tr>
      <w:tr w:rsidR="00336782" w:rsidRPr="00CA3DCE" w14:paraId="5969DBFE" w14:textId="77777777" w:rsidTr="007107A5">
        <w:trPr>
          <w:cantSplit/>
          <w:trHeight w:val="737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670BF559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12‒24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50D045ED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1.74 </w:t>
            </w:r>
          </w:p>
          <w:p w14:paraId="611772D5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(1.29–2.35)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5B9D382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397F59A0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1.49 </w:t>
            </w:r>
          </w:p>
          <w:p w14:paraId="659E30D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(1.07–2.07)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00C42FD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0.003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16B8055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4.00</w:t>
            </w:r>
          </w:p>
          <w:p w14:paraId="1426E5B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(1.98-8.07)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3347829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</w:tr>
      <w:tr w:rsidR="00336782" w:rsidRPr="00CA3DCE" w14:paraId="0E86283A" w14:textId="77777777" w:rsidTr="007107A5">
        <w:trPr>
          <w:cantSplit/>
          <w:trHeight w:val="737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4D298E81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&gt;24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4E4CCA5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2.45 </w:t>
            </w:r>
          </w:p>
          <w:p w14:paraId="72FA955C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(1.89–3.17)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1240E801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5F113252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2.22 </w:t>
            </w:r>
          </w:p>
          <w:p w14:paraId="31C46A54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(1.68–2.94)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572FD9A1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61BCC96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3.98</w:t>
            </w:r>
          </w:p>
          <w:p w14:paraId="22878568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(2.08-7.64)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4415AC77" w14:textId="77777777" w:rsidR="00336782" w:rsidRPr="00BD40B4" w:rsidRDefault="00336782" w:rsidP="007107A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</w:tr>
      <w:tr w:rsidR="00BF6CFF" w:rsidRPr="00CA3DCE" w14:paraId="4E2B548A" w14:textId="77777777" w:rsidTr="007107A5">
        <w:trPr>
          <w:cantSplit/>
          <w:trHeight w:val="737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14:paraId="18835FEF" w14:textId="77777777" w:rsidR="00BF6CFF" w:rsidRPr="00BD40B4" w:rsidRDefault="00BF6CFF" w:rsidP="007107A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*Adjusted for age, sex, hepatitis B virus DNA levels, albumin levels, platelet counts, cirrhosis, diabetes, and fatty liver at baseline.</w:t>
            </w:r>
          </w:p>
          <w:p w14:paraId="030411CB" w14:textId="77777777" w:rsidR="00BF6CFF" w:rsidRPr="00BD40B4" w:rsidRDefault="00BF6CFF" w:rsidP="007107A5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Adjusted for age, sex, hepatitis B virus DNA levels, albumin levels, platelet counts, diabetes, and fatty liver at baseline.</w:t>
            </w:r>
          </w:p>
        </w:tc>
      </w:tr>
    </w:tbl>
    <w:p w14:paraId="4AF43B3F" w14:textId="29877C42" w:rsidR="00D16284" w:rsidRDefault="00D16284" w:rsidP="00336782">
      <w:pPr>
        <w:pStyle w:val="a3"/>
        <w:widowControl/>
        <w:wordWrap/>
        <w:autoSpaceDE/>
        <w:autoSpaceDN/>
        <w:spacing w:after="0" w:line="360" w:lineRule="auto"/>
        <w:ind w:leftChars="0" w:left="400"/>
        <w:rPr>
          <w:rFonts w:ascii="Arial" w:hAnsi="Arial" w:cs="Arial"/>
          <w:bCs/>
        </w:rPr>
      </w:pPr>
    </w:p>
    <w:p w14:paraId="5FA58101" w14:textId="77777777" w:rsidR="00D16284" w:rsidRPr="00D16284" w:rsidRDefault="00D16284">
      <w:pPr>
        <w:rPr>
          <w:rFonts w:ascii="Arial" w:hAnsi="Arial" w:cs="Arial"/>
          <w:bCs/>
          <w:sz w:val="24"/>
          <w:szCs w:val="24"/>
        </w:rPr>
      </w:pPr>
      <w:r w:rsidRPr="00D16284">
        <w:rPr>
          <w:rFonts w:ascii="Arial" w:hAnsi="Arial" w:cs="Arial"/>
          <w:bCs/>
          <w:sz w:val="24"/>
          <w:szCs w:val="24"/>
        </w:rPr>
        <w:br w:type="page"/>
      </w:r>
    </w:p>
    <w:p w14:paraId="4DB6B356" w14:textId="1DE55736" w:rsidR="00D16284" w:rsidRPr="00BD40B4" w:rsidRDefault="00D16284">
      <w:pPr>
        <w:rPr>
          <w:rFonts w:ascii="Arial" w:hAnsi="Arial" w:cs="Arial"/>
          <w:bCs/>
        </w:rPr>
      </w:pPr>
      <w:r w:rsidRPr="00BD40B4">
        <w:rPr>
          <w:rFonts w:ascii="Arial" w:hAnsi="Arial" w:cs="Arial" w:hint="eastAsia"/>
          <w:b/>
          <w:sz w:val="24"/>
          <w:szCs w:val="24"/>
        </w:rPr>
        <w:lastRenderedPageBreak/>
        <w:t>S</w:t>
      </w:r>
      <w:r w:rsidRPr="00BD40B4">
        <w:rPr>
          <w:rFonts w:ascii="Arial" w:hAnsi="Arial" w:cs="Arial"/>
          <w:b/>
          <w:sz w:val="24"/>
          <w:szCs w:val="24"/>
        </w:rPr>
        <w:t>upplementary Table 2.</w:t>
      </w:r>
      <w:r w:rsidRPr="00BD40B4">
        <w:rPr>
          <w:rFonts w:ascii="Arial" w:hAnsi="Arial" w:cs="Arial"/>
          <w:bCs/>
          <w:sz w:val="24"/>
          <w:szCs w:val="24"/>
        </w:rPr>
        <w:t xml:space="preserve"> </w:t>
      </w:r>
      <w:r w:rsidR="00CA3DCE" w:rsidRPr="00BD40B4">
        <w:rPr>
          <w:rFonts w:ascii="Arial" w:hAnsi="Arial" w:cs="Arial"/>
          <w:bCs/>
          <w:kern w:val="0"/>
          <w:sz w:val="24"/>
          <w:szCs w:val="24"/>
        </w:rPr>
        <w:t>Time-dependent Cox regression analysis for the risk of hepatocellular carcinoma by the timing of ALT normalization according to the type of antiviral drug</w:t>
      </w:r>
      <w:r w:rsidR="008754CE">
        <w:rPr>
          <w:rFonts w:ascii="Arial" w:hAnsi="Arial" w:cs="Arial"/>
          <w:bCs/>
          <w:kern w:val="0"/>
          <w:sz w:val="24"/>
          <w:szCs w:val="24"/>
        </w:rPr>
        <w:t>.</w:t>
      </w:r>
    </w:p>
    <w:tbl>
      <w:tblPr>
        <w:tblStyle w:val="a6"/>
        <w:tblpPr w:leftFromText="142" w:rightFromText="142" w:vertAnchor="text" w:horzAnchor="margin" w:tblpY="148"/>
        <w:tblW w:w="4989" w:type="pct"/>
        <w:tblLook w:val="04A0" w:firstRow="1" w:lastRow="0" w:firstColumn="1" w:lastColumn="0" w:noHBand="0" w:noVBand="1"/>
      </w:tblPr>
      <w:tblGrid>
        <w:gridCol w:w="1941"/>
        <w:gridCol w:w="1543"/>
        <w:gridCol w:w="1186"/>
        <w:gridCol w:w="1666"/>
        <w:gridCol w:w="1176"/>
        <w:gridCol w:w="1559"/>
        <w:gridCol w:w="977"/>
      </w:tblGrid>
      <w:tr w:rsidR="00D16284" w:rsidRPr="005E4651" w14:paraId="426F3D88" w14:textId="77777777" w:rsidTr="009A3419">
        <w:trPr>
          <w:cantSplit/>
          <w:trHeight w:val="841"/>
        </w:trPr>
        <w:tc>
          <w:tcPr>
            <w:tcW w:w="966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0ACF64" w14:textId="6948DA85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bookmarkStart w:id="9" w:name="_Hlk18847731"/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Timing of ALT </w:t>
            </w:r>
            <w:r w:rsidR="00B04782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normalization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during treatment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C337C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Entire population</w:t>
            </w:r>
          </w:p>
          <w:p w14:paraId="6E3F77ED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(n=4152)</w:t>
            </w:r>
          </w:p>
        </w:tc>
        <w:tc>
          <w:tcPr>
            <w:tcW w:w="1414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E8A680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5F484973" w14:textId="2C38EB4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Treated with ETV</w:t>
            </w:r>
          </w:p>
          <w:p w14:paraId="7336AF85" w14:textId="7032DC44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(n=2803)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F86CF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3C7A0080" w14:textId="1EA6DFB5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Treated with TDF</w:t>
            </w:r>
          </w:p>
          <w:p w14:paraId="2F71F921" w14:textId="1EB1DDB9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(n=1</w:t>
            </w:r>
            <w:r w:rsidR="00C810C6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34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9)</w:t>
            </w:r>
          </w:p>
        </w:tc>
      </w:tr>
      <w:tr w:rsidR="00D16284" w:rsidRPr="005E4651" w14:paraId="7CA4B407" w14:textId="77777777" w:rsidTr="009A3419">
        <w:trPr>
          <w:cantSplit/>
          <w:trHeight w:val="528"/>
        </w:trPr>
        <w:tc>
          <w:tcPr>
            <w:tcW w:w="966" w:type="pct"/>
            <w:vMerge/>
            <w:tcMar>
              <w:left w:w="57" w:type="dxa"/>
              <w:right w:w="57" w:type="dxa"/>
            </w:tcMar>
            <w:vAlign w:val="center"/>
          </w:tcPr>
          <w:p w14:paraId="40985C61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01CC424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AHR* </w:t>
            </w:r>
          </w:p>
          <w:p w14:paraId="5A9D56D1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9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18838A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P-Value</w:t>
            </w:r>
          </w:p>
        </w:tc>
        <w:tc>
          <w:tcPr>
            <w:tcW w:w="829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7B2964" w14:textId="383D8C3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="00BF6CFF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*</w:t>
            </w:r>
          </w:p>
          <w:p w14:paraId="03EF9628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960322F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P-Value</w:t>
            </w:r>
          </w:p>
        </w:tc>
        <w:tc>
          <w:tcPr>
            <w:tcW w:w="776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71EAA7" w14:textId="07E0579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="00BF6CFF"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*</w:t>
            </w:r>
          </w:p>
          <w:p w14:paraId="1F43B747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4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3DAD18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P-Value</w:t>
            </w:r>
          </w:p>
        </w:tc>
      </w:tr>
      <w:tr w:rsidR="00D16284" w:rsidRPr="005E4651" w14:paraId="2E520C0C" w14:textId="77777777" w:rsidTr="009A3419">
        <w:trPr>
          <w:cantSplit/>
          <w:trHeight w:val="630"/>
        </w:trPr>
        <w:tc>
          <w:tcPr>
            <w:tcW w:w="966" w:type="pct"/>
            <w:tcMar>
              <w:left w:w="57" w:type="dxa"/>
              <w:right w:w="57" w:type="dxa"/>
            </w:tcMar>
            <w:vAlign w:val="center"/>
          </w:tcPr>
          <w:p w14:paraId="559B7324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At </w:t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sym w:font="Symbol" w:char="F0A3"/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6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479D1CFF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716E3235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2B8917B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455F6FB8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794DAE12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341BECA4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</w:tr>
      <w:tr w:rsidR="00D16284" w:rsidRPr="005E4651" w14:paraId="62FC4C30" w14:textId="77777777" w:rsidTr="009A3419">
        <w:trPr>
          <w:cantSplit/>
          <w:trHeight w:val="630"/>
        </w:trPr>
        <w:tc>
          <w:tcPr>
            <w:tcW w:w="966" w:type="pct"/>
            <w:tcMar>
              <w:left w:w="57" w:type="dxa"/>
              <w:right w:w="57" w:type="dxa"/>
            </w:tcMar>
            <w:vAlign w:val="center"/>
          </w:tcPr>
          <w:p w14:paraId="1CA4F23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6‒12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7EEDEBB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1.40 </w:t>
            </w:r>
          </w:p>
          <w:p w14:paraId="0879D33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(1.05–1.87)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44A86368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0.02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0AFA6DB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1.46</w:t>
            </w:r>
          </w:p>
          <w:p w14:paraId="4450C72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(1.07-1.99)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69F4CE53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0.02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6F9C37F7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0.97</w:t>
            </w:r>
          </w:p>
          <w:p w14:paraId="571BFB8F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(0.43-2.22)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78E8E77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0.95</w:t>
            </w:r>
          </w:p>
        </w:tc>
      </w:tr>
      <w:tr w:rsidR="00D16284" w:rsidRPr="005E4651" w14:paraId="6B7CF217" w14:textId="77777777" w:rsidTr="009A3419">
        <w:trPr>
          <w:cantSplit/>
          <w:trHeight w:val="630"/>
        </w:trPr>
        <w:tc>
          <w:tcPr>
            <w:tcW w:w="966" w:type="pct"/>
            <w:tcMar>
              <w:left w:w="57" w:type="dxa"/>
              <w:right w:w="57" w:type="dxa"/>
            </w:tcMar>
            <w:vAlign w:val="center"/>
          </w:tcPr>
          <w:p w14:paraId="0403A8E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12‒24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1B745D9F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1.74 </w:t>
            </w:r>
          </w:p>
          <w:p w14:paraId="5A386837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(1.29–2.35)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4102DC73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25CFF2C8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1.83</w:t>
            </w:r>
          </w:p>
          <w:p w14:paraId="35A1B5A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(1.32-2.53)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17C39194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44B4AB8A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1.45</w:t>
            </w:r>
          </w:p>
          <w:p w14:paraId="62259FA1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(0.67-3.14)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5869BCCD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0.35</w:t>
            </w:r>
          </w:p>
        </w:tc>
      </w:tr>
      <w:tr w:rsidR="00D16284" w:rsidRPr="005E4651" w14:paraId="7EF759B2" w14:textId="77777777" w:rsidTr="009A3419">
        <w:trPr>
          <w:cantSplit/>
          <w:trHeight w:val="630"/>
        </w:trPr>
        <w:tc>
          <w:tcPr>
            <w:tcW w:w="966" w:type="pct"/>
            <w:tcMar>
              <w:left w:w="57" w:type="dxa"/>
              <w:right w:w="57" w:type="dxa"/>
            </w:tcMar>
            <w:vAlign w:val="center"/>
          </w:tcPr>
          <w:p w14:paraId="33605298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&gt;24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114D5CF9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2.45 </w:t>
            </w:r>
          </w:p>
          <w:p w14:paraId="5FF4886F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(1.89–3.17)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4322EB35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2DA624C6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2.62</w:t>
            </w:r>
          </w:p>
          <w:p w14:paraId="59DD9592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(1.98-6.45)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24BFF37C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72EC8FAB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2.12</w:t>
            </w:r>
          </w:p>
          <w:p w14:paraId="78509917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(1.08-4.17)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470DFEDE" w14:textId="77777777" w:rsidR="00D16284" w:rsidRPr="00BD40B4" w:rsidRDefault="00D16284" w:rsidP="005E46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0.03</w:t>
            </w:r>
          </w:p>
        </w:tc>
      </w:tr>
      <w:tr w:rsidR="00BF6CFF" w:rsidRPr="005E4651" w14:paraId="3F0EA7D7" w14:textId="77777777" w:rsidTr="009A3419">
        <w:trPr>
          <w:cantSplit/>
          <w:trHeight w:val="710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14:paraId="7F9DF7DA" w14:textId="77777777" w:rsidR="00BF6CFF" w:rsidRPr="00BD40B4" w:rsidRDefault="00BF6CFF" w:rsidP="005E465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*Adjusted for age, sex, hepatitis B virus DNA levels, albumin levels, platelet counts, cirrhosis, diabetes, and fatty liver at baseline.</w:t>
            </w:r>
          </w:p>
          <w:p w14:paraId="072C06D4" w14:textId="6B9B6B98" w:rsidR="000F0365" w:rsidRPr="00BD40B4" w:rsidRDefault="000F0365" w:rsidP="005E465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AHR: adjusted hazard ratio, CI: confidence interval, </w:t>
            </w:r>
            <w:r w:rsidRPr="00BD40B4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TV: Entecavir, TDF: Tenofovir disoproxil fumarate</w:t>
            </w:r>
          </w:p>
        </w:tc>
      </w:tr>
      <w:bookmarkEnd w:id="9"/>
    </w:tbl>
    <w:p w14:paraId="6E540D19" w14:textId="77777777" w:rsidR="00336782" w:rsidRPr="00D16284" w:rsidRDefault="00336782" w:rsidP="00336782">
      <w:pPr>
        <w:pStyle w:val="a3"/>
        <w:widowControl/>
        <w:wordWrap/>
        <w:autoSpaceDE/>
        <w:autoSpaceDN/>
        <w:spacing w:after="0" w:line="360" w:lineRule="auto"/>
        <w:ind w:leftChars="0" w:left="400"/>
        <w:rPr>
          <w:rFonts w:ascii="Arial" w:hAnsi="Arial" w:cs="Arial"/>
          <w:bCs/>
        </w:rPr>
      </w:pPr>
    </w:p>
    <w:p w14:paraId="393546C1" w14:textId="77777777" w:rsidR="009A0014" w:rsidRDefault="009A001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46694239" w14:textId="3F7BAB1B" w:rsidR="008C6B4C" w:rsidRPr="00BD40B4" w:rsidRDefault="008C6B4C" w:rsidP="008C6B4C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D40B4">
        <w:rPr>
          <w:rFonts w:ascii="Arial" w:hAnsi="Arial" w:cs="Arial"/>
          <w:b/>
          <w:color w:val="000000"/>
          <w:sz w:val="24"/>
          <w:szCs w:val="24"/>
          <w:lang w:val="en-GB"/>
        </w:rPr>
        <w:lastRenderedPageBreak/>
        <w:t xml:space="preserve">Supplementary Table 3. </w:t>
      </w:r>
      <w:r w:rsidRPr="00BD40B4">
        <w:rPr>
          <w:rFonts w:ascii="Arial" w:hAnsi="Arial" w:cs="Arial"/>
          <w:bCs/>
          <w:color w:val="000000"/>
          <w:sz w:val="24"/>
          <w:szCs w:val="24"/>
          <w:lang w:val="en-GB"/>
        </w:rPr>
        <w:t>Ti</w:t>
      </w:r>
      <w:r w:rsidRPr="00BD40B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me-dependent </w:t>
      </w:r>
      <w:r w:rsidRPr="00BD40B4">
        <w:rPr>
          <w:rFonts w:ascii="Arial" w:hAnsi="Arial" w:cs="Arial"/>
          <w:bCs/>
          <w:color w:val="000000"/>
          <w:sz w:val="24"/>
          <w:szCs w:val="24"/>
          <w:lang w:val="en-GB"/>
        </w:rPr>
        <w:t>Cox regression analysis for the risk of hepatocellular carcinoma according to the timing of ALT normalization based on presence of fatty liver</w:t>
      </w:r>
      <w:r w:rsidR="00FA59D0"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</w:p>
    <w:tbl>
      <w:tblPr>
        <w:tblStyle w:val="a6"/>
        <w:tblpPr w:leftFromText="142" w:rightFromText="142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1947"/>
        <w:gridCol w:w="1547"/>
        <w:gridCol w:w="1188"/>
        <w:gridCol w:w="1670"/>
        <w:gridCol w:w="1178"/>
        <w:gridCol w:w="1563"/>
        <w:gridCol w:w="977"/>
      </w:tblGrid>
      <w:tr w:rsidR="008C6B4C" w:rsidRPr="00897730" w14:paraId="3ACE30AD" w14:textId="77777777" w:rsidTr="00FA59D0">
        <w:trPr>
          <w:cantSplit/>
          <w:trHeight w:val="1122"/>
        </w:trPr>
        <w:tc>
          <w:tcPr>
            <w:tcW w:w="967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1E51E2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Timing of ALT normalization during treatment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38286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Entire population at 2-year landmark analysis</w:t>
            </w:r>
          </w:p>
          <w:p w14:paraId="5A723D4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(n=4152)</w:t>
            </w:r>
          </w:p>
        </w:tc>
        <w:tc>
          <w:tcPr>
            <w:tcW w:w="1413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A58211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477BA5A2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Without fatty liver</w:t>
            </w:r>
          </w:p>
          <w:p w14:paraId="6D8E219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(n=3066)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AAE98F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Patients </w:t>
            </w:r>
          </w:p>
          <w:p w14:paraId="37CECED1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With fatty liver</w:t>
            </w:r>
          </w:p>
          <w:p w14:paraId="13E106CA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(n=1047)</w:t>
            </w:r>
          </w:p>
        </w:tc>
      </w:tr>
      <w:tr w:rsidR="008C6B4C" w:rsidRPr="00897730" w14:paraId="6729CE5F" w14:textId="77777777" w:rsidTr="00FA59D0">
        <w:trPr>
          <w:cantSplit/>
          <w:trHeight w:val="854"/>
        </w:trPr>
        <w:tc>
          <w:tcPr>
            <w:tcW w:w="967" w:type="pct"/>
            <w:vMerge/>
            <w:tcMar>
              <w:left w:w="57" w:type="dxa"/>
              <w:right w:w="57" w:type="dxa"/>
            </w:tcMar>
            <w:vAlign w:val="center"/>
          </w:tcPr>
          <w:p w14:paraId="132E26A8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C8DAB48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AHR* </w:t>
            </w:r>
          </w:p>
          <w:p w14:paraId="11F0E87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9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212C1B8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829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9E9B4B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>‡</w:t>
            </w:r>
          </w:p>
          <w:p w14:paraId="53B851DB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5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290E95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776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F2143AA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AHR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>‡</w:t>
            </w:r>
          </w:p>
          <w:p w14:paraId="3A2DD349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(95% CI)</w:t>
            </w:r>
          </w:p>
        </w:tc>
        <w:tc>
          <w:tcPr>
            <w:tcW w:w="4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B0F5B2F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</w:tr>
      <w:tr w:rsidR="008C6B4C" w:rsidRPr="00897730" w14:paraId="29C6E1E1" w14:textId="77777777" w:rsidTr="00FA59D0">
        <w:trPr>
          <w:cantSplit/>
          <w:trHeight w:val="850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49DF0A79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At </w:t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sym w:font="Symbol" w:char="F0A3"/>
            </w: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6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0CA19662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2E12D99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24321ADF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313DAC8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260FECB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4BF8FB20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</w:p>
        </w:tc>
      </w:tr>
      <w:tr w:rsidR="008C6B4C" w:rsidRPr="00897730" w14:paraId="678909A6" w14:textId="77777777" w:rsidTr="00FA59D0">
        <w:trPr>
          <w:cantSplit/>
          <w:trHeight w:val="850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4DD433C1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6‒12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60D243BC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1.40 </w:t>
            </w:r>
          </w:p>
          <w:p w14:paraId="7D7D6E3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(1.05–1.87)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4FFA3BE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0.02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4DD8D39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1.48 </w:t>
            </w:r>
          </w:p>
          <w:p w14:paraId="12399342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(1.08–2.04)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45D3112F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0.02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4D47197B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1.05</w:t>
            </w:r>
          </w:p>
          <w:p w14:paraId="3BA9629E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(0.54-2.05)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C39268E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0.89</w:t>
            </w:r>
          </w:p>
        </w:tc>
      </w:tr>
      <w:tr w:rsidR="008C6B4C" w:rsidRPr="00897730" w14:paraId="16FDBB28" w14:textId="77777777" w:rsidTr="00FA59D0">
        <w:trPr>
          <w:cantSplit/>
          <w:trHeight w:val="850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0F440D15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12‒24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40B6A80F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1.74 </w:t>
            </w:r>
          </w:p>
          <w:p w14:paraId="3A5A219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(1.29–2.35)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2EC7650A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327BF98A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1.58 </w:t>
            </w:r>
          </w:p>
          <w:p w14:paraId="5920F2DB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(1.11–2.24)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60119F9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0.01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1F242A24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2.03</w:t>
            </w:r>
          </w:p>
          <w:p w14:paraId="4971691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(1.15-3.59)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1ED9722C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0.014</w:t>
            </w:r>
          </w:p>
        </w:tc>
      </w:tr>
      <w:tr w:rsidR="008C6B4C" w:rsidRPr="00897730" w14:paraId="0C2F6318" w14:textId="77777777" w:rsidTr="00FA59D0">
        <w:trPr>
          <w:cantSplit/>
          <w:trHeight w:val="850"/>
        </w:trPr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1F01B7B6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At &gt;24 months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1FF1943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2.45 </w:t>
            </w:r>
          </w:p>
          <w:p w14:paraId="11CFC651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(1.89–3.17)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6AF7DE1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14:paraId="420F7823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 xml:space="preserve">2.58 </w:t>
            </w:r>
          </w:p>
          <w:p w14:paraId="6680ACA8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(1.93–3.45)</w:t>
            </w:r>
          </w:p>
        </w:tc>
        <w:tc>
          <w:tcPr>
            <w:tcW w:w="585" w:type="pct"/>
            <w:tcMar>
              <w:left w:w="57" w:type="dxa"/>
              <w:right w:w="57" w:type="dxa"/>
            </w:tcMar>
            <w:vAlign w:val="center"/>
          </w:tcPr>
          <w:p w14:paraId="716C8FFB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&lt;0.001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6CDC800D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2.21</w:t>
            </w:r>
          </w:p>
          <w:p w14:paraId="622953E7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(1.23-3.98)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684B562" w14:textId="77777777" w:rsidR="008C6B4C" w:rsidRPr="00BD40B4" w:rsidRDefault="008C6B4C" w:rsidP="00FA5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0.008</w:t>
            </w:r>
          </w:p>
        </w:tc>
      </w:tr>
      <w:tr w:rsidR="008C6B4C" w:rsidRPr="00897730" w14:paraId="48B882A0" w14:textId="77777777" w:rsidTr="00FA59D0">
        <w:trPr>
          <w:cantSplit/>
          <w:trHeight w:val="510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14:paraId="10F9582D" w14:textId="77777777" w:rsidR="008C6B4C" w:rsidRPr="00BD40B4" w:rsidRDefault="008C6B4C" w:rsidP="00FA59D0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*Adjusted for age, sex, hepatitis B virus DNA levels, albumin levels, platelet counts, diabetes, and fatty liver at baseline.</w:t>
            </w:r>
          </w:p>
        </w:tc>
      </w:tr>
    </w:tbl>
    <w:p w14:paraId="2F4D1019" w14:textId="77777777" w:rsidR="008C6B4C" w:rsidRDefault="008C6B4C" w:rsidP="009A0014">
      <w:pPr>
        <w:widowControl/>
        <w:wordWrap/>
        <w:autoSpaceDE/>
        <w:autoSpaceDN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E4440FA" w14:textId="77777777" w:rsidR="008C6B4C" w:rsidRPr="00BD40B4" w:rsidRDefault="008C6B4C">
      <w:pPr>
        <w:rPr>
          <w:rFonts w:ascii="Arial" w:hAnsi="Arial" w:cs="Arial"/>
          <w:b/>
          <w:sz w:val="24"/>
          <w:szCs w:val="24"/>
        </w:rPr>
      </w:pPr>
      <w:r w:rsidRPr="00BD40B4">
        <w:rPr>
          <w:rFonts w:ascii="Arial" w:hAnsi="Arial" w:cs="Arial"/>
          <w:b/>
          <w:sz w:val="24"/>
          <w:szCs w:val="24"/>
        </w:rPr>
        <w:br w:type="page"/>
      </w:r>
    </w:p>
    <w:p w14:paraId="4BE81CB9" w14:textId="6D4939E6" w:rsidR="009A0014" w:rsidRPr="00BD40B4" w:rsidRDefault="009A0014" w:rsidP="009A0014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D40B4"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Pr="00BD40B4">
        <w:rPr>
          <w:rFonts w:ascii="Arial" w:hAnsi="Arial" w:cs="Arial" w:hint="eastAsia"/>
          <w:b/>
          <w:sz w:val="24"/>
          <w:szCs w:val="24"/>
        </w:rPr>
        <w:t>T</w:t>
      </w:r>
      <w:r w:rsidRPr="00BD40B4">
        <w:rPr>
          <w:rFonts w:ascii="Arial" w:hAnsi="Arial" w:cs="Arial"/>
          <w:b/>
          <w:sz w:val="24"/>
          <w:szCs w:val="24"/>
        </w:rPr>
        <w:t xml:space="preserve">able </w:t>
      </w:r>
      <w:r w:rsidR="008C6B4C" w:rsidRPr="00BD40B4">
        <w:rPr>
          <w:rFonts w:ascii="Arial" w:hAnsi="Arial" w:cs="Arial"/>
          <w:b/>
          <w:sz w:val="24"/>
          <w:szCs w:val="24"/>
        </w:rPr>
        <w:t>4</w:t>
      </w:r>
      <w:r w:rsidRPr="00BD40B4">
        <w:rPr>
          <w:rFonts w:ascii="Arial" w:hAnsi="Arial" w:cs="Arial"/>
          <w:b/>
          <w:sz w:val="24"/>
          <w:szCs w:val="24"/>
        </w:rPr>
        <w:t>.</w:t>
      </w:r>
      <w:r w:rsidRPr="00BD40B4">
        <w:rPr>
          <w:rFonts w:ascii="Arial" w:hAnsi="Arial" w:cs="Arial"/>
          <w:bCs/>
          <w:sz w:val="24"/>
          <w:szCs w:val="24"/>
        </w:rPr>
        <w:t xml:space="preserve"> Factors associated with early (&lt;6 months) ALT normalization as compared to late (7-24 months) ALT normalization among 3438 patients who achieved ALT normalization at 2-year of treatment</w:t>
      </w:r>
      <w:r w:rsidR="00682D2E">
        <w:rPr>
          <w:rFonts w:ascii="Arial" w:hAnsi="Arial" w:cs="Arial"/>
          <w:bCs/>
          <w:sz w:val="24"/>
          <w:szCs w:val="24"/>
        </w:rPr>
        <w:t>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40"/>
        <w:gridCol w:w="1020"/>
        <w:gridCol w:w="1895"/>
        <w:gridCol w:w="1046"/>
      </w:tblGrid>
      <w:tr w:rsidR="009A0014" w:rsidRPr="00A91D0A" w14:paraId="57891883" w14:textId="77777777" w:rsidTr="006A1D67">
        <w:trPr>
          <w:trHeight w:val="479"/>
        </w:trPr>
        <w:tc>
          <w:tcPr>
            <w:tcW w:w="2023" w:type="pct"/>
            <w:vMerge w:val="restar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2A2D168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Variables</w:t>
            </w:r>
          </w:p>
        </w:tc>
        <w:tc>
          <w:tcPr>
            <w:tcW w:w="1518" w:type="pct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B484158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Univariate analysis</w:t>
            </w:r>
          </w:p>
        </w:tc>
        <w:tc>
          <w:tcPr>
            <w:tcW w:w="1459" w:type="pct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FFC08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Multivariable analysis</w:t>
            </w:r>
          </w:p>
        </w:tc>
      </w:tr>
      <w:tr w:rsidR="009A0014" w:rsidRPr="00A91D0A" w14:paraId="7D49B0EA" w14:textId="77777777" w:rsidTr="006A1D67">
        <w:trPr>
          <w:trHeight w:val="454"/>
        </w:trPr>
        <w:tc>
          <w:tcPr>
            <w:tcW w:w="2023" w:type="pct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7E38F9" w14:textId="77777777" w:rsidR="009A0014" w:rsidRPr="00BD40B4" w:rsidRDefault="009A0014" w:rsidP="006A1D6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25C8B1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HR (95% CI)</w:t>
            </w:r>
          </w:p>
        </w:tc>
        <w:tc>
          <w:tcPr>
            <w:tcW w:w="506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34FC02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940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58B5BC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AHR (95% CI)</w:t>
            </w:r>
          </w:p>
        </w:tc>
        <w:tc>
          <w:tcPr>
            <w:tcW w:w="519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E4BCECF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</w:tr>
      <w:tr w:rsidR="009A0014" w:rsidRPr="00A91D0A" w14:paraId="667B6518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0F14F96C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Age, years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32B153D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0.99 (0.99-1.00)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57E93983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0.06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950467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07ABD79D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9A0014" w:rsidRPr="00A91D0A" w14:paraId="3546D20A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26E2395D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Sex, male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4FBF70FD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1.12 (0.97-1.30)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7E5E6955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0.12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06FBD067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1.16 (1.00-1.35)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0576AFE7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0.044</w:t>
            </w:r>
          </w:p>
        </w:tc>
      </w:tr>
      <w:tr w:rsidR="009A0014" w:rsidRPr="00A91D0A" w14:paraId="52EE8044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78F4880C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Cirrhosis, present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581419F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0.82 (0.71-0.94)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1634D7E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0.006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044B4AC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0.87 (0.73-1.03)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77F8A6E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0.10</w:t>
            </w:r>
          </w:p>
        </w:tc>
      </w:tr>
      <w:tr w:rsidR="009A0014" w:rsidRPr="00A91D0A" w14:paraId="741D1CB7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22BB9688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 xml:space="preserve">HBV DNA, 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lang w:val="en-GB"/>
              </w:rPr>
              <w:t>per 1 log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vertAlign w:val="subscript"/>
                <w:lang w:val="en-GB"/>
              </w:rPr>
              <w:t>10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lang w:val="en-GB"/>
              </w:rPr>
              <w:t xml:space="preserve"> IU/mL increase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118AB37B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0.95 (0.91-0.99)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11142185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0.02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4C56A8C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0.94 (0.89-0.98)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3394F238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0.006</w:t>
            </w:r>
          </w:p>
        </w:tc>
      </w:tr>
      <w:tr w:rsidR="009A0014" w:rsidRPr="00A91D0A" w14:paraId="7EF72492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1BE39889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HBeAg positivity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055F8395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0.89 (0.77-1.02)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3C47AD5E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0.10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4D2B88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0.88 (0.76-1.03)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42FD0009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0.12</w:t>
            </w:r>
          </w:p>
        </w:tc>
      </w:tr>
      <w:tr w:rsidR="009A0014" w:rsidRPr="00A91D0A" w14:paraId="03502805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6A42E3EE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Albumin, g/dL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232F1B1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1.00 (0.88-1.13)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612E53CF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0.99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495216F9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0.86 (0.75-0.99)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6D482213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0.33</w:t>
            </w:r>
          </w:p>
        </w:tc>
      </w:tr>
      <w:tr w:rsidR="009A0014" w:rsidRPr="00A91D0A" w14:paraId="4E23300C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351BF7B2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Total bilirubin, mg/dL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0CFA442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1.03 (0.99-1.06)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7814760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0.12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44002AA1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5703EB9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9A0014" w:rsidRPr="00A91D0A" w14:paraId="7EBE6993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36F72B54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Prothrombin time, INR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43460FBB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0.90 (0.64-1.26)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71D64715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0.54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4471DBC7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F09318A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9A0014" w:rsidRPr="00A91D0A" w14:paraId="00BBE669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69E52290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 xml:space="preserve">Platelets, </w:t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sym w:font="Symbol" w:char="F0B4"/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1000/mm</w:t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166BD963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0.99 (0.99-1.00)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427F7418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E95A159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3D5BAB00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9A0014" w:rsidRPr="00A91D0A" w14:paraId="46BB4E45" w14:textId="77777777" w:rsidTr="006A1D67">
        <w:trPr>
          <w:trHeight w:val="454"/>
        </w:trPr>
        <w:tc>
          <w:tcPr>
            <w:tcW w:w="2023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830197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Diabetes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0E795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1.00 (0.74-1.36)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1096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0.99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71CEAB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12365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9A0014" w:rsidRPr="00A91D0A" w14:paraId="252CA2E3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1AB67C6B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Fatty liver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65CFD60F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0.91 (0.79-1.06)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7153D856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0.24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389F41BF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0.84 (0.72-0.98)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0AA027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0.03</w:t>
            </w:r>
          </w:p>
        </w:tc>
      </w:tr>
      <w:tr w:rsidR="009A0014" w:rsidRPr="00A91D0A" w14:paraId="61DBFC5A" w14:textId="77777777" w:rsidTr="006A1D67">
        <w:trPr>
          <w:trHeight w:val="454"/>
        </w:trPr>
        <w:tc>
          <w:tcPr>
            <w:tcW w:w="2023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19F47" w14:textId="77777777" w:rsidR="009A0014" w:rsidRPr="00BD40B4" w:rsidRDefault="009A0014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Treatment with TDF</w:t>
            </w:r>
          </w:p>
        </w:tc>
        <w:tc>
          <w:tcPr>
            <w:tcW w:w="1012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F84533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1.15 (0.99-1.33)</w:t>
            </w:r>
          </w:p>
        </w:tc>
        <w:tc>
          <w:tcPr>
            <w:tcW w:w="506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3B0A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0.06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1C217A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1.26 (1.08-1.47)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3D0B02" w14:textId="77777777" w:rsidR="009A0014" w:rsidRPr="00BD40B4" w:rsidRDefault="009A0014" w:rsidP="006A1D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0.003</w:t>
            </w:r>
          </w:p>
        </w:tc>
      </w:tr>
    </w:tbl>
    <w:p w14:paraId="4737E3E9" w14:textId="77777777" w:rsidR="00A45541" w:rsidRDefault="00A45541" w:rsidP="00CA36BF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D183513" w14:textId="77777777" w:rsidR="00A45541" w:rsidRDefault="00A45541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44B8DEB0" w14:textId="5013A2F4" w:rsidR="00A45541" w:rsidRPr="00BD40B4" w:rsidRDefault="00A45541" w:rsidP="00A45541">
      <w:pPr>
        <w:widowControl/>
        <w:wordWrap/>
        <w:autoSpaceDE/>
        <w:autoSpaceDN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D40B4"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Pr="00BD40B4">
        <w:rPr>
          <w:rFonts w:ascii="Arial" w:hAnsi="Arial" w:cs="Arial" w:hint="eastAsia"/>
          <w:b/>
          <w:sz w:val="24"/>
          <w:szCs w:val="24"/>
        </w:rPr>
        <w:t>T</w:t>
      </w:r>
      <w:r w:rsidRPr="00BD40B4">
        <w:rPr>
          <w:rFonts w:ascii="Arial" w:hAnsi="Arial" w:cs="Arial"/>
          <w:b/>
          <w:sz w:val="24"/>
          <w:szCs w:val="24"/>
        </w:rPr>
        <w:t xml:space="preserve">able </w:t>
      </w:r>
      <w:r w:rsidR="008C6B4C" w:rsidRPr="00BD40B4">
        <w:rPr>
          <w:rFonts w:ascii="Arial" w:hAnsi="Arial" w:cs="Arial"/>
          <w:b/>
          <w:sz w:val="24"/>
          <w:szCs w:val="24"/>
        </w:rPr>
        <w:t>5</w:t>
      </w:r>
      <w:r w:rsidRPr="00BD40B4">
        <w:rPr>
          <w:rFonts w:ascii="Arial" w:hAnsi="Arial" w:cs="Arial"/>
          <w:b/>
          <w:sz w:val="24"/>
          <w:szCs w:val="24"/>
        </w:rPr>
        <w:t>.</w:t>
      </w:r>
      <w:r w:rsidRPr="00BD40B4">
        <w:rPr>
          <w:rFonts w:ascii="Arial" w:hAnsi="Arial" w:cs="Arial"/>
          <w:bCs/>
          <w:sz w:val="24"/>
          <w:szCs w:val="24"/>
        </w:rPr>
        <w:t xml:space="preserve"> Factors associated with no ALT normalization as reference to ALT normalization among 3054 patients who achieved VR at 2-year of treatment</w:t>
      </w:r>
      <w:r w:rsidR="00682D2E">
        <w:rPr>
          <w:rFonts w:ascii="Arial" w:hAnsi="Arial" w:cs="Arial"/>
          <w:bCs/>
          <w:sz w:val="24"/>
          <w:szCs w:val="24"/>
        </w:rPr>
        <w:t>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40"/>
        <w:gridCol w:w="1020"/>
        <w:gridCol w:w="1895"/>
        <w:gridCol w:w="1046"/>
      </w:tblGrid>
      <w:tr w:rsidR="00A45541" w:rsidRPr="00897730" w14:paraId="05986F22" w14:textId="77777777" w:rsidTr="006A1D67">
        <w:trPr>
          <w:trHeight w:val="479"/>
        </w:trPr>
        <w:tc>
          <w:tcPr>
            <w:tcW w:w="2023" w:type="pct"/>
            <w:vMerge w:val="restar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43D60A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Variables</w:t>
            </w:r>
          </w:p>
        </w:tc>
        <w:tc>
          <w:tcPr>
            <w:tcW w:w="1518" w:type="pct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76F7C7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Univariate analysis</w:t>
            </w:r>
          </w:p>
        </w:tc>
        <w:tc>
          <w:tcPr>
            <w:tcW w:w="1459" w:type="pct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B0C6556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Multivariable analysis</w:t>
            </w:r>
          </w:p>
        </w:tc>
      </w:tr>
      <w:tr w:rsidR="00A45541" w:rsidRPr="00897730" w14:paraId="39353A55" w14:textId="77777777" w:rsidTr="006A1D67">
        <w:trPr>
          <w:trHeight w:val="454"/>
        </w:trPr>
        <w:tc>
          <w:tcPr>
            <w:tcW w:w="2023" w:type="pct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3EC2B7E" w14:textId="77777777" w:rsidR="00A45541" w:rsidRPr="00BD40B4" w:rsidRDefault="00A45541" w:rsidP="006A1D6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4D46D5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HR (95% CI)</w:t>
            </w:r>
          </w:p>
        </w:tc>
        <w:tc>
          <w:tcPr>
            <w:tcW w:w="506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DA32CD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  <w:tc>
          <w:tcPr>
            <w:tcW w:w="940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FC6803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AHR (95% CI)</w:t>
            </w:r>
          </w:p>
        </w:tc>
        <w:tc>
          <w:tcPr>
            <w:tcW w:w="519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2EF337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GB"/>
              </w:rPr>
              <w:t>P</w:t>
            </w:r>
            <w:r w:rsidRPr="00BD40B4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-Value</w:t>
            </w:r>
          </w:p>
        </w:tc>
      </w:tr>
      <w:tr w:rsidR="00A45541" w:rsidRPr="00897730" w14:paraId="15B45F89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4A0B8EF1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Age, years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38779901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1.03 (1.02-1.04)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5F3592F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5538172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1.01 (1.00-1.02)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0F99ADFC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0.03</w:t>
            </w:r>
          </w:p>
        </w:tc>
      </w:tr>
      <w:tr w:rsidR="00A45541" w:rsidRPr="00897730" w14:paraId="1A9F82B3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43C1CD15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Sex, male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7CE56EF3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0.59 (0.47-0.72)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08DE55B2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548A330D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0.58 (0.46-0.72)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4D56C10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</w:tr>
      <w:tr w:rsidR="00A45541" w:rsidRPr="00897730" w14:paraId="4ED2142A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7465BB2E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Cirrhosis, present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7DCACFB7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1.98 (1.60-2.44)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688F90FF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66BA67AB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1.74 (1.35-2.25)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1827ED9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</w:tr>
      <w:tr w:rsidR="00A45541" w:rsidRPr="00897730" w14:paraId="4134DDF2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6C5C8172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 xml:space="preserve">HBV DNA, 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lang w:val="en-GB"/>
              </w:rPr>
              <w:t>per 1 log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vertAlign w:val="subscript"/>
                <w:lang w:val="en-GB"/>
              </w:rPr>
              <w:t>10</w:t>
            </w:r>
            <w:r w:rsidRPr="00BD40B4">
              <w:rPr>
                <w:rFonts w:ascii="Arial" w:eastAsia="Times New Roman" w:hAnsi="Arial" w:cs="Arial"/>
                <w:bCs/>
                <w:i/>
                <w:iCs/>
                <w:color w:val="000000"/>
                <w:szCs w:val="20"/>
                <w:lang w:val="en-GB"/>
              </w:rPr>
              <w:t xml:space="preserve"> IU/mL increase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33DEEBB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0.79 (0.73-0.84)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0A05F50C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19682DC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0.80 (0.74-0.86)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2626FFED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</w:tr>
      <w:tr w:rsidR="00A45541" w:rsidRPr="00897730" w14:paraId="5098978D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24336542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color w:val="000000"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color w:val="000000"/>
                <w:szCs w:val="20"/>
                <w:lang w:val="en-GB"/>
              </w:rPr>
              <w:t>HBeAg positivity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62C04E5F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0.77 (0.62-0.94)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068B719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2E91C151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1.04 (0.83-1.30)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28B205E3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0.73</w:t>
            </w:r>
          </w:p>
        </w:tc>
      </w:tr>
      <w:tr w:rsidR="00A45541" w:rsidRPr="00897730" w14:paraId="6BFF95E6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08FADE02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Albumin, g/dL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1B23A7C7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1.10 (0.90-1.33)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41E847D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0.35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07191F6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1.24 (0.97-1.59)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69D6AEDF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0.09</w:t>
            </w:r>
          </w:p>
        </w:tc>
      </w:tr>
      <w:tr w:rsidR="00A45541" w:rsidRPr="00897730" w14:paraId="6DBCF6A9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4726802E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Total bilirubin, mg/dL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2B1046A5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0.89 (0.81-0.97)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2A72EAEE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0.009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15AB6EC6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0.84 (0.75-0.94)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6CC57240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0.03</w:t>
            </w:r>
          </w:p>
        </w:tc>
      </w:tr>
      <w:tr w:rsidR="00A45541" w:rsidRPr="00897730" w14:paraId="3915709C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054FA384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Prothrombin time, INR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5B40A4A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1.10 (0.67-1.81)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59F90F6D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0.70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42D1BF5C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03A70272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A45541" w:rsidRPr="00897730" w14:paraId="19F2EAD4" w14:textId="77777777" w:rsidTr="006A1D67">
        <w:trPr>
          <w:trHeight w:val="479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068DD60F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 xml:space="preserve">Platelets, </w:t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sym w:font="Symbol" w:char="F0B4"/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lang w:val="en-GB"/>
              </w:rPr>
              <w:t>1000/mm</w:t>
            </w:r>
            <w:r w:rsidRPr="00BD40B4">
              <w:rPr>
                <w:rFonts w:ascii="Arial" w:eastAsia="Times New Roman" w:hAnsi="Arial" w:cs="Arial"/>
                <w:bCs/>
                <w:color w:val="00000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0A59B892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0.99 (0.99-1.00)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2F0A789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&lt;0.001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3FC0A0CE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5BE5CCE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A45541" w:rsidRPr="00897730" w14:paraId="548B49AB" w14:textId="77777777" w:rsidTr="006A1D67">
        <w:trPr>
          <w:trHeight w:val="454"/>
        </w:trPr>
        <w:tc>
          <w:tcPr>
            <w:tcW w:w="2023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774E0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Diabetes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BB6F25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1.39 (0.92-2.11)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A3BA01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0.12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2390DB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1.37 (0.88-2.11)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8E8E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0.16</w:t>
            </w:r>
          </w:p>
        </w:tc>
      </w:tr>
      <w:tr w:rsidR="00A45541" w:rsidRPr="00897730" w14:paraId="7C9DD5F8" w14:textId="77777777" w:rsidTr="006A1D67">
        <w:trPr>
          <w:trHeight w:val="454"/>
        </w:trPr>
        <w:tc>
          <w:tcPr>
            <w:tcW w:w="2023" w:type="pct"/>
            <w:tcMar>
              <w:left w:w="108" w:type="dxa"/>
              <w:right w:w="108" w:type="dxa"/>
            </w:tcMar>
            <w:vAlign w:val="center"/>
          </w:tcPr>
          <w:p w14:paraId="7E9612F6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Fatty liver</w:t>
            </w:r>
          </w:p>
        </w:tc>
        <w:tc>
          <w:tcPr>
            <w:tcW w:w="1012" w:type="pct"/>
            <w:tcMar>
              <w:left w:w="108" w:type="dxa"/>
              <w:right w:w="108" w:type="dxa"/>
            </w:tcMar>
            <w:vAlign w:val="center"/>
          </w:tcPr>
          <w:p w14:paraId="5E627282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1.08 (0.85-1.37)</w:t>
            </w:r>
          </w:p>
        </w:tc>
        <w:tc>
          <w:tcPr>
            <w:tcW w:w="506" w:type="pct"/>
            <w:tcMar>
              <w:left w:w="108" w:type="dxa"/>
              <w:right w:w="108" w:type="dxa"/>
            </w:tcMar>
            <w:vAlign w:val="center"/>
          </w:tcPr>
          <w:p w14:paraId="01CFCAE9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0.53</w:t>
            </w:r>
          </w:p>
        </w:tc>
        <w:tc>
          <w:tcPr>
            <w:tcW w:w="940" w:type="pct"/>
            <w:tcMar>
              <w:left w:w="108" w:type="dxa"/>
              <w:right w:w="108" w:type="dxa"/>
            </w:tcMar>
            <w:vAlign w:val="center"/>
          </w:tcPr>
          <w:p w14:paraId="1BA7EC6B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1.39 (1.09-1.78)</w:t>
            </w:r>
          </w:p>
        </w:tc>
        <w:tc>
          <w:tcPr>
            <w:tcW w:w="519" w:type="pct"/>
            <w:tcMar>
              <w:left w:w="108" w:type="dxa"/>
              <w:right w:w="108" w:type="dxa"/>
            </w:tcMar>
            <w:vAlign w:val="center"/>
          </w:tcPr>
          <w:p w14:paraId="142578F4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0.009</w:t>
            </w:r>
          </w:p>
        </w:tc>
      </w:tr>
      <w:tr w:rsidR="00A45541" w:rsidRPr="00897730" w14:paraId="71065A82" w14:textId="77777777" w:rsidTr="006A1D67">
        <w:trPr>
          <w:trHeight w:val="454"/>
        </w:trPr>
        <w:tc>
          <w:tcPr>
            <w:tcW w:w="2023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26872D" w14:textId="77777777" w:rsidR="00A45541" w:rsidRPr="00BD40B4" w:rsidRDefault="00A45541" w:rsidP="006A1D67">
            <w:pPr>
              <w:spacing w:line="276" w:lineRule="auto"/>
              <w:ind w:leftChars="86" w:left="172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Treatment with ETV</w:t>
            </w:r>
          </w:p>
        </w:tc>
        <w:tc>
          <w:tcPr>
            <w:tcW w:w="1012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C9B65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1.25 (1.01-1.54)</w:t>
            </w:r>
          </w:p>
        </w:tc>
        <w:tc>
          <w:tcPr>
            <w:tcW w:w="506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2478F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0.04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0018EF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1.22 (0.97-1.56)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C95673" w14:textId="77777777" w:rsidR="00A45541" w:rsidRPr="00BD40B4" w:rsidRDefault="00A45541" w:rsidP="006A1D67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BD40B4">
              <w:rPr>
                <w:rFonts w:ascii="Arial" w:hAnsi="Arial" w:cs="Arial"/>
                <w:bCs/>
                <w:szCs w:val="20"/>
                <w:lang w:val="en-GB"/>
              </w:rPr>
              <w:t>0.08</w:t>
            </w:r>
          </w:p>
        </w:tc>
      </w:tr>
    </w:tbl>
    <w:p w14:paraId="4F0D971C" w14:textId="3DD4ECB3" w:rsidR="002E7A3B" w:rsidRDefault="002E7A3B" w:rsidP="00CA36BF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A36BF"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38A8A6CA" w14:textId="3830D630" w:rsidR="00170EBB" w:rsidRPr="002C174B" w:rsidRDefault="00614F1C">
      <w:pPr>
        <w:rPr>
          <w:rFonts w:ascii="Arial" w:hAnsi="Arial" w:cs="Arial"/>
          <w:sz w:val="24"/>
          <w:szCs w:val="20"/>
          <w:lang w:val="en-GB"/>
        </w:rPr>
      </w:pPr>
      <w:r w:rsidRPr="002C174B">
        <w:rPr>
          <w:rFonts w:ascii="Arial" w:hAnsi="Arial" w:cs="Arial"/>
          <w:b/>
          <w:sz w:val="24"/>
          <w:szCs w:val="20"/>
          <w:lang w:val="en-GB"/>
        </w:rPr>
        <w:lastRenderedPageBreak/>
        <w:t xml:space="preserve">Supplementary Figure </w:t>
      </w:r>
      <w:r w:rsidR="00772A43" w:rsidRPr="002C174B">
        <w:rPr>
          <w:rFonts w:ascii="Arial" w:hAnsi="Arial" w:cs="Arial"/>
          <w:b/>
          <w:sz w:val="24"/>
          <w:szCs w:val="20"/>
          <w:lang w:val="en-GB"/>
        </w:rPr>
        <w:t>1</w:t>
      </w:r>
      <w:r w:rsidRPr="002C174B">
        <w:rPr>
          <w:rFonts w:ascii="Arial" w:hAnsi="Arial" w:cs="Arial"/>
          <w:b/>
          <w:sz w:val="24"/>
          <w:szCs w:val="20"/>
          <w:lang w:val="en-GB"/>
        </w:rPr>
        <w:t xml:space="preserve">. </w:t>
      </w:r>
      <w:r w:rsidR="00B17929" w:rsidRPr="002C174B">
        <w:rPr>
          <w:rFonts w:ascii="Arial" w:hAnsi="Arial" w:cs="Arial"/>
          <w:sz w:val="24"/>
          <w:szCs w:val="20"/>
          <w:lang w:val="en-GB"/>
        </w:rPr>
        <w:t>Cumulative rates of achievement of surrogate markers during treatment with entecavir or tenofovir disoproxil fumarate in patients with chronic hepatitis B</w:t>
      </w:r>
      <w:r w:rsidR="008754CE">
        <w:rPr>
          <w:rFonts w:ascii="Arial" w:hAnsi="Arial" w:cs="Arial"/>
          <w:sz w:val="24"/>
          <w:szCs w:val="20"/>
          <w:lang w:val="en-GB"/>
        </w:rPr>
        <w:t>.</w:t>
      </w:r>
    </w:p>
    <w:bookmarkEnd w:id="1"/>
    <w:p w14:paraId="484FE10A" w14:textId="0F3E9AFC" w:rsidR="001F2255" w:rsidRDefault="001F2255">
      <w:pPr>
        <w:rPr>
          <w:rFonts w:ascii="Arial" w:hAnsi="Arial" w:cs="Arial"/>
          <w:szCs w:val="20"/>
          <w:lang w:val="en-GB"/>
        </w:rPr>
      </w:pPr>
    </w:p>
    <w:p w14:paraId="1E6F8772" w14:textId="5F4262D2" w:rsidR="00CA36BF" w:rsidRPr="002C174B" w:rsidRDefault="00CA36BF" w:rsidP="00CA36BF">
      <w:pPr>
        <w:rPr>
          <w:rFonts w:ascii="Arial" w:hAnsi="Arial" w:cs="Arial"/>
          <w:b/>
          <w:sz w:val="24"/>
          <w:szCs w:val="20"/>
          <w:lang w:val="en-GB"/>
        </w:rPr>
      </w:pPr>
      <w:r w:rsidRPr="002C174B">
        <w:rPr>
          <w:rFonts w:ascii="Arial" w:hAnsi="Arial" w:cs="Arial"/>
          <w:b/>
          <w:sz w:val="24"/>
          <w:szCs w:val="20"/>
          <w:lang w:val="en-GB"/>
        </w:rPr>
        <w:t xml:space="preserve">A. ALT </w:t>
      </w:r>
      <w:r w:rsidR="00B04782">
        <w:rPr>
          <w:rFonts w:ascii="Arial" w:hAnsi="Arial" w:cs="Arial"/>
          <w:b/>
          <w:sz w:val="24"/>
          <w:szCs w:val="20"/>
          <w:lang w:val="en-GB"/>
        </w:rPr>
        <w:t>normalization</w:t>
      </w:r>
    </w:p>
    <w:p w14:paraId="37ABD3E4" w14:textId="4D6AC2FB" w:rsidR="00CA36BF" w:rsidRPr="00CA36BF" w:rsidRDefault="009E60AC" w:rsidP="009E60AC">
      <w:pPr>
        <w:jc w:val="center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noProof/>
          <w:szCs w:val="20"/>
          <w:lang w:val="en-GB"/>
        </w:rPr>
        <w:drawing>
          <wp:inline distT="0" distB="0" distL="0" distR="0" wp14:anchorId="6DCCBB91" wp14:editId="69B1D6EB">
            <wp:extent cx="6120000" cy="3632400"/>
            <wp:effectExtent l="0" t="0" r="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CA380" w14:textId="77777777" w:rsidR="00CA36BF" w:rsidRPr="00CA36BF" w:rsidRDefault="00CA36BF" w:rsidP="00CA36BF">
      <w:pPr>
        <w:rPr>
          <w:rFonts w:ascii="Arial" w:hAnsi="Arial" w:cs="Arial"/>
          <w:szCs w:val="20"/>
          <w:lang w:val="en-GB"/>
        </w:rPr>
      </w:pPr>
    </w:p>
    <w:p w14:paraId="72493EE3" w14:textId="77777777" w:rsidR="00CA36BF" w:rsidRPr="00CA36BF" w:rsidRDefault="00CA36BF" w:rsidP="00CA36BF">
      <w:pPr>
        <w:rPr>
          <w:rFonts w:ascii="Arial" w:hAnsi="Arial" w:cs="Arial"/>
          <w:szCs w:val="20"/>
          <w:lang w:val="en-GB"/>
        </w:rPr>
      </w:pPr>
      <w:r w:rsidRPr="00CA36BF">
        <w:rPr>
          <w:rFonts w:ascii="Arial" w:hAnsi="Arial" w:cs="Arial"/>
          <w:szCs w:val="20"/>
          <w:lang w:val="en-GB"/>
        </w:rPr>
        <w:t>ALT, alanine aminotransferase; HBeAg, hepatitis B e antigen</w:t>
      </w:r>
    </w:p>
    <w:p w14:paraId="7EFE7F0D" w14:textId="77777777" w:rsidR="00CA36BF" w:rsidRPr="00CA36BF" w:rsidRDefault="00CA36BF" w:rsidP="00CA36BF">
      <w:pPr>
        <w:rPr>
          <w:rFonts w:ascii="Arial" w:hAnsi="Arial" w:cs="Arial"/>
          <w:szCs w:val="20"/>
          <w:lang w:val="en-GB"/>
        </w:rPr>
      </w:pPr>
      <w:r w:rsidRPr="00CA36BF">
        <w:rPr>
          <w:rFonts w:ascii="Arial" w:hAnsi="Arial" w:cs="Arial"/>
          <w:szCs w:val="20"/>
          <w:lang w:val="en-GB"/>
        </w:rPr>
        <w:br w:type="page"/>
      </w:r>
    </w:p>
    <w:p w14:paraId="0EA7BB75" w14:textId="77777777" w:rsidR="00C27F29" w:rsidRDefault="00C27F29">
      <w:pPr>
        <w:rPr>
          <w:rFonts w:ascii="Arial" w:hAnsi="Arial" w:cs="Arial"/>
          <w:b/>
          <w:szCs w:val="20"/>
          <w:lang w:val="en-GB"/>
        </w:rPr>
      </w:pPr>
    </w:p>
    <w:p w14:paraId="53CF2F8D" w14:textId="6F36604F" w:rsidR="00CA36BF" w:rsidRPr="002C174B" w:rsidRDefault="00CA36BF" w:rsidP="00CA36BF">
      <w:pPr>
        <w:rPr>
          <w:rFonts w:ascii="Arial" w:hAnsi="Arial" w:cs="Arial"/>
          <w:b/>
          <w:sz w:val="24"/>
          <w:szCs w:val="20"/>
          <w:lang w:val="en-GB"/>
        </w:rPr>
      </w:pPr>
      <w:r w:rsidRPr="002C174B">
        <w:rPr>
          <w:rFonts w:ascii="Arial" w:hAnsi="Arial" w:cs="Arial"/>
          <w:b/>
          <w:sz w:val="24"/>
          <w:szCs w:val="20"/>
          <w:lang w:val="en-GB"/>
        </w:rPr>
        <w:t>B.</w:t>
      </w:r>
      <w:r w:rsidRPr="002C174B">
        <w:rPr>
          <w:rFonts w:ascii="Arial" w:hAnsi="Arial" w:cs="Arial"/>
          <w:b/>
          <w:noProof/>
          <w:sz w:val="24"/>
          <w:szCs w:val="20"/>
          <w:lang w:val="en-GB"/>
        </w:rPr>
        <w:t xml:space="preserve"> </w:t>
      </w:r>
      <w:r w:rsidRPr="002C174B">
        <w:rPr>
          <w:rFonts w:ascii="Arial" w:hAnsi="Arial" w:cs="Arial"/>
          <w:b/>
          <w:sz w:val="24"/>
          <w:szCs w:val="20"/>
          <w:lang w:val="en-GB"/>
        </w:rPr>
        <w:t>Virological response</w:t>
      </w:r>
    </w:p>
    <w:p w14:paraId="4E6008F7" w14:textId="23D489DB" w:rsidR="00CA36BF" w:rsidRPr="00CA36BF" w:rsidRDefault="00CA36BF" w:rsidP="00CA36BF">
      <w:pPr>
        <w:rPr>
          <w:rFonts w:ascii="Arial" w:hAnsi="Arial" w:cs="Arial"/>
          <w:noProof/>
          <w:szCs w:val="20"/>
          <w:lang w:val="en-GB"/>
        </w:rPr>
      </w:pPr>
    </w:p>
    <w:p w14:paraId="35C798EA" w14:textId="2B4D9649" w:rsidR="00CA36BF" w:rsidRDefault="009E60AC" w:rsidP="009E60AC">
      <w:pPr>
        <w:jc w:val="center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noProof/>
          <w:szCs w:val="20"/>
          <w:lang w:val="en-GB"/>
        </w:rPr>
        <w:drawing>
          <wp:inline distT="0" distB="0" distL="0" distR="0" wp14:anchorId="14A3C342" wp14:editId="5A8B3C25">
            <wp:extent cx="6120000" cy="3636000"/>
            <wp:effectExtent l="0" t="0" r="0" b="317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D2110" w14:textId="45661689" w:rsidR="00CA36BF" w:rsidRDefault="00CA36BF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br w:type="page"/>
      </w:r>
    </w:p>
    <w:p w14:paraId="787B502C" w14:textId="77777777" w:rsidR="00CA36BF" w:rsidRPr="009E60AC" w:rsidRDefault="00CA36BF" w:rsidP="00CA36BF">
      <w:pPr>
        <w:rPr>
          <w:rFonts w:ascii="Arial" w:hAnsi="Arial" w:cs="Arial"/>
          <w:sz w:val="24"/>
          <w:szCs w:val="20"/>
          <w:lang w:val="en-GB"/>
        </w:rPr>
      </w:pPr>
    </w:p>
    <w:p w14:paraId="287A2E1E" w14:textId="77777777" w:rsidR="00CA36BF" w:rsidRPr="009E60AC" w:rsidRDefault="00CA36BF" w:rsidP="00CA36BF">
      <w:pPr>
        <w:rPr>
          <w:rFonts w:ascii="Arial" w:hAnsi="Arial" w:cs="Arial"/>
          <w:b/>
          <w:sz w:val="24"/>
          <w:szCs w:val="20"/>
          <w:lang w:val="en-GB"/>
        </w:rPr>
      </w:pPr>
      <w:r w:rsidRPr="009E60AC">
        <w:rPr>
          <w:rFonts w:ascii="Arial" w:hAnsi="Arial" w:cs="Arial"/>
          <w:b/>
          <w:sz w:val="24"/>
          <w:szCs w:val="20"/>
          <w:lang w:val="en-GB"/>
        </w:rPr>
        <w:t>C. HBeAg seroclearance in HBeAg-positive patients</w:t>
      </w:r>
    </w:p>
    <w:p w14:paraId="71C31B99" w14:textId="373E44A9" w:rsidR="00CA36BF" w:rsidRPr="00CA36BF" w:rsidRDefault="00CA36BF" w:rsidP="00CA36BF">
      <w:pPr>
        <w:rPr>
          <w:rFonts w:ascii="Arial" w:hAnsi="Arial" w:cs="Arial"/>
          <w:szCs w:val="20"/>
          <w:lang w:val="en-GB"/>
        </w:rPr>
      </w:pPr>
    </w:p>
    <w:p w14:paraId="151A5230" w14:textId="67EA1B71" w:rsidR="00CA36BF" w:rsidRDefault="009E60AC" w:rsidP="009E60AC">
      <w:pPr>
        <w:jc w:val="center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noProof/>
          <w:szCs w:val="20"/>
          <w:lang w:val="en-GB"/>
        </w:rPr>
        <w:drawing>
          <wp:inline distT="0" distB="0" distL="0" distR="0" wp14:anchorId="37CD800E" wp14:editId="1B2BAD52">
            <wp:extent cx="6120000" cy="36432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DEFFB" w14:textId="2DCFBDAD" w:rsidR="00CA36BF" w:rsidRDefault="00CA36BF">
      <w:pPr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br w:type="page"/>
      </w:r>
    </w:p>
    <w:p w14:paraId="15AC5F35" w14:textId="77777777" w:rsidR="00CA36BF" w:rsidRPr="00CA36BF" w:rsidRDefault="00CA36BF">
      <w:pPr>
        <w:rPr>
          <w:rFonts w:ascii="Arial" w:hAnsi="Arial" w:cs="Arial"/>
          <w:b/>
          <w:szCs w:val="20"/>
          <w:lang w:val="en-GB"/>
        </w:rPr>
        <w:sectPr w:rsidR="00CA36BF" w:rsidRPr="00CA36BF" w:rsidSect="00350BFD">
          <w:footerReference w:type="even" r:id="rId10"/>
          <w:footerReference w:type="default" r:id="rId11"/>
          <w:pgSz w:w="12240" w:h="15840" w:code="1"/>
          <w:pgMar w:top="1440" w:right="1080" w:bottom="1440" w:left="1080" w:header="851" w:footer="992" w:gutter="0"/>
          <w:cols w:space="425"/>
          <w:docGrid w:linePitch="360"/>
        </w:sectPr>
      </w:pPr>
    </w:p>
    <w:p w14:paraId="0549F16E" w14:textId="3B2372FB" w:rsidR="002037E1" w:rsidRDefault="002037E1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/>
          <w:b/>
          <w:sz w:val="24"/>
          <w:szCs w:val="20"/>
          <w:lang w:val="en-GB"/>
        </w:rPr>
        <w:lastRenderedPageBreak/>
        <w:t xml:space="preserve">Supplementary </w:t>
      </w:r>
      <w:r w:rsidR="00CA3DCE" w:rsidRPr="00BD40B4">
        <w:rPr>
          <w:rFonts w:ascii="Arial" w:hAnsi="Arial" w:cs="Arial"/>
          <w:b/>
          <w:sz w:val="24"/>
          <w:szCs w:val="20"/>
          <w:lang w:val="en-GB"/>
        </w:rPr>
        <w:t>F</w:t>
      </w:r>
      <w:r w:rsidRPr="00BD40B4">
        <w:rPr>
          <w:rFonts w:ascii="Arial" w:hAnsi="Arial" w:cs="Arial"/>
          <w:b/>
          <w:sz w:val="24"/>
          <w:szCs w:val="20"/>
          <w:lang w:val="en-GB"/>
        </w:rPr>
        <w:t>igure 2.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</w:t>
      </w:r>
      <w:r w:rsidR="008754CE" w:rsidRPr="00BD40B4">
        <w:rPr>
          <w:rFonts w:ascii="Arial" w:hAnsi="Arial" w:cs="Arial"/>
          <w:bCs/>
          <w:sz w:val="24"/>
          <w:szCs w:val="20"/>
          <w:lang w:val="en-GB"/>
        </w:rPr>
        <w:t>Risk of HCC by the timing of ALT normalization in CHB patients with and without cirrhosis by 2-year landmark analysis</w:t>
      </w:r>
      <w:r w:rsidR="008754CE">
        <w:rPr>
          <w:rFonts w:ascii="Arial" w:hAnsi="Arial" w:cs="Arial"/>
          <w:bCs/>
          <w:sz w:val="24"/>
          <w:szCs w:val="20"/>
          <w:lang w:val="en-GB"/>
        </w:rPr>
        <w:t>.</w:t>
      </w:r>
    </w:p>
    <w:p w14:paraId="4E75C273" w14:textId="77777777" w:rsidR="0009193D" w:rsidRPr="00BD40B4" w:rsidRDefault="0009193D">
      <w:pPr>
        <w:rPr>
          <w:rFonts w:ascii="Arial" w:hAnsi="Arial" w:cs="Arial"/>
          <w:bCs/>
          <w:sz w:val="24"/>
          <w:szCs w:val="20"/>
          <w:lang w:val="en-GB"/>
        </w:rPr>
      </w:pPr>
    </w:p>
    <w:p w14:paraId="333937D7" w14:textId="5D393C09" w:rsidR="002037E1" w:rsidRPr="00BD40B4" w:rsidRDefault="002037E1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 w:hint="eastAsia"/>
          <w:bCs/>
          <w:sz w:val="24"/>
          <w:szCs w:val="20"/>
          <w:lang w:val="en-GB"/>
        </w:rPr>
        <w:t>A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. Cirrhosis </w:t>
      </w:r>
      <w:r w:rsidR="00516325">
        <w:rPr>
          <w:rFonts w:ascii="Arial" w:hAnsi="Arial" w:cs="Arial"/>
          <w:bCs/>
          <w:sz w:val="24"/>
          <w:szCs w:val="20"/>
          <w:lang w:val="en-GB"/>
        </w:rPr>
        <w:t>sub</w:t>
      </w:r>
      <w:r w:rsidRPr="00BD40B4">
        <w:rPr>
          <w:rFonts w:ascii="Arial" w:hAnsi="Arial" w:cs="Arial"/>
          <w:bCs/>
          <w:sz w:val="24"/>
          <w:szCs w:val="20"/>
          <w:lang w:val="en-GB"/>
        </w:rPr>
        <w:t>cohort (</w:t>
      </w:r>
      <w:r w:rsidR="000F0365" w:rsidRPr="00BD40B4">
        <w:rPr>
          <w:rFonts w:ascii="Arial" w:hAnsi="Arial" w:cs="Arial"/>
          <w:bCs/>
          <w:sz w:val="24"/>
          <w:szCs w:val="20"/>
          <w:lang w:val="en-GB"/>
        </w:rPr>
        <w:t>n</w:t>
      </w:r>
      <w:r w:rsidRPr="00BD40B4">
        <w:rPr>
          <w:rFonts w:ascii="Arial" w:hAnsi="Arial" w:cs="Arial"/>
          <w:bCs/>
          <w:sz w:val="24"/>
          <w:szCs w:val="20"/>
          <w:lang w:val="en-GB"/>
        </w:rPr>
        <w:t>=1811)</w:t>
      </w:r>
    </w:p>
    <w:p w14:paraId="1270AF00" w14:textId="7DF5140E" w:rsidR="002037E1" w:rsidRDefault="0086265C">
      <w:pPr>
        <w:rPr>
          <w:rFonts w:ascii="Arial" w:hAnsi="Arial" w:cs="Arial"/>
          <w:bCs/>
          <w:sz w:val="24"/>
          <w:szCs w:val="20"/>
          <w:lang w:val="en-GB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3E0F47EF" wp14:editId="4D4AECD6">
            <wp:extent cx="5940000" cy="4074108"/>
            <wp:effectExtent l="0" t="0" r="3810" b="0"/>
            <wp:docPr id="229" name="그림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07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6D57F" w14:textId="77777777" w:rsidR="002037E1" w:rsidRDefault="002037E1">
      <w:pPr>
        <w:rPr>
          <w:rFonts w:ascii="Arial" w:hAnsi="Arial" w:cs="Arial"/>
          <w:bCs/>
          <w:sz w:val="24"/>
          <w:szCs w:val="20"/>
          <w:lang w:val="en-GB"/>
        </w:rPr>
      </w:pPr>
      <w:r>
        <w:rPr>
          <w:rFonts w:ascii="Arial" w:hAnsi="Arial" w:cs="Arial"/>
          <w:bCs/>
          <w:sz w:val="24"/>
          <w:szCs w:val="20"/>
          <w:lang w:val="en-GB"/>
        </w:rPr>
        <w:br w:type="page"/>
      </w:r>
    </w:p>
    <w:p w14:paraId="5A0034BF" w14:textId="69B344D2" w:rsidR="002037E1" w:rsidRPr="00BD40B4" w:rsidRDefault="002037E1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 w:hint="eastAsia"/>
          <w:bCs/>
          <w:sz w:val="24"/>
          <w:szCs w:val="20"/>
          <w:lang w:val="en-GB"/>
        </w:rPr>
        <w:lastRenderedPageBreak/>
        <w:t>B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. Non-cirrhosis </w:t>
      </w:r>
      <w:r w:rsidR="00516325">
        <w:rPr>
          <w:rFonts w:ascii="Arial" w:hAnsi="Arial" w:cs="Arial"/>
          <w:bCs/>
          <w:sz w:val="24"/>
          <w:szCs w:val="20"/>
          <w:lang w:val="en-GB"/>
        </w:rPr>
        <w:t>sub</w:t>
      </w:r>
      <w:r w:rsidRPr="00BD40B4">
        <w:rPr>
          <w:rFonts w:ascii="Arial" w:hAnsi="Arial" w:cs="Arial"/>
          <w:bCs/>
          <w:sz w:val="24"/>
          <w:szCs w:val="20"/>
          <w:lang w:val="en-GB"/>
        </w:rPr>
        <w:t>cohort (</w:t>
      </w:r>
      <w:r w:rsidR="000F0365" w:rsidRPr="00BD40B4">
        <w:rPr>
          <w:rFonts w:ascii="Arial" w:hAnsi="Arial" w:cs="Arial"/>
          <w:bCs/>
          <w:sz w:val="24"/>
          <w:szCs w:val="20"/>
          <w:lang w:val="en-GB"/>
        </w:rPr>
        <w:t>n</w:t>
      </w:r>
      <w:r w:rsidRPr="00BD40B4">
        <w:rPr>
          <w:rFonts w:ascii="Arial" w:hAnsi="Arial" w:cs="Arial"/>
          <w:bCs/>
          <w:sz w:val="24"/>
          <w:szCs w:val="20"/>
          <w:lang w:val="en-GB"/>
        </w:rPr>
        <w:t>=2431)</w:t>
      </w:r>
    </w:p>
    <w:p w14:paraId="3A59C927" w14:textId="4AA9A982" w:rsidR="002037E1" w:rsidRPr="002037E1" w:rsidRDefault="0086265C">
      <w:pPr>
        <w:rPr>
          <w:rFonts w:ascii="Arial" w:hAnsi="Arial" w:cs="Arial"/>
          <w:bCs/>
          <w:sz w:val="24"/>
          <w:szCs w:val="20"/>
          <w:lang w:val="en-GB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9D8C7DA" wp14:editId="5358EB37">
            <wp:extent cx="5940000" cy="4079230"/>
            <wp:effectExtent l="0" t="0" r="3810" b="0"/>
            <wp:docPr id="230" name="그림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07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972D1" w14:textId="77777777" w:rsidR="002037E1" w:rsidRDefault="002037E1">
      <w:pPr>
        <w:rPr>
          <w:rFonts w:ascii="Arial" w:hAnsi="Arial" w:cs="Arial"/>
          <w:b/>
          <w:sz w:val="24"/>
          <w:szCs w:val="20"/>
          <w:lang w:val="en-GB"/>
        </w:rPr>
      </w:pPr>
      <w:r>
        <w:rPr>
          <w:rFonts w:ascii="Arial" w:hAnsi="Arial" w:cs="Arial"/>
          <w:b/>
          <w:sz w:val="24"/>
          <w:szCs w:val="20"/>
          <w:lang w:val="en-GB"/>
        </w:rPr>
        <w:br w:type="page"/>
      </w:r>
    </w:p>
    <w:p w14:paraId="0686B125" w14:textId="4ED5E85B" w:rsidR="00C6668B" w:rsidRDefault="00C6668B" w:rsidP="00D17DF2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/>
          <w:b/>
          <w:sz w:val="24"/>
          <w:szCs w:val="20"/>
          <w:lang w:val="en-GB"/>
        </w:rPr>
        <w:lastRenderedPageBreak/>
        <w:t xml:space="preserve">Supplementary </w:t>
      </w:r>
      <w:r w:rsidR="00CA3DCE" w:rsidRPr="00BD40B4">
        <w:rPr>
          <w:rFonts w:ascii="Arial" w:hAnsi="Arial" w:cs="Arial"/>
          <w:b/>
          <w:sz w:val="24"/>
          <w:szCs w:val="20"/>
          <w:lang w:val="en-GB"/>
        </w:rPr>
        <w:t>F</w:t>
      </w:r>
      <w:r w:rsidRPr="00BD40B4">
        <w:rPr>
          <w:rFonts w:ascii="Arial" w:hAnsi="Arial" w:cs="Arial"/>
          <w:b/>
          <w:sz w:val="24"/>
          <w:szCs w:val="20"/>
          <w:lang w:val="en-GB"/>
        </w:rPr>
        <w:t>igure 3.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</w:t>
      </w:r>
      <w:bookmarkStart w:id="10" w:name="_Hlk19121866"/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Risk of HCC </w:t>
      </w:r>
      <w:r w:rsidR="008754CE">
        <w:rPr>
          <w:rFonts w:ascii="Arial" w:hAnsi="Arial" w:cs="Arial"/>
          <w:bCs/>
          <w:sz w:val="24"/>
          <w:szCs w:val="20"/>
          <w:lang w:val="en-GB"/>
        </w:rPr>
        <w:t>by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the timing of ALT normalization by 2-year landmark analysis</w:t>
      </w:r>
      <w:r w:rsidR="008754CE">
        <w:rPr>
          <w:rFonts w:ascii="Arial" w:hAnsi="Arial" w:cs="Arial"/>
          <w:bCs/>
          <w:sz w:val="24"/>
          <w:szCs w:val="20"/>
          <w:lang w:val="en-GB"/>
        </w:rPr>
        <w:t xml:space="preserve"> in ETV and TDF subgroups.</w:t>
      </w:r>
      <w:bookmarkEnd w:id="10"/>
    </w:p>
    <w:p w14:paraId="0B746CB0" w14:textId="77777777" w:rsidR="0009193D" w:rsidRPr="00BD40B4" w:rsidRDefault="0009193D" w:rsidP="00D17DF2">
      <w:pPr>
        <w:rPr>
          <w:rFonts w:ascii="Arial" w:hAnsi="Arial" w:cs="Arial"/>
          <w:bCs/>
          <w:sz w:val="24"/>
          <w:szCs w:val="20"/>
          <w:lang w:val="en-GB"/>
        </w:rPr>
      </w:pPr>
    </w:p>
    <w:p w14:paraId="35EB8E90" w14:textId="033E6D34" w:rsidR="00C6668B" w:rsidRPr="00BD40B4" w:rsidRDefault="00C6668B" w:rsidP="00D17DF2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(A) Entecavir </w:t>
      </w:r>
      <w:r w:rsidR="008754CE">
        <w:rPr>
          <w:rFonts w:ascii="Arial" w:hAnsi="Arial" w:cs="Arial"/>
          <w:bCs/>
          <w:sz w:val="24"/>
          <w:szCs w:val="20"/>
          <w:lang w:val="en-GB"/>
        </w:rPr>
        <w:t>subcohorts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(</w:t>
      </w:r>
      <w:r w:rsidR="00CA3DCE" w:rsidRPr="00BD40B4">
        <w:rPr>
          <w:rFonts w:ascii="Arial" w:hAnsi="Arial" w:cs="Arial"/>
          <w:bCs/>
          <w:sz w:val="24"/>
          <w:szCs w:val="20"/>
          <w:lang w:val="en-GB"/>
        </w:rPr>
        <w:t>n</w:t>
      </w:r>
      <w:r w:rsidRPr="00BD40B4">
        <w:rPr>
          <w:rFonts w:ascii="Arial" w:hAnsi="Arial" w:cs="Arial"/>
          <w:bCs/>
          <w:sz w:val="24"/>
          <w:szCs w:val="20"/>
          <w:lang w:val="en-GB"/>
        </w:rPr>
        <w:t>=2803)</w:t>
      </w:r>
    </w:p>
    <w:p w14:paraId="47EDCB76" w14:textId="2D96CA69" w:rsidR="00C6668B" w:rsidRDefault="0086265C" w:rsidP="00D17DF2">
      <w:pPr>
        <w:rPr>
          <w:rFonts w:ascii="Arial" w:hAnsi="Arial" w:cs="Arial"/>
          <w:b/>
          <w:sz w:val="24"/>
          <w:szCs w:val="20"/>
          <w:lang w:val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CDFF417" wp14:editId="70964381">
            <wp:extent cx="5940000" cy="4064897"/>
            <wp:effectExtent l="0" t="0" r="3810" b="0"/>
            <wp:docPr id="231" name="그림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06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4F2F8" w14:textId="77777777" w:rsidR="00C810C6" w:rsidRPr="00C810C6" w:rsidRDefault="00C810C6">
      <w:pPr>
        <w:rPr>
          <w:rFonts w:ascii="Arial" w:hAnsi="Arial" w:cs="Arial"/>
          <w:bCs/>
          <w:sz w:val="24"/>
          <w:szCs w:val="20"/>
          <w:lang w:val="en-GB"/>
        </w:rPr>
      </w:pPr>
      <w:r w:rsidRPr="00C810C6">
        <w:rPr>
          <w:rFonts w:ascii="Arial" w:hAnsi="Arial" w:cs="Arial"/>
          <w:bCs/>
          <w:sz w:val="24"/>
          <w:szCs w:val="20"/>
          <w:lang w:val="en-GB"/>
        </w:rPr>
        <w:br w:type="page"/>
      </w:r>
    </w:p>
    <w:p w14:paraId="1A9A62BC" w14:textId="625BD5E2" w:rsidR="00C6668B" w:rsidRPr="00BD40B4" w:rsidRDefault="00C6668B" w:rsidP="00D17DF2">
      <w:pPr>
        <w:rPr>
          <w:rFonts w:ascii="Arial" w:hAnsi="Arial" w:cs="Arial"/>
          <w:bCs/>
          <w:sz w:val="24"/>
          <w:szCs w:val="20"/>
          <w:lang w:val="en-GB"/>
        </w:rPr>
      </w:pPr>
      <w:r w:rsidRPr="00BD40B4">
        <w:rPr>
          <w:rFonts w:ascii="Arial" w:hAnsi="Arial" w:cs="Arial"/>
          <w:bCs/>
          <w:sz w:val="24"/>
          <w:szCs w:val="20"/>
          <w:lang w:val="en-GB"/>
        </w:rPr>
        <w:lastRenderedPageBreak/>
        <w:t xml:space="preserve">(B) Tenofovir </w:t>
      </w:r>
      <w:r w:rsidR="008754CE">
        <w:rPr>
          <w:rFonts w:ascii="Arial" w:hAnsi="Arial" w:cs="Arial"/>
          <w:bCs/>
          <w:sz w:val="24"/>
          <w:szCs w:val="20"/>
          <w:lang w:val="en-GB"/>
        </w:rPr>
        <w:t>subcohorts</w:t>
      </w:r>
      <w:r w:rsidRPr="00BD40B4">
        <w:rPr>
          <w:rFonts w:ascii="Arial" w:hAnsi="Arial" w:cs="Arial"/>
          <w:bCs/>
          <w:sz w:val="24"/>
          <w:szCs w:val="20"/>
          <w:lang w:val="en-GB"/>
        </w:rPr>
        <w:t xml:space="preserve"> (</w:t>
      </w:r>
      <w:r w:rsidR="00CA3DCE" w:rsidRPr="00BD40B4">
        <w:rPr>
          <w:rFonts w:ascii="Arial" w:hAnsi="Arial" w:cs="Arial"/>
          <w:bCs/>
          <w:sz w:val="24"/>
          <w:szCs w:val="20"/>
          <w:lang w:val="en-GB"/>
        </w:rPr>
        <w:t>n</w:t>
      </w:r>
      <w:r w:rsidRPr="00BD40B4">
        <w:rPr>
          <w:rFonts w:ascii="Arial" w:hAnsi="Arial" w:cs="Arial"/>
          <w:bCs/>
          <w:sz w:val="24"/>
          <w:szCs w:val="20"/>
          <w:lang w:val="en-GB"/>
        </w:rPr>
        <w:t>=1349)</w:t>
      </w:r>
    </w:p>
    <w:p w14:paraId="5F48282D" w14:textId="7664FABB" w:rsidR="00C6668B" w:rsidRDefault="0086265C">
      <w:pPr>
        <w:rPr>
          <w:rFonts w:ascii="Arial" w:hAnsi="Arial" w:cs="Arial"/>
          <w:b/>
          <w:sz w:val="24"/>
          <w:szCs w:val="20"/>
          <w:lang w:val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F3C076" wp14:editId="51A148AD">
            <wp:extent cx="5940000" cy="3899823"/>
            <wp:effectExtent l="0" t="0" r="3810" b="0"/>
            <wp:docPr id="232" name="그림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899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668B">
        <w:rPr>
          <w:rFonts w:ascii="Arial" w:hAnsi="Arial" w:cs="Arial"/>
          <w:b/>
          <w:sz w:val="24"/>
          <w:szCs w:val="20"/>
          <w:lang w:val="en-GB"/>
        </w:rPr>
        <w:br w:type="page"/>
      </w:r>
    </w:p>
    <w:p w14:paraId="54BCE9DA" w14:textId="13506B8A" w:rsidR="002C174B" w:rsidRPr="008754CE" w:rsidRDefault="002C174B" w:rsidP="00D17DF2">
      <w:pPr>
        <w:rPr>
          <w:rFonts w:ascii="Arial" w:hAnsi="Arial" w:cs="Arial"/>
          <w:sz w:val="24"/>
          <w:szCs w:val="20"/>
          <w:lang w:val="en-GB"/>
        </w:rPr>
      </w:pPr>
      <w:r w:rsidRPr="002C174B">
        <w:rPr>
          <w:rFonts w:ascii="Arial" w:hAnsi="Arial" w:cs="Arial"/>
          <w:b/>
          <w:sz w:val="24"/>
          <w:szCs w:val="20"/>
          <w:lang w:val="en-GB"/>
        </w:rPr>
        <w:lastRenderedPageBreak/>
        <w:t xml:space="preserve">Supplementary Figure </w:t>
      </w:r>
      <w:r w:rsidR="00C6668B">
        <w:rPr>
          <w:rFonts w:ascii="Arial" w:hAnsi="Arial" w:cs="Arial"/>
          <w:b/>
          <w:sz w:val="24"/>
          <w:szCs w:val="20"/>
          <w:lang w:val="en-GB"/>
        </w:rPr>
        <w:t>4</w:t>
      </w:r>
      <w:r w:rsidRPr="002C174B">
        <w:rPr>
          <w:rFonts w:ascii="Arial" w:hAnsi="Arial" w:cs="Arial"/>
          <w:b/>
          <w:sz w:val="24"/>
          <w:szCs w:val="20"/>
          <w:lang w:val="en-GB"/>
        </w:rPr>
        <w:t xml:space="preserve">. </w:t>
      </w:r>
      <w:r w:rsidRPr="008754CE">
        <w:rPr>
          <w:rFonts w:ascii="Arial" w:hAnsi="Arial" w:cs="Arial"/>
          <w:sz w:val="24"/>
          <w:szCs w:val="20"/>
          <w:lang w:val="en-GB"/>
        </w:rPr>
        <w:t xml:space="preserve">Risk of Death or transplantation according to on-treatment ALT normalization in patients with </w:t>
      </w:r>
      <w:r w:rsidR="008754CE">
        <w:rPr>
          <w:rFonts w:ascii="Arial" w:hAnsi="Arial" w:cs="Arial"/>
          <w:sz w:val="24"/>
          <w:szCs w:val="20"/>
          <w:lang w:val="en-GB"/>
        </w:rPr>
        <w:t>CH</w:t>
      </w:r>
      <w:r w:rsidRPr="008754CE">
        <w:rPr>
          <w:rFonts w:ascii="Arial" w:hAnsi="Arial" w:cs="Arial"/>
          <w:sz w:val="24"/>
          <w:szCs w:val="20"/>
          <w:lang w:val="en-GB"/>
        </w:rPr>
        <w:t>B</w:t>
      </w:r>
      <w:r w:rsidR="008754CE">
        <w:rPr>
          <w:rFonts w:ascii="Arial" w:hAnsi="Arial" w:cs="Arial"/>
          <w:sz w:val="24"/>
          <w:szCs w:val="20"/>
          <w:lang w:val="en-GB"/>
        </w:rPr>
        <w:t>.</w:t>
      </w:r>
    </w:p>
    <w:p w14:paraId="759272EC" w14:textId="77777777" w:rsidR="009E60AC" w:rsidRPr="008754CE" w:rsidRDefault="009E60AC" w:rsidP="00D17DF2">
      <w:pPr>
        <w:rPr>
          <w:rFonts w:ascii="Arial" w:hAnsi="Arial" w:cs="Arial"/>
          <w:sz w:val="24"/>
          <w:szCs w:val="20"/>
          <w:lang w:val="en-GB"/>
        </w:rPr>
      </w:pPr>
    </w:p>
    <w:p w14:paraId="617E0E5E" w14:textId="0E4FCB50" w:rsidR="00D17DF2" w:rsidRPr="008754CE" w:rsidRDefault="00D17DF2" w:rsidP="00D17DF2">
      <w:pPr>
        <w:rPr>
          <w:rFonts w:ascii="Arial" w:hAnsi="Arial" w:cs="Arial"/>
          <w:sz w:val="24"/>
          <w:szCs w:val="20"/>
          <w:lang w:val="en-GB"/>
        </w:rPr>
      </w:pPr>
      <w:r w:rsidRPr="008754CE">
        <w:rPr>
          <w:rFonts w:ascii="Arial" w:hAnsi="Arial" w:cs="Arial"/>
          <w:sz w:val="24"/>
          <w:szCs w:val="20"/>
          <w:lang w:val="en-GB"/>
        </w:rPr>
        <w:t>A. One-year landmark analysis</w:t>
      </w:r>
    </w:p>
    <w:p w14:paraId="26376E0B" w14:textId="77777777" w:rsidR="009E60AC" w:rsidRPr="009E60AC" w:rsidRDefault="009E60AC" w:rsidP="00D17DF2">
      <w:pPr>
        <w:rPr>
          <w:rFonts w:ascii="Arial" w:hAnsi="Arial" w:cs="Arial"/>
          <w:b/>
          <w:sz w:val="24"/>
          <w:szCs w:val="20"/>
          <w:lang w:val="en-GB"/>
        </w:rPr>
      </w:pPr>
    </w:p>
    <w:p w14:paraId="0C1A5D7C" w14:textId="39A7099C" w:rsidR="000C2FD2" w:rsidRDefault="00110A17" w:rsidP="009E60AC">
      <w:pPr>
        <w:jc w:val="center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noProof/>
          <w:szCs w:val="20"/>
          <w:lang w:val="en-GB"/>
        </w:rPr>
        <w:drawing>
          <wp:inline distT="0" distB="0" distL="0" distR="0" wp14:anchorId="43945865" wp14:editId="25AAAB03">
            <wp:extent cx="6120000" cy="428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F8282" w14:textId="203EBFB2" w:rsidR="000C2FD2" w:rsidRDefault="000C2FD2" w:rsidP="00D17DF2">
      <w:pPr>
        <w:rPr>
          <w:rFonts w:ascii="Arial" w:hAnsi="Arial" w:cs="Arial"/>
          <w:szCs w:val="20"/>
          <w:lang w:val="en-GB"/>
        </w:rPr>
      </w:pPr>
    </w:p>
    <w:p w14:paraId="224CDCEB" w14:textId="77777777" w:rsidR="000C2FD2" w:rsidRPr="00CA36BF" w:rsidRDefault="000C2FD2" w:rsidP="00D17DF2">
      <w:pPr>
        <w:rPr>
          <w:rFonts w:ascii="Arial" w:hAnsi="Arial" w:cs="Arial"/>
          <w:szCs w:val="20"/>
          <w:lang w:val="en-GB"/>
        </w:rPr>
      </w:pPr>
    </w:p>
    <w:p w14:paraId="3BFA05B0" w14:textId="77777777" w:rsidR="00D17DF2" w:rsidRPr="000C2FD2" w:rsidRDefault="00D17DF2" w:rsidP="00D17DF2">
      <w:pPr>
        <w:rPr>
          <w:rFonts w:ascii="Arial" w:hAnsi="Arial" w:cs="Arial"/>
          <w:szCs w:val="20"/>
          <w:lang w:val="en-GB"/>
        </w:rPr>
      </w:pPr>
    </w:p>
    <w:p w14:paraId="685FF0B3" w14:textId="77777777" w:rsidR="00E440F5" w:rsidRPr="00CA36BF" w:rsidRDefault="00E440F5">
      <w:pPr>
        <w:rPr>
          <w:rFonts w:ascii="Arial" w:hAnsi="Arial" w:cs="Arial"/>
          <w:szCs w:val="20"/>
          <w:lang w:val="en-GB"/>
        </w:rPr>
      </w:pPr>
      <w:r w:rsidRPr="00CA36BF">
        <w:rPr>
          <w:rFonts w:ascii="Arial" w:hAnsi="Arial" w:cs="Arial"/>
          <w:szCs w:val="20"/>
          <w:lang w:val="en-GB"/>
        </w:rPr>
        <w:br w:type="page"/>
      </w:r>
    </w:p>
    <w:p w14:paraId="01B90D1A" w14:textId="34522D92" w:rsidR="00D17DF2" w:rsidRPr="008754CE" w:rsidRDefault="00D17DF2" w:rsidP="00D17DF2">
      <w:pPr>
        <w:rPr>
          <w:rFonts w:ascii="Arial" w:hAnsi="Arial" w:cs="Arial"/>
          <w:sz w:val="24"/>
          <w:szCs w:val="20"/>
          <w:lang w:val="en-GB"/>
        </w:rPr>
      </w:pPr>
      <w:r w:rsidRPr="008754CE">
        <w:rPr>
          <w:rFonts w:ascii="Arial" w:hAnsi="Arial" w:cs="Arial"/>
          <w:sz w:val="24"/>
          <w:szCs w:val="20"/>
          <w:lang w:val="en-GB"/>
        </w:rPr>
        <w:lastRenderedPageBreak/>
        <w:t>B. Two-year landmark analysis</w:t>
      </w:r>
    </w:p>
    <w:p w14:paraId="4FAAFB3A" w14:textId="77777777" w:rsidR="002C174B" w:rsidRPr="002C174B" w:rsidRDefault="002C174B" w:rsidP="00D17DF2">
      <w:pPr>
        <w:rPr>
          <w:rFonts w:ascii="Arial" w:hAnsi="Arial" w:cs="Arial"/>
          <w:sz w:val="24"/>
          <w:szCs w:val="20"/>
          <w:lang w:val="en-GB"/>
        </w:rPr>
      </w:pPr>
    </w:p>
    <w:p w14:paraId="02A02882" w14:textId="5A003C5D" w:rsidR="00D17DF2" w:rsidRDefault="00110A17" w:rsidP="009E60AC">
      <w:pPr>
        <w:spacing w:after="240" w:line="276" w:lineRule="auto"/>
        <w:jc w:val="center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noProof/>
          <w:szCs w:val="20"/>
          <w:lang w:val="en-GB"/>
        </w:rPr>
        <w:drawing>
          <wp:inline distT="0" distB="0" distL="0" distR="0" wp14:anchorId="1F3B4EC1" wp14:editId="56189AA5">
            <wp:extent cx="6120000" cy="42876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8DCC6" w14:textId="7DBCAB2A" w:rsidR="00C441E4" w:rsidRDefault="00C441E4" w:rsidP="00D17DF2">
      <w:pPr>
        <w:spacing w:after="240" w:line="276" w:lineRule="auto"/>
        <w:rPr>
          <w:rFonts w:ascii="Arial" w:hAnsi="Arial" w:cs="Arial"/>
          <w:szCs w:val="20"/>
          <w:lang w:val="en-GB"/>
        </w:rPr>
      </w:pPr>
    </w:p>
    <w:p w14:paraId="49FF54BB" w14:textId="6362681E" w:rsidR="000C2FD2" w:rsidRPr="000C2FD2" w:rsidRDefault="000C2FD2" w:rsidP="000C2FD2">
      <w:pPr>
        <w:rPr>
          <w:rFonts w:ascii="Arial" w:hAnsi="Arial" w:cs="Arial"/>
          <w:szCs w:val="20"/>
          <w:lang w:val="en-GB"/>
        </w:rPr>
      </w:pPr>
    </w:p>
    <w:sectPr w:rsidR="000C2FD2" w:rsidRPr="000C2FD2" w:rsidSect="00786405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0366" w14:textId="77777777" w:rsidR="00DE4FFD" w:rsidRDefault="00DE4FFD" w:rsidP="00966C7C">
      <w:pPr>
        <w:spacing w:after="0" w:line="240" w:lineRule="auto"/>
      </w:pPr>
      <w:r>
        <w:separator/>
      </w:r>
    </w:p>
  </w:endnote>
  <w:endnote w:type="continuationSeparator" w:id="0">
    <w:p w14:paraId="7E9CE981" w14:textId="77777777" w:rsidR="00DE4FFD" w:rsidRDefault="00DE4FFD" w:rsidP="00966C7C">
      <w:pPr>
        <w:spacing w:after="0" w:line="240" w:lineRule="auto"/>
      </w:pPr>
      <w:r>
        <w:continuationSeparator/>
      </w:r>
    </w:p>
  </w:endnote>
  <w:endnote w:type="continuationNotice" w:id="1">
    <w:p w14:paraId="5B030B94" w14:textId="77777777" w:rsidR="00DE4FFD" w:rsidRDefault="00DE4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B8A9" w14:textId="77777777" w:rsidR="00887A0B" w:rsidRDefault="00887A0B" w:rsidP="00887A0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F4208D" w14:textId="77777777" w:rsidR="00887A0B" w:rsidRDefault="00887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8301" w14:textId="77777777" w:rsidR="00887A0B" w:rsidRDefault="00887A0B" w:rsidP="00887A0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5BD0">
      <w:rPr>
        <w:rStyle w:val="ab"/>
        <w:noProof/>
      </w:rPr>
      <w:t>7</w:t>
    </w:r>
    <w:r>
      <w:rPr>
        <w:rStyle w:val="ab"/>
      </w:rPr>
      <w:fldChar w:fldCharType="end"/>
    </w:r>
  </w:p>
  <w:p w14:paraId="22377F40" w14:textId="77777777" w:rsidR="00887A0B" w:rsidRDefault="00887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4B11" w14:textId="77777777" w:rsidR="00DE4FFD" w:rsidRDefault="00DE4FFD" w:rsidP="00966C7C">
      <w:pPr>
        <w:spacing w:after="0" w:line="240" w:lineRule="auto"/>
      </w:pPr>
      <w:r>
        <w:separator/>
      </w:r>
    </w:p>
  </w:footnote>
  <w:footnote w:type="continuationSeparator" w:id="0">
    <w:p w14:paraId="4E122433" w14:textId="77777777" w:rsidR="00DE4FFD" w:rsidRDefault="00DE4FFD" w:rsidP="00966C7C">
      <w:pPr>
        <w:spacing w:after="0" w:line="240" w:lineRule="auto"/>
      </w:pPr>
      <w:r>
        <w:continuationSeparator/>
      </w:r>
    </w:p>
  </w:footnote>
  <w:footnote w:type="continuationNotice" w:id="1">
    <w:p w14:paraId="09BC8A32" w14:textId="77777777" w:rsidR="00DE4FFD" w:rsidRDefault="00DE4F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6F3"/>
    <w:multiLevelType w:val="hybridMultilevel"/>
    <w:tmpl w:val="22DCB0D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13913C0"/>
    <w:multiLevelType w:val="hybridMultilevel"/>
    <w:tmpl w:val="8B721DB6"/>
    <w:lvl w:ilvl="0" w:tplc="529A3FEC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545467"/>
    <w:multiLevelType w:val="hybridMultilevel"/>
    <w:tmpl w:val="AAEEF59C"/>
    <w:lvl w:ilvl="0" w:tplc="5D1EDE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9E4704"/>
    <w:multiLevelType w:val="hybridMultilevel"/>
    <w:tmpl w:val="34A4C7C6"/>
    <w:lvl w:ilvl="0" w:tplc="EAA2E8E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E55A81"/>
    <w:multiLevelType w:val="hybridMultilevel"/>
    <w:tmpl w:val="21E0DA1E"/>
    <w:lvl w:ilvl="0" w:tplc="1FCC166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786F72"/>
    <w:multiLevelType w:val="hybridMultilevel"/>
    <w:tmpl w:val="C7AE0EAC"/>
    <w:lvl w:ilvl="0" w:tplc="1CA688D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4D7A4F"/>
    <w:multiLevelType w:val="hybridMultilevel"/>
    <w:tmpl w:val="E7FA0EE0"/>
    <w:lvl w:ilvl="0" w:tplc="07C6B29A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removePersonalInformation/>
  <w:removeDateAndTim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F0"/>
    <w:rsid w:val="0000633D"/>
    <w:rsid w:val="0001170E"/>
    <w:rsid w:val="00013A18"/>
    <w:rsid w:val="0002019A"/>
    <w:rsid w:val="000400E2"/>
    <w:rsid w:val="000428E2"/>
    <w:rsid w:val="00044874"/>
    <w:rsid w:val="00064BE4"/>
    <w:rsid w:val="0006507D"/>
    <w:rsid w:val="00076134"/>
    <w:rsid w:val="00080E42"/>
    <w:rsid w:val="0008339B"/>
    <w:rsid w:val="0008795F"/>
    <w:rsid w:val="00090817"/>
    <w:rsid w:val="0009085B"/>
    <w:rsid w:val="0009193D"/>
    <w:rsid w:val="0009255E"/>
    <w:rsid w:val="00092B79"/>
    <w:rsid w:val="000A5E93"/>
    <w:rsid w:val="000A6488"/>
    <w:rsid w:val="000B5088"/>
    <w:rsid w:val="000B7EDD"/>
    <w:rsid w:val="000B7F05"/>
    <w:rsid w:val="000C2FD2"/>
    <w:rsid w:val="000C7604"/>
    <w:rsid w:val="000C7CA8"/>
    <w:rsid w:val="000D1896"/>
    <w:rsid w:val="000D7703"/>
    <w:rsid w:val="000F0365"/>
    <w:rsid w:val="00110A17"/>
    <w:rsid w:val="00122D37"/>
    <w:rsid w:val="001372AD"/>
    <w:rsid w:val="00144566"/>
    <w:rsid w:val="00146080"/>
    <w:rsid w:val="0014631F"/>
    <w:rsid w:val="00170EBB"/>
    <w:rsid w:val="001771FC"/>
    <w:rsid w:val="0019594A"/>
    <w:rsid w:val="00195E69"/>
    <w:rsid w:val="00196F35"/>
    <w:rsid w:val="001A2B09"/>
    <w:rsid w:val="001B54CF"/>
    <w:rsid w:val="001C77BE"/>
    <w:rsid w:val="001D062F"/>
    <w:rsid w:val="001D40F6"/>
    <w:rsid w:val="001E3598"/>
    <w:rsid w:val="001E4056"/>
    <w:rsid w:val="001F2255"/>
    <w:rsid w:val="001F455E"/>
    <w:rsid w:val="001F7E6C"/>
    <w:rsid w:val="002037E1"/>
    <w:rsid w:val="00204358"/>
    <w:rsid w:val="002246BE"/>
    <w:rsid w:val="002254F4"/>
    <w:rsid w:val="00266B35"/>
    <w:rsid w:val="0027051C"/>
    <w:rsid w:val="002742E2"/>
    <w:rsid w:val="00281020"/>
    <w:rsid w:val="00297C6B"/>
    <w:rsid w:val="002A6D2F"/>
    <w:rsid w:val="002B4FA3"/>
    <w:rsid w:val="002C174B"/>
    <w:rsid w:val="002D269F"/>
    <w:rsid w:val="002E310E"/>
    <w:rsid w:val="002E7A3B"/>
    <w:rsid w:val="002F0D48"/>
    <w:rsid w:val="003000AD"/>
    <w:rsid w:val="0030033B"/>
    <w:rsid w:val="00310DBC"/>
    <w:rsid w:val="00315BD0"/>
    <w:rsid w:val="003336E8"/>
    <w:rsid w:val="00336782"/>
    <w:rsid w:val="00342615"/>
    <w:rsid w:val="00343754"/>
    <w:rsid w:val="00350BFD"/>
    <w:rsid w:val="00352ADE"/>
    <w:rsid w:val="00356459"/>
    <w:rsid w:val="003815DB"/>
    <w:rsid w:val="0038298F"/>
    <w:rsid w:val="00384CBB"/>
    <w:rsid w:val="003B360F"/>
    <w:rsid w:val="003C2691"/>
    <w:rsid w:val="003C5586"/>
    <w:rsid w:val="003D6BE6"/>
    <w:rsid w:val="003E4D5B"/>
    <w:rsid w:val="003F1E20"/>
    <w:rsid w:val="003F3502"/>
    <w:rsid w:val="00410734"/>
    <w:rsid w:val="00433163"/>
    <w:rsid w:val="00434185"/>
    <w:rsid w:val="00435BB1"/>
    <w:rsid w:val="0043690A"/>
    <w:rsid w:val="00441229"/>
    <w:rsid w:val="00441F75"/>
    <w:rsid w:val="00443710"/>
    <w:rsid w:val="00454F2D"/>
    <w:rsid w:val="00475ABF"/>
    <w:rsid w:val="00482B3E"/>
    <w:rsid w:val="00496731"/>
    <w:rsid w:val="004A2864"/>
    <w:rsid w:val="004A7251"/>
    <w:rsid w:val="004B4A69"/>
    <w:rsid w:val="004D6CF6"/>
    <w:rsid w:val="004E2FFC"/>
    <w:rsid w:val="004F1BC1"/>
    <w:rsid w:val="0051189F"/>
    <w:rsid w:val="00516325"/>
    <w:rsid w:val="0052481C"/>
    <w:rsid w:val="005449A5"/>
    <w:rsid w:val="00562273"/>
    <w:rsid w:val="00572387"/>
    <w:rsid w:val="005751AE"/>
    <w:rsid w:val="00575B78"/>
    <w:rsid w:val="00576E1C"/>
    <w:rsid w:val="0059281A"/>
    <w:rsid w:val="005A5FCB"/>
    <w:rsid w:val="005B74EA"/>
    <w:rsid w:val="005C41FF"/>
    <w:rsid w:val="005E4651"/>
    <w:rsid w:val="005E6E6A"/>
    <w:rsid w:val="005F6028"/>
    <w:rsid w:val="00614F1C"/>
    <w:rsid w:val="00615092"/>
    <w:rsid w:val="00644863"/>
    <w:rsid w:val="00651060"/>
    <w:rsid w:val="00666C10"/>
    <w:rsid w:val="00672755"/>
    <w:rsid w:val="00682D2E"/>
    <w:rsid w:val="006970BA"/>
    <w:rsid w:val="006A3D03"/>
    <w:rsid w:val="006A4ED1"/>
    <w:rsid w:val="006B0CB3"/>
    <w:rsid w:val="006B2BA4"/>
    <w:rsid w:val="006B6C2C"/>
    <w:rsid w:val="007107A5"/>
    <w:rsid w:val="0071660F"/>
    <w:rsid w:val="00730976"/>
    <w:rsid w:val="00741D6B"/>
    <w:rsid w:val="00742CBB"/>
    <w:rsid w:val="00750BF3"/>
    <w:rsid w:val="0075309E"/>
    <w:rsid w:val="007544EC"/>
    <w:rsid w:val="007657E7"/>
    <w:rsid w:val="00770A58"/>
    <w:rsid w:val="0077163F"/>
    <w:rsid w:val="00772A43"/>
    <w:rsid w:val="007772EE"/>
    <w:rsid w:val="00786405"/>
    <w:rsid w:val="00793F88"/>
    <w:rsid w:val="007A00BB"/>
    <w:rsid w:val="007A09FB"/>
    <w:rsid w:val="007E10CD"/>
    <w:rsid w:val="008036ED"/>
    <w:rsid w:val="008070BF"/>
    <w:rsid w:val="00807A25"/>
    <w:rsid w:val="00826D88"/>
    <w:rsid w:val="00861D6D"/>
    <w:rsid w:val="0086265C"/>
    <w:rsid w:val="00864DF7"/>
    <w:rsid w:val="00871528"/>
    <w:rsid w:val="00873D96"/>
    <w:rsid w:val="008754CE"/>
    <w:rsid w:val="00883E54"/>
    <w:rsid w:val="00887A0B"/>
    <w:rsid w:val="008A6B26"/>
    <w:rsid w:val="008A7FA6"/>
    <w:rsid w:val="008B4939"/>
    <w:rsid w:val="008C303B"/>
    <w:rsid w:val="008C3877"/>
    <w:rsid w:val="008C5988"/>
    <w:rsid w:val="008C6B4C"/>
    <w:rsid w:val="008D0992"/>
    <w:rsid w:val="008D2690"/>
    <w:rsid w:val="008D4666"/>
    <w:rsid w:val="008E7B67"/>
    <w:rsid w:val="008F2900"/>
    <w:rsid w:val="00917CBA"/>
    <w:rsid w:val="00920046"/>
    <w:rsid w:val="00924DB4"/>
    <w:rsid w:val="0092595F"/>
    <w:rsid w:val="0093765E"/>
    <w:rsid w:val="00941BD2"/>
    <w:rsid w:val="0094452B"/>
    <w:rsid w:val="00947A64"/>
    <w:rsid w:val="00953473"/>
    <w:rsid w:val="00954ACB"/>
    <w:rsid w:val="00960C83"/>
    <w:rsid w:val="00966C7C"/>
    <w:rsid w:val="00970FBA"/>
    <w:rsid w:val="00972DC9"/>
    <w:rsid w:val="0098037B"/>
    <w:rsid w:val="00990BBF"/>
    <w:rsid w:val="009A0014"/>
    <w:rsid w:val="009A3419"/>
    <w:rsid w:val="009C7464"/>
    <w:rsid w:val="009D594A"/>
    <w:rsid w:val="009E33CB"/>
    <w:rsid w:val="009E60AC"/>
    <w:rsid w:val="009F614B"/>
    <w:rsid w:val="00A00A71"/>
    <w:rsid w:val="00A16485"/>
    <w:rsid w:val="00A27F2E"/>
    <w:rsid w:val="00A37A2F"/>
    <w:rsid w:val="00A44AD5"/>
    <w:rsid w:val="00A45541"/>
    <w:rsid w:val="00A60275"/>
    <w:rsid w:val="00A7029E"/>
    <w:rsid w:val="00A72166"/>
    <w:rsid w:val="00A73F1F"/>
    <w:rsid w:val="00A8129D"/>
    <w:rsid w:val="00A905FF"/>
    <w:rsid w:val="00A91623"/>
    <w:rsid w:val="00AB59C9"/>
    <w:rsid w:val="00AB631C"/>
    <w:rsid w:val="00AB7AE6"/>
    <w:rsid w:val="00AB7C68"/>
    <w:rsid w:val="00AD0A59"/>
    <w:rsid w:val="00AE2141"/>
    <w:rsid w:val="00AE69FF"/>
    <w:rsid w:val="00B021BC"/>
    <w:rsid w:val="00B04782"/>
    <w:rsid w:val="00B11B7F"/>
    <w:rsid w:val="00B17929"/>
    <w:rsid w:val="00B3139A"/>
    <w:rsid w:val="00B44445"/>
    <w:rsid w:val="00B90155"/>
    <w:rsid w:val="00B9351B"/>
    <w:rsid w:val="00B945EB"/>
    <w:rsid w:val="00BA2007"/>
    <w:rsid w:val="00BA4545"/>
    <w:rsid w:val="00BB6774"/>
    <w:rsid w:val="00BC4480"/>
    <w:rsid w:val="00BD40B4"/>
    <w:rsid w:val="00BE1AA0"/>
    <w:rsid w:val="00BE325C"/>
    <w:rsid w:val="00BF2C01"/>
    <w:rsid w:val="00BF6CFF"/>
    <w:rsid w:val="00BF6D6D"/>
    <w:rsid w:val="00C04BF6"/>
    <w:rsid w:val="00C24BA3"/>
    <w:rsid w:val="00C26489"/>
    <w:rsid w:val="00C27D61"/>
    <w:rsid w:val="00C27F29"/>
    <w:rsid w:val="00C32F05"/>
    <w:rsid w:val="00C33FA5"/>
    <w:rsid w:val="00C401C4"/>
    <w:rsid w:val="00C441E4"/>
    <w:rsid w:val="00C514B2"/>
    <w:rsid w:val="00C53C78"/>
    <w:rsid w:val="00C569C5"/>
    <w:rsid w:val="00C5727B"/>
    <w:rsid w:val="00C617DD"/>
    <w:rsid w:val="00C63F2C"/>
    <w:rsid w:val="00C65032"/>
    <w:rsid w:val="00C6668B"/>
    <w:rsid w:val="00C810C6"/>
    <w:rsid w:val="00C84575"/>
    <w:rsid w:val="00C91ECB"/>
    <w:rsid w:val="00C95C30"/>
    <w:rsid w:val="00CA0890"/>
    <w:rsid w:val="00CA2251"/>
    <w:rsid w:val="00CA2E88"/>
    <w:rsid w:val="00CA3242"/>
    <w:rsid w:val="00CA36BF"/>
    <w:rsid w:val="00CA3DCE"/>
    <w:rsid w:val="00CA7B92"/>
    <w:rsid w:val="00CC7097"/>
    <w:rsid w:val="00CC7DB1"/>
    <w:rsid w:val="00CD0FC6"/>
    <w:rsid w:val="00CD71AA"/>
    <w:rsid w:val="00CE16CF"/>
    <w:rsid w:val="00CE3AFE"/>
    <w:rsid w:val="00CF3808"/>
    <w:rsid w:val="00D04ECE"/>
    <w:rsid w:val="00D16284"/>
    <w:rsid w:val="00D17DF2"/>
    <w:rsid w:val="00D22D38"/>
    <w:rsid w:val="00D461FF"/>
    <w:rsid w:val="00D54746"/>
    <w:rsid w:val="00D57E72"/>
    <w:rsid w:val="00D62D08"/>
    <w:rsid w:val="00D659B0"/>
    <w:rsid w:val="00D66A6C"/>
    <w:rsid w:val="00D66DCF"/>
    <w:rsid w:val="00D85AAA"/>
    <w:rsid w:val="00D862AF"/>
    <w:rsid w:val="00D91719"/>
    <w:rsid w:val="00D95B91"/>
    <w:rsid w:val="00D97EF8"/>
    <w:rsid w:val="00DA7AE2"/>
    <w:rsid w:val="00DB27E9"/>
    <w:rsid w:val="00DC0DE7"/>
    <w:rsid w:val="00DC3DB9"/>
    <w:rsid w:val="00DD18E6"/>
    <w:rsid w:val="00DE358D"/>
    <w:rsid w:val="00DE4FFD"/>
    <w:rsid w:val="00DF51E8"/>
    <w:rsid w:val="00DF66A5"/>
    <w:rsid w:val="00E33CA2"/>
    <w:rsid w:val="00E440F5"/>
    <w:rsid w:val="00E4731C"/>
    <w:rsid w:val="00E6067A"/>
    <w:rsid w:val="00E73520"/>
    <w:rsid w:val="00E740A4"/>
    <w:rsid w:val="00E75307"/>
    <w:rsid w:val="00E8463E"/>
    <w:rsid w:val="00E851A5"/>
    <w:rsid w:val="00E87ACC"/>
    <w:rsid w:val="00E87DBE"/>
    <w:rsid w:val="00EA7EF5"/>
    <w:rsid w:val="00EB7EEC"/>
    <w:rsid w:val="00EC0B78"/>
    <w:rsid w:val="00EC7C9C"/>
    <w:rsid w:val="00ED3D81"/>
    <w:rsid w:val="00EE61A4"/>
    <w:rsid w:val="00EF0E96"/>
    <w:rsid w:val="00EF28F3"/>
    <w:rsid w:val="00F00F20"/>
    <w:rsid w:val="00F255F0"/>
    <w:rsid w:val="00F27ECE"/>
    <w:rsid w:val="00F45B8B"/>
    <w:rsid w:val="00F54CC1"/>
    <w:rsid w:val="00F617C1"/>
    <w:rsid w:val="00F637A7"/>
    <w:rsid w:val="00F6687A"/>
    <w:rsid w:val="00F81474"/>
    <w:rsid w:val="00FA0476"/>
    <w:rsid w:val="00FA20A4"/>
    <w:rsid w:val="00FA59D0"/>
    <w:rsid w:val="00FA76C8"/>
    <w:rsid w:val="00FB2FD4"/>
    <w:rsid w:val="00FB5C67"/>
    <w:rsid w:val="00FB61CF"/>
    <w:rsid w:val="00FC01C2"/>
    <w:rsid w:val="00FC66B8"/>
    <w:rsid w:val="00FD01E8"/>
    <w:rsid w:val="00FE09AE"/>
    <w:rsid w:val="00FE43EB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40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5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66C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6C7C"/>
  </w:style>
  <w:style w:type="paragraph" w:styleId="a5">
    <w:name w:val="footer"/>
    <w:basedOn w:val="a"/>
    <w:link w:val="Char0"/>
    <w:uiPriority w:val="99"/>
    <w:unhideWhenUsed/>
    <w:rsid w:val="00966C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6C7C"/>
  </w:style>
  <w:style w:type="table" w:styleId="a6">
    <w:name w:val="Table Grid"/>
    <w:basedOn w:val="a1"/>
    <w:uiPriority w:val="39"/>
    <w:rsid w:val="008C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63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7163F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7163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163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7163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716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7716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75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2019-09-11T09:27:00Z</dcterms:created>
  <dcterms:modified xsi:type="dcterms:W3CDTF">2019-09-11T10:19:00Z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2C5pwmLwncjR</vt:lpwstr>
  </property>
</Properties>
</file>