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1B" w:rsidRPr="0083302C" w:rsidRDefault="003E4E1B" w:rsidP="003E4E1B">
      <w:pPr>
        <w:rPr>
          <w:rFonts w:ascii="Arial" w:eastAsia="Times New Roman,Arial" w:hAnsi="Arial" w:cs="Arial"/>
          <w:b/>
          <w:bCs/>
          <w:sz w:val="24"/>
          <w:szCs w:val="24"/>
        </w:rPr>
      </w:pPr>
      <w:bookmarkStart w:id="0" w:name="_GoBack"/>
      <w:bookmarkEnd w:id="0"/>
      <w:r w:rsidRPr="0083302C">
        <w:rPr>
          <w:rFonts w:ascii="Arial" w:eastAsia="Times New Roman,Arial" w:hAnsi="Arial" w:cs="Arial"/>
          <w:b/>
          <w:bCs/>
          <w:sz w:val="24"/>
          <w:szCs w:val="24"/>
        </w:rPr>
        <w:t xml:space="preserve">Supplemental Table 1: Multivariable and </w:t>
      </w:r>
      <w:proofErr w:type="spellStart"/>
      <w:r w:rsidRPr="0083302C">
        <w:rPr>
          <w:rFonts w:ascii="Arial" w:eastAsia="Times New Roman,Arial" w:hAnsi="Arial" w:cs="Arial"/>
          <w:b/>
          <w:bCs/>
          <w:sz w:val="24"/>
          <w:szCs w:val="24"/>
        </w:rPr>
        <w:t>bivariable</w:t>
      </w:r>
      <w:proofErr w:type="spellEnd"/>
      <w:r w:rsidRPr="0083302C">
        <w:rPr>
          <w:rFonts w:ascii="Arial" w:eastAsia="Times New Roman,Arial" w:hAnsi="Arial" w:cs="Arial"/>
          <w:b/>
          <w:bCs/>
          <w:sz w:val="24"/>
          <w:szCs w:val="24"/>
        </w:rPr>
        <w:t xml:space="preserve"> analyses evaluating the impact of age, gender, suspicion of IBS, management by gastroenterology, and choice of therapy on the hazard of discontinuing IBS-C/CIC therapy (reported in odds ratios with 95% confidence intervals)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874"/>
        <w:gridCol w:w="2287"/>
        <w:gridCol w:w="1835"/>
        <w:gridCol w:w="1912"/>
        <w:gridCol w:w="1442"/>
      </w:tblGrid>
      <w:tr w:rsidR="003E4E1B" w:rsidRPr="0083302C" w:rsidTr="00B04B38">
        <w:tc>
          <w:tcPr>
            <w:tcW w:w="1874" w:type="dxa"/>
            <w:vMerge w:val="restart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87" w:type="dxa"/>
            <w:vMerge w:val="restart"/>
          </w:tcPr>
          <w:p w:rsidR="003E4E1B" w:rsidRPr="0083302C" w:rsidRDefault="003E4E1B" w:rsidP="00B04B38">
            <w:pPr>
              <w:jc w:val="center"/>
              <w:rPr>
                <w:rFonts w:ascii="Arial" w:eastAsia="Times New Roman,Arial" w:hAnsi="Arial" w:cs="Arial"/>
                <w:b/>
                <w:bCs/>
                <w:sz w:val="24"/>
                <w:szCs w:val="24"/>
              </w:rPr>
            </w:pPr>
            <w:r w:rsidRPr="0083302C">
              <w:rPr>
                <w:rFonts w:ascii="Arial" w:eastAsia="Times New Roman,Arial" w:hAnsi="Arial" w:cs="Arial"/>
                <w:b/>
                <w:bCs/>
                <w:sz w:val="24"/>
                <w:szCs w:val="24"/>
              </w:rPr>
              <w:t>Combined multivariate model (n=1,612)</w:t>
            </w:r>
          </w:p>
          <w:p w:rsidR="003E4E1B" w:rsidRPr="0083302C" w:rsidRDefault="003E4E1B" w:rsidP="00B04B3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189" w:type="dxa"/>
            <w:gridSpan w:val="3"/>
          </w:tcPr>
          <w:p w:rsidR="003E4E1B" w:rsidRPr="0083302C" w:rsidRDefault="003E4E1B" w:rsidP="00B04B38">
            <w:pPr>
              <w:jc w:val="center"/>
              <w:rPr>
                <w:rFonts w:ascii="Arial" w:eastAsia="Times New Roman,Arial" w:hAnsi="Arial" w:cs="Arial"/>
                <w:b/>
                <w:bCs/>
                <w:sz w:val="24"/>
                <w:szCs w:val="24"/>
              </w:rPr>
            </w:pPr>
            <w:r w:rsidRPr="0083302C">
              <w:rPr>
                <w:rFonts w:ascii="Arial" w:eastAsia="Times New Roman,Arial" w:hAnsi="Arial" w:cs="Arial"/>
                <w:b/>
                <w:bCs/>
                <w:sz w:val="24"/>
                <w:szCs w:val="24"/>
              </w:rPr>
              <w:t>Bivariate analyses</w:t>
            </w:r>
          </w:p>
        </w:tc>
      </w:tr>
      <w:tr w:rsidR="003E4E1B" w:rsidRPr="0083302C" w:rsidTr="00B04B38">
        <w:tc>
          <w:tcPr>
            <w:tcW w:w="1874" w:type="dxa"/>
            <w:vMerge/>
          </w:tcPr>
          <w:p w:rsidR="003E4E1B" w:rsidRPr="0083302C" w:rsidRDefault="003E4E1B" w:rsidP="00B04B3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3E4E1B" w:rsidRPr="0083302C" w:rsidRDefault="003E4E1B" w:rsidP="00B04B3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b/>
                <w:bCs/>
                <w:sz w:val="24"/>
                <w:szCs w:val="24"/>
              </w:rPr>
            </w:pPr>
            <w:proofErr w:type="spellStart"/>
            <w:r w:rsidRPr="0083302C">
              <w:rPr>
                <w:rFonts w:ascii="Arial" w:eastAsia="Times New Roman,Arial" w:hAnsi="Arial" w:cs="Arial"/>
                <w:b/>
                <w:bCs/>
                <w:sz w:val="24"/>
                <w:szCs w:val="24"/>
              </w:rPr>
              <w:t>Lubiprostone</w:t>
            </w:r>
            <w:proofErr w:type="spellEnd"/>
            <w:r w:rsidRPr="0083302C">
              <w:rPr>
                <w:rFonts w:ascii="Arial" w:eastAsia="Times New Roman,Arial" w:hAnsi="Arial" w:cs="Arial"/>
                <w:b/>
                <w:bCs/>
                <w:sz w:val="24"/>
                <w:szCs w:val="24"/>
              </w:rPr>
              <w:t xml:space="preserve"> cohort (n=933)</w:t>
            </w:r>
          </w:p>
        </w:tc>
        <w:tc>
          <w:tcPr>
            <w:tcW w:w="1912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b/>
                <w:bCs/>
                <w:sz w:val="24"/>
                <w:szCs w:val="24"/>
              </w:rPr>
            </w:pPr>
            <w:proofErr w:type="spellStart"/>
            <w:r w:rsidRPr="0083302C">
              <w:rPr>
                <w:rFonts w:ascii="Arial" w:eastAsia="Times New Roman,Arial" w:hAnsi="Arial" w:cs="Arial"/>
                <w:b/>
                <w:bCs/>
                <w:sz w:val="24"/>
                <w:szCs w:val="24"/>
              </w:rPr>
              <w:t>Linaclotide</w:t>
            </w:r>
            <w:proofErr w:type="spellEnd"/>
            <w:r w:rsidRPr="0083302C">
              <w:rPr>
                <w:rFonts w:ascii="Arial" w:eastAsia="Times New Roman,Arial" w:hAnsi="Arial" w:cs="Arial"/>
                <w:b/>
                <w:bCs/>
                <w:sz w:val="24"/>
                <w:szCs w:val="24"/>
              </w:rPr>
              <w:t xml:space="preserve"> cohort (n=679)</w:t>
            </w:r>
          </w:p>
        </w:tc>
        <w:tc>
          <w:tcPr>
            <w:tcW w:w="1442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b/>
                <w:bCs/>
                <w:sz w:val="24"/>
                <w:szCs w:val="24"/>
              </w:rPr>
            </w:pPr>
            <w:r w:rsidRPr="0083302C">
              <w:rPr>
                <w:rFonts w:ascii="Arial" w:eastAsia="Times New Roman,Arial" w:hAnsi="Arial" w:cs="Arial"/>
                <w:b/>
                <w:bCs/>
                <w:sz w:val="24"/>
                <w:szCs w:val="24"/>
              </w:rPr>
              <w:t>Combined cohort (n=1,612)</w:t>
            </w:r>
          </w:p>
        </w:tc>
      </w:tr>
      <w:tr w:rsidR="003E4E1B" w:rsidRPr="0083302C" w:rsidTr="00B04B38">
        <w:trPr>
          <w:trHeight w:val="45"/>
        </w:trPr>
        <w:tc>
          <w:tcPr>
            <w:tcW w:w="9350" w:type="dxa"/>
            <w:gridSpan w:val="5"/>
          </w:tcPr>
          <w:p w:rsidR="003E4E1B" w:rsidRPr="0083302C" w:rsidRDefault="003E4E1B" w:rsidP="00B04B38">
            <w:pPr>
              <w:jc w:val="center"/>
              <w:rPr>
                <w:rFonts w:ascii="Arial" w:eastAsia="Times New Roman,Arial" w:hAnsi="Arial" w:cs="Arial"/>
                <w:bCs/>
                <w:i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bCs/>
                <w:i/>
                <w:sz w:val="20"/>
                <w:szCs w:val="20"/>
              </w:rPr>
              <w:t>Discontinuation for any reason</w:t>
            </w:r>
          </w:p>
        </w:tc>
      </w:tr>
      <w:tr w:rsidR="003E4E1B" w:rsidRPr="0083302C" w:rsidTr="00B04B38">
        <w:trPr>
          <w:trHeight w:val="45"/>
        </w:trPr>
        <w:tc>
          <w:tcPr>
            <w:tcW w:w="1874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 xml:space="preserve">Therapy with </w:t>
            </w:r>
            <w:proofErr w:type="spellStart"/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>linaclotide</w:t>
            </w:r>
            <w:proofErr w:type="spellEnd"/>
          </w:p>
          <w:p w:rsidR="003E4E1B" w:rsidRPr="0083302C" w:rsidRDefault="003E4E1B" w:rsidP="00B04B38">
            <w:pPr>
              <w:rPr>
                <w:rFonts w:ascii="Arial" w:eastAsia="Times New Roman,Arial" w:hAnsi="Arial" w:cs="Arial"/>
                <w:b/>
                <w:bCs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 xml:space="preserve">(reference therapy = </w:t>
            </w:r>
            <w:proofErr w:type="spellStart"/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>lubiprostone</w:t>
            </w:r>
            <w:proofErr w:type="spellEnd"/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>)</w:t>
            </w:r>
          </w:p>
        </w:tc>
        <w:tc>
          <w:tcPr>
            <w:tcW w:w="2287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b/>
                <w:bCs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b/>
                <w:bCs/>
                <w:sz w:val="20"/>
                <w:szCs w:val="20"/>
              </w:rPr>
              <w:t>0.644 (0.540 to 0.768) [p&lt;0.001]</w:t>
            </w:r>
          </w:p>
        </w:tc>
        <w:tc>
          <w:tcPr>
            <w:tcW w:w="3747" w:type="dxa"/>
            <w:gridSpan w:val="2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bCs/>
                <w:sz w:val="20"/>
                <w:szCs w:val="20"/>
              </w:rPr>
              <w:t>N/A</w:t>
            </w:r>
          </w:p>
        </w:tc>
        <w:tc>
          <w:tcPr>
            <w:tcW w:w="1442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b/>
                <w:bCs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b/>
                <w:bCs/>
                <w:sz w:val="20"/>
                <w:szCs w:val="20"/>
              </w:rPr>
              <w:t>0.598 (0.511 to 0.699) [p&lt;0.001]</w:t>
            </w:r>
          </w:p>
        </w:tc>
      </w:tr>
      <w:tr w:rsidR="003E4E1B" w:rsidRPr="0083302C" w:rsidTr="00B04B38">
        <w:tc>
          <w:tcPr>
            <w:tcW w:w="1874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>Age (years)</w:t>
            </w:r>
          </w:p>
        </w:tc>
        <w:tc>
          <w:tcPr>
            <w:tcW w:w="2287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>1.003 (0.999 to 1.008)</w:t>
            </w:r>
          </w:p>
        </w:tc>
        <w:tc>
          <w:tcPr>
            <w:tcW w:w="1835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>0.998 (0.992 to 1.004)</w:t>
            </w:r>
          </w:p>
        </w:tc>
        <w:tc>
          <w:tcPr>
            <w:tcW w:w="1912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b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b/>
                <w:sz w:val="20"/>
                <w:szCs w:val="20"/>
              </w:rPr>
              <w:t>1.010 (1.002 to 1.017) [p=0.01]</w:t>
            </w:r>
          </w:p>
        </w:tc>
        <w:tc>
          <w:tcPr>
            <w:tcW w:w="1442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>1.002 (0.997 to 1.007)</w:t>
            </w:r>
          </w:p>
        </w:tc>
      </w:tr>
      <w:tr w:rsidR="003E4E1B" w:rsidRPr="0083302C" w:rsidTr="00B04B38">
        <w:tc>
          <w:tcPr>
            <w:tcW w:w="1874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>Female</w:t>
            </w:r>
          </w:p>
        </w:tc>
        <w:tc>
          <w:tcPr>
            <w:tcW w:w="2287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>0.964 (0.778 to 1.195)</w:t>
            </w:r>
          </w:p>
        </w:tc>
        <w:tc>
          <w:tcPr>
            <w:tcW w:w="1835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bCs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bCs/>
                <w:sz w:val="20"/>
                <w:szCs w:val="20"/>
              </w:rPr>
              <w:t>1.017 (0.755 to 1.369)</w:t>
            </w:r>
          </w:p>
        </w:tc>
        <w:tc>
          <w:tcPr>
            <w:tcW w:w="1912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>0.902 (0.666 to 1.223)</w:t>
            </w:r>
          </w:p>
        </w:tc>
        <w:tc>
          <w:tcPr>
            <w:tcW w:w="1442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>0.996 (0.806 to 1.231)</w:t>
            </w:r>
          </w:p>
        </w:tc>
      </w:tr>
      <w:tr w:rsidR="003E4E1B" w:rsidRPr="0083302C" w:rsidTr="00B04B38">
        <w:tc>
          <w:tcPr>
            <w:tcW w:w="1874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>High suspicion for IBS</w:t>
            </w:r>
          </w:p>
        </w:tc>
        <w:tc>
          <w:tcPr>
            <w:tcW w:w="2287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b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b/>
                <w:sz w:val="20"/>
                <w:szCs w:val="20"/>
              </w:rPr>
              <w:t>1.361 (1.143 to 1.620) [p=0.001]</w:t>
            </w:r>
          </w:p>
        </w:tc>
        <w:tc>
          <w:tcPr>
            <w:tcW w:w="1835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b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b/>
                <w:sz w:val="20"/>
                <w:szCs w:val="20"/>
              </w:rPr>
              <w:t>1.527 (1.205 to 1.935) [p&lt;0.001]</w:t>
            </w:r>
          </w:p>
        </w:tc>
        <w:tc>
          <w:tcPr>
            <w:tcW w:w="1912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b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b/>
                <w:sz w:val="20"/>
                <w:szCs w:val="20"/>
              </w:rPr>
              <w:t>1.308 (1.015 to 1.684) [p=0.04]</w:t>
            </w:r>
          </w:p>
        </w:tc>
        <w:tc>
          <w:tcPr>
            <w:tcW w:w="1442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b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b/>
                <w:sz w:val="20"/>
                <w:szCs w:val="20"/>
              </w:rPr>
              <w:t>1.658 (1.422 to 1.934) [p&lt;0.001]</w:t>
            </w:r>
          </w:p>
        </w:tc>
      </w:tr>
      <w:tr w:rsidR="003E4E1B" w:rsidRPr="0083302C" w:rsidTr="00B04B38">
        <w:tc>
          <w:tcPr>
            <w:tcW w:w="1874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>Managed by gastroenterology</w:t>
            </w:r>
          </w:p>
        </w:tc>
        <w:tc>
          <w:tcPr>
            <w:tcW w:w="2287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>1.378 (0.983 to 1.932) p=0.06</w:t>
            </w:r>
          </w:p>
        </w:tc>
        <w:tc>
          <w:tcPr>
            <w:tcW w:w="1835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b/>
                <w:bCs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b/>
                <w:bCs/>
                <w:sz w:val="20"/>
                <w:szCs w:val="20"/>
              </w:rPr>
              <w:t>1.831 (1.090 to 3.076) [p=0.01]</w:t>
            </w:r>
          </w:p>
        </w:tc>
        <w:tc>
          <w:tcPr>
            <w:tcW w:w="1912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>1.065 (0.682 to 1.663)</w:t>
            </w:r>
          </w:p>
        </w:tc>
        <w:tc>
          <w:tcPr>
            <w:tcW w:w="1442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b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b/>
                <w:sz w:val="20"/>
                <w:szCs w:val="20"/>
              </w:rPr>
              <w:t>1.436 (1.025 to 2.011) [p=0.03]</w:t>
            </w:r>
          </w:p>
        </w:tc>
      </w:tr>
      <w:tr w:rsidR="003E4E1B" w:rsidRPr="0083302C" w:rsidTr="00B04B38">
        <w:tc>
          <w:tcPr>
            <w:tcW w:w="9350" w:type="dxa"/>
            <w:gridSpan w:val="5"/>
          </w:tcPr>
          <w:p w:rsidR="003E4E1B" w:rsidRPr="0083302C" w:rsidRDefault="003E4E1B" w:rsidP="00B04B38">
            <w:pPr>
              <w:jc w:val="center"/>
              <w:rPr>
                <w:rFonts w:ascii="Arial" w:eastAsia="Times New Roman,Arial" w:hAnsi="Arial" w:cs="Arial"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bCs/>
                <w:i/>
                <w:sz w:val="20"/>
                <w:szCs w:val="20"/>
              </w:rPr>
              <w:t>Discontinuation due to intolerance</w:t>
            </w:r>
          </w:p>
        </w:tc>
      </w:tr>
      <w:tr w:rsidR="003E4E1B" w:rsidRPr="0083302C" w:rsidTr="00B04B38">
        <w:tc>
          <w:tcPr>
            <w:tcW w:w="1874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 xml:space="preserve">Therapy with </w:t>
            </w:r>
            <w:proofErr w:type="spellStart"/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>linaclotide</w:t>
            </w:r>
            <w:proofErr w:type="spellEnd"/>
          </w:p>
          <w:p w:rsidR="003E4E1B" w:rsidRPr="0083302C" w:rsidRDefault="003E4E1B" w:rsidP="00B04B38">
            <w:pPr>
              <w:rPr>
                <w:rFonts w:ascii="Arial" w:eastAsia="Times New Roman,Arial" w:hAnsi="Arial" w:cs="Arial"/>
                <w:bCs/>
                <w:i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 xml:space="preserve">(reference therapy = </w:t>
            </w:r>
            <w:proofErr w:type="spellStart"/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>lubiprostone</w:t>
            </w:r>
            <w:proofErr w:type="spellEnd"/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>)</w:t>
            </w:r>
          </w:p>
        </w:tc>
        <w:tc>
          <w:tcPr>
            <w:tcW w:w="2287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b/>
                <w:bCs/>
                <w:sz w:val="20"/>
                <w:szCs w:val="20"/>
              </w:rPr>
              <w:t>1.926 (1.442 to 2.574) [p&lt;0.001]</w:t>
            </w:r>
          </w:p>
        </w:tc>
        <w:tc>
          <w:tcPr>
            <w:tcW w:w="3747" w:type="dxa"/>
            <w:gridSpan w:val="2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bCs/>
                <w:sz w:val="20"/>
                <w:szCs w:val="20"/>
              </w:rPr>
              <w:t>N/A</w:t>
            </w:r>
          </w:p>
        </w:tc>
        <w:tc>
          <w:tcPr>
            <w:tcW w:w="1442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b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b/>
                <w:sz w:val="20"/>
                <w:szCs w:val="20"/>
              </w:rPr>
              <w:t>1.796 (1.379 to 2.339) [p&lt;0.001]</w:t>
            </w:r>
          </w:p>
        </w:tc>
      </w:tr>
      <w:tr w:rsidR="003E4E1B" w:rsidRPr="0083302C" w:rsidTr="00B04B38">
        <w:tc>
          <w:tcPr>
            <w:tcW w:w="1874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>Age (years)</w:t>
            </w:r>
          </w:p>
        </w:tc>
        <w:tc>
          <w:tcPr>
            <w:tcW w:w="2287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b/>
                <w:bCs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>1.006 (0.998 to 1.014)</w:t>
            </w:r>
          </w:p>
        </w:tc>
        <w:tc>
          <w:tcPr>
            <w:tcW w:w="1835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bCs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bCs/>
                <w:sz w:val="20"/>
                <w:szCs w:val="20"/>
              </w:rPr>
              <w:t>1.005 (0.993 to 1.018)</w:t>
            </w:r>
          </w:p>
        </w:tc>
        <w:tc>
          <w:tcPr>
            <w:tcW w:w="1912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>1.005 (0.996 to 1.014)</w:t>
            </w:r>
          </w:p>
        </w:tc>
        <w:tc>
          <w:tcPr>
            <w:tcW w:w="1442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>1.005 (0.998 to 1.013)</w:t>
            </w:r>
          </w:p>
        </w:tc>
      </w:tr>
      <w:tr w:rsidR="003E4E1B" w:rsidRPr="0083302C" w:rsidTr="00B04B38">
        <w:tc>
          <w:tcPr>
            <w:tcW w:w="1874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>Female</w:t>
            </w:r>
          </w:p>
        </w:tc>
        <w:tc>
          <w:tcPr>
            <w:tcW w:w="2287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>1.197 (0.836 to 1.714)</w:t>
            </w:r>
          </w:p>
        </w:tc>
        <w:tc>
          <w:tcPr>
            <w:tcW w:w="1835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>1.649 (0.760 to 3.579)</w:t>
            </w:r>
          </w:p>
        </w:tc>
        <w:tc>
          <w:tcPr>
            <w:tcW w:w="1912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>1.107 (0.740 to 1.657)</w:t>
            </w:r>
          </w:p>
        </w:tc>
        <w:tc>
          <w:tcPr>
            <w:tcW w:w="1442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>1.188 (0.832 to 1.695)</w:t>
            </w:r>
          </w:p>
        </w:tc>
      </w:tr>
      <w:tr w:rsidR="003E4E1B" w:rsidRPr="0083302C" w:rsidTr="00B04B38">
        <w:tc>
          <w:tcPr>
            <w:tcW w:w="1874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>High suspicion for IBS</w:t>
            </w:r>
          </w:p>
        </w:tc>
        <w:tc>
          <w:tcPr>
            <w:tcW w:w="2287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b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b/>
                <w:sz w:val="20"/>
                <w:szCs w:val="20"/>
              </w:rPr>
              <w:t>1.311 (1.003 to 1.714) [p=0.047]</w:t>
            </w:r>
          </w:p>
        </w:tc>
        <w:tc>
          <w:tcPr>
            <w:tcW w:w="1835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bCs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bCs/>
                <w:sz w:val="20"/>
                <w:szCs w:val="20"/>
              </w:rPr>
              <w:t>1.525 (0.901 to 2.581)</w:t>
            </w:r>
          </w:p>
        </w:tc>
        <w:tc>
          <w:tcPr>
            <w:tcW w:w="1912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>1.302 (0.953 to 1.780)</w:t>
            </w:r>
          </w:p>
        </w:tc>
        <w:tc>
          <w:tcPr>
            <w:tcW w:w="1442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>1.059 (0.831 to 1.348)</w:t>
            </w:r>
          </w:p>
        </w:tc>
      </w:tr>
      <w:tr w:rsidR="003E4E1B" w:rsidRPr="0083302C" w:rsidTr="00B04B38">
        <w:tc>
          <w:tcPr>
            <w:tcW w:w="1874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>Initiated by gastroenterology</w:t>
            </w:r>
          </w:p>
        </w:tc>
        <w:tc>
          <w:tcPr>
            <w:tcW w:w="2287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>1.441 (0.839 to 2.479)</w:t>
            </w:r>
          </w:p>
        </w:tc>
        <w:tc>
          <w:tcPr>
            <w:tcW w:w="1835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bCs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bCs/>
                <w:sz w:val="20"/>
                <w:szCs w:val="20"/>
              </w:rPr>
              <w:t>1.751 (0.551 to 5.561)</w:t>
            </w:r>
          </w:p>
        </w:tc>
        <w:tc>
          <w:tcPr>
            <w:tcW w:w="1912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>1.365 (0.742 to 2.511)</w:t>
            </w:r>
          </w:p>
        </w:tc>
        <w:tc>
          <w:tcPr>
            <w:tcW w:w="1442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>1.441 (0.841 to 2.470)</w:t>
            </w:r>
          </w:p>
        </w:tc>
      </w:tr>
      <w:tr w:rsidR="003E4E1B" w:rsidRPr="0083302C" w:rsidTr="00B04B38">
        <w:tc>
          <w:tcPr>
            <w:tcW w:w="9350" w:type="dxa"/>
            <w:gridSpan w:val="5"/>
          </w:tcPr>
          <w:p w:rsidR="003E4E1B" w:rsidRPr="0083302C" w:rsidRDefault="003E4E1B" w:rsidP="00B04B38">
            <w:pPr>
              <w:jc w:val="center"/>
              <w:rPr>
                <w:rFonts w:ascii="Arial" w:eastAsia="Times New Roman,Arial" w:hAnsi="Arial" w:cs="Arial"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bCs/>
                <w:i/>
                <w:sz w:val="20"/>
                <w:szCs w:val="20"/>
              </w:rPr>
              <w:t>Discontinuation due to therapy ineffectiveness</w:t>
            </w:r>
          </w:p>
        </w:tc>
      </w:tr>
      <w:tr w:rsidR="003E4E1B" w:rsidRPr="0083302C" w:rsidTr="00B04B38">
        <w:tc>
          <w:tcPr>
            <w:tcW w:w="1874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 xml:space="preserve">Therapy with </w:t>
            </w:r>
            <w:proofErr w:type="spellStart"/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>linaclotide</w:t>
            </w:r>
            <w:proofErr w:type="spellEnd"/>
          </w:p>
          <w:p w:rsidR="003E4E1B" w:rsidRPr="0083302C" w:rsidRDefault="003E4E1B" w:rsidP="00B04B38">
            <w:pPr>
              <w:rPr>
                <w:rFonts w:ascii="Arial" w:eastAsia="Times New Roman,Arial" w:hAnsi="Arial" w:cs="Arial"/>
                <w:bCs/>
                <w:i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 xml:space="preserve">(reference therapy = </w:t>
            </w:r>
            <w:proofErr w:type="spellStart"/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>lubiprostone</w:t>
            </w:r>
            <w:proofErr w:type="spellEnd"/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>)</w:t>
            </w:r>
          </w:p>
        </w:tc>
        <w:tc>
          <w:tcPr>
            <w:tcW w:w="2287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b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b/>
                <w:sz w:val="20"/>
                <w:szCs w:val="20"/>
              </w:rPr>
              <w:t>0.565 (0.412 to 0.775) [p&lt;0.001]</w:t>
            </w:r>
          </w:p>
        </w:tc>
        <w:tc>
          <w:tcPr>
            <w:tcW w:w="3747" w:type="dxa"/>
            <w:gridSpan w:val="2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bCs/>
                <w:sz w:val="20"/>
                <w:szCs w:val="20"/>
              </w:rPr>
              <w:t>N/A</w:t>
            </w:r>
          </w:p>
        </w:tc>
        <w:tc>
          <w:tcPr>
            <w:tcW w:w="1442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b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b/>
                <w:sz w:val="20"/>
                <w:szCs w:val="20"/>
              </w:rPr>
              <w:t>0.520 (0.392 to 0.690) [p&lt;0.001]</w:t>
            </w:r>
          </w:p>
        </w:tc>
      </w:tr>
      <w:tr w:rsidR="003E4E1B" w:rsidRPr="0083302C" w:rsidTr="00B04B38">
        <w:tc>
          <w:tcPr>
            <w:tcW w:w="1874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>Age (years)</w:t>
            </w:r>
          </w:p>
        </w:tc>
        <w:tc>
          <w:tcPr>
            <w:tcW w:w="2287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b/>
                <w:bCs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b/>
                <w:sz w:val="20"/>
                <w:szCs w:val="20"/>
              </w:rPr>
              <w:t>1.010 (1.002 to 1.019) [p=0.02]</w:t>
            </w:r>
          </w:p>
        </w:tc>
        <w:tc>
          <w:tcPr>
            <w:tcW w:w="1835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bCs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bCs/>
                <w:sz w:val="20"/>
                <w:szCs w:val="20"/>
              </w:rPr>
              <w:t>1.001 (0.991 to 1.011)</w:t>
            </w:r>
          </w:p>
        </w:tc>
        <w:tc>
          <w:tcPr>
            <w:tcW w:w="1912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b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b/>
                <w:sz w:val="20"/>
                <w:szCs w:val="20"/>
              </w:rPr>
              <w:t>1.026 (1.011 to 1.040) [p&lt;0.001]</w:t>
            </w:r>
          </w:p>
        </w:tc>
        <w:tc>
          <w:tcPr>
            <w:tcW w:w="1442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b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b/>
                <w:sz w:val="20"/>
                <w:szCs w:val="20"/>
              </w:rPr>
              <w:t>1.009 (1.001 to 1.018) [p=0.03]</w:t>
            </w:r>
          </w:p>
        </w:tc>
      </w:tr>
      <w:tr w:rsidR="003E4E1B" w:rsidRPr="0083302C" w:rsidTr="00B04B38">
        <w:tc>
          <w:tcPr>
            <w:tcW w:w="1874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>Female</w:t>
            </w:r>
          </w:p>
        </w:tc>
        <w:tc>
          <w:tcPr>
            <w:tcW w:w="2287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>1.020 (0.687 to 1.513)</w:t>
            </w:r>
          </w:p>
        </w:tc>
        <w:tc>
          <w:tcPr>
            <w:tcW w:w="1835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>1.461 (0.807 to 2.648)</w:t>
            </w:r>
          </w:p>
        </w:tc>
        <w:tc>
          <w:tcPr>
            <w:tcW w:w="1912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>0.694 (0.410 to 1.173)</w:t>
            </w:r>
          </w:p>
        </w:tc>
        <w:tc>
          <w:tcPr>
            <w:tcW w:w="1442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>1.049 (0.712 to 1.544)</w:t>
            </w:r>
          </w:p>
        </w:tc>
      </w:tr>
      <w:tr w:rsidR="003E4E1B" w:rsidRPr="0083302C" w:rsidTr="00B04B38">
        <w:tc>
          <w:tcPr>
            <w:tcW w:w="1874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>High suspicion for IBS</w:t>
            </w:r>
          </w:p>
        </w:tc>
        <w:tc>
          <w:tcPr>
            <w:tcW w:w="2287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b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b/>
                <w:sz w:val="20"/>
                <w:szCs w:val="20"/>
              </w:rPr>
              <w:t>1.501 (1.098 to 2.053) [p=0.01]</w:t>
            </w:r>
          </w:p>
        </w:tc>
        <w:tc>
          <w:tcPr>
            <w:tcW w:w="1835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b/>
                <w:bCs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b/>
                <w:bCs/>
                <w:sz w:val="20"/>
                <w:szCs w:val="20"/>
              </w:rPr>
              <w:t>1.747 (1.144 to 2.666) [p&lt;0.001]</w:t>
            </w:r>
          </w:p>
        </w:tc>
        <w:tc>
          <w:tcPr>
            <w:tcW w:w="1912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>1.392 (0.873 to 2.221)</w:t>
            </w:r>
          </w:p>
        </w:tc>
        <w:tc>
          <w:tcPr>
            <w:tcW w:w="1442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>1.902 (1.440 to 2.513)</w:t>
            </w:r>
          </w:p>
        </w:tc>
      </w:tr>
      <w:tr w:rsidR="003E4E1B" w:rsidRPr="0083302C" w:rsidTr="00B04B38">
        <w:tc>
          <w:tcPr>
            <w:tcW w:w="1874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>Initiated by gastroenterology</w:t>
            </w:r>
          </w:p>
        </w:tc>
        <w:tc>
          <w:tcPr>
            <w:tcW w:w="2287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>2.012 (0.989 to 4.092) [p=0.054]</w:t>
            </w:r>
          </w:p>
        </w:tc>
        <w:tc>
          <w:tcPr>
            <w:tcW w:w="1835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b/>
                <w:bCs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b/>
                <w:bCs/>
                <w:sz w:val="20"/>
                <w:szCs w:val="20"/>
              </w:rPr>
              <w:t>3.196 (1.013 to 10.079) [p=0.02]</w:t>
            </w:r>
          </w:p>
        </w:tc>
        <w:tc>
          <w:tcPr>
            <w:tcW w:w="1912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sz w:val="20"/>
                <w:szCs w:val="20"/>
              </w:rPr>
              <w:t>1.284 (0.519 to 3.179)</w:t>
            </w:r>
          </w:p>
        </w:tc>
        <w:tc>
          <w:tcPr>
            <w:tcW w:w="1442" w:type="dxa"/>
          </w:tcPr>
          <w:p w:rsidR="003E4E1B" w:rsidRPr="0083302C" w:rsidRDefault="003E4E1B" w:rsidP="00B04B38">
            <w:pPr>
              <w:rPr>
                <w:rFonts w:ascii="Arial" w:eastAsia="Times New Roman,Arial" w:hAnsi="Arial" w:cs="Arial"/>
                <w:b/>
                <w:sz w:val="20"/>
                <w:szCs w:val="20"/>
              </w:rPr>
            </w:pPr>
            <w:r w:rsidRPr="0083302C">
              <w:rPr>
                <w:rFonts w:ascii="Arial" w:eastAsia="Times New Roman,Arial" w:hAnsi="Arial" w:cs="Arial"/>
                <w:b/>
                <w:sz w:val="20"/>
                <w:szCs w:val="20"/>
              </w:rPr>
              <w:t>2.079 (1.024 to 4.222) [p=0.02]</w:t>
            </w:r>
          </w:p>
        </w:tc>
      </w:tr>
    </w:tbl>
    <w:p w:rsidR="003E4E1B" w:rsidRPr="0083302C" w:rsidRDefault="003E4E1B" w:rsidP="003E4E1B">
      <w:pPr>
        <w:rPr>
          <w:rFonts w:ascii="Arial" w:eastAsia="Arial" w:hAnsi="Arial" w:cs="Arial"/>
          <w:sz w:val="24"/>
          <w:szCs w:val="24"/>
        </w:rPr>
      </w:pPr>
    </w:p>
    <w:p w:rsidR="003E4E1B" w:rsidRPr="0083302C" w:rsidRDefault="003E4E1B" w:rsidP="003E4E1B">
      <w:pPr>
        <w:rPr>
          <w:rFonts w:ascii="Arial" w:eastAsia="Arial" w:hAnsi="Arial" w:cs="Arial"/>
          <w:sz w:val="24"/>
          <w:szCs w:val="24"/>
        </w:rPr>
      </w:pPr>
      <w:r w:rsidRPr="0083302C">
        <w:rPr>
          <w:rFonts w:ascii="Arial" w:eastAsia="Arial" w:hAnsi="Arial" w:cs="Arial"/>
          <w:sz w:val="24"/>
          <w:szCs w:val="24"/>
        </w:rPr>
        <w:br w:type="page"/>
      </w:r>
    </w:p>
    <w:p w:rsidR="003E4E1B" w:rsidRPr="0083302C" w:rsidRDefault="003E4E1B" w:rsidP="003E4E1B">
      <w:pPr>
        <w:rPr>
          <w:rFonts w:ascii="Arial" w:hAnsi="Arial" w:cs="Arial"/>
          <w:b/>
          <w:sz w:val="24"/>
          <w:szCs w:val="24"/>
        </w:rPr>
      </w:pPr>
      <w:r w:rsidRPr="0083302C">
        <w:rPr>
          <w:rFonts w:ascii="Arial" w:hAnsi="Arial" w:cs="Arial"/>
          <w:b/>
          <w:sz w:val="24"/>
          <w:szCs w:val="24"/>
        </w:rPr>
        <w:lastRenderedPageBreak/>
        <w:t xml:space="preserve">Supplement Table 2. Comparison of baseline demographics between patients who did or did not discontinue </w:t>
      </w:r>
      <w:proofErr w:type="spellStart"/>
      <w:r w:rsidRPr="0083302C">
        <w:rPr>
          <w:rFonts w:ascii="Arial" w:hAnsi="Arial" w:cs="Arial"/>
          <w:b/>
          <w:sz w:val="24"/>
          <w:szCs w:val="24"/>
        </w:rPr>
        <w:t>lubiprostone</w:t>
      </w:r>
      <w:proofErr w:type="spellEnd"/>
      <w:r w:rsidRPr="0083302C">
        <w:rPr>
          <w:rFonts w:ascii="Arial" w:hAnsi="Arial" w:cs="Arial"/>
          <w:b/>
          <w:sz w:val="24"/>
          <w:szCs w:val="24"/>
        </w:rPr>
        <w:t xml:space="preserve"> or </w:t>
      </w:r>
      <w:proofErr w:type="spellStart"/>
      <w:r w:rsidRPr="0083302C">
        <w:rPr>
          <w:rFonts w:ascii="Arial" w:hAnsi="Arial" w:cs="Arial"/>
          <w:b/>
          <w:sz w:val="24"/>
          <w:szCs w:val="24"/>
        </w:rPr>
        <w:t>linaclotide</w:t>
      </w:r>
      <w:proofErr w:type="spellEnd"/>
      <w:r w:rsidRPr="0083302C">
        <w:rPr>
          <w:rFonts w:ascii="Arial" w:hAnsi="Arial" w:cs="Arial"/>
          <w:b/>
          <w:sz w:val="24"/>
          <w:szCs w:val="24"/>
        </w:rPr>
        <w:t xml:space="preserve"> within three months or one year of initiating therapy</w:t>
      </w:r>
    </w:p>
    <w:p w:rsidR="003E4E1B" w:rsidRPr="0083302C" w:rsidRDefault="003E4E1B" w:rsidP="003E4E1B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6"/>
        <w:gridCol w:w="2496"/>
        <w:gridCol w:w="2419"/>
        <w:gridCol w:w="2069"/>
      </w:tblGrid>
      <w:tr w:rsidR="003E4E1B" w:rsidRPr="0083302C" w:rsidTr="00B04B38">
        <w:tc>
          <w:tcPr>
            <w:tcW w:w="2366" w:type="dxa"/>
          </w:tcPr>
          <w:p w:rsidR="003E4E1B" w:rsidRPr="0083302C" w:rsidRDefault="003E4E1B" w:rsidP="00B04B38">
            <w:pPr>
              <w:rPr>
                <w:rFonts w:ascii="Arial" w:hAnsi="Arial" w:cs="Arial"/>
                <w:sz w:val="24"/>
                <w:szCs w:val="24"/>
              </w:rPr>
            </w:pPr>
            <w:r w:rsidRPr="0083302C">
              <w:rPr>
                <w:rFonts w:ascii="Arial" w:hAnsi="Arial" w:cs="Arial"/>
                <w:sz w:val="24"/>
                <w:szCs w:val="24"/>
              </w:rPr>
              <w:t>Characteristic</w:t>
            </w:r>
          </w:p>
        </w:tc>
        <w:tc>
          <w:tcPr>
            <w:tcW w:w="2496" w:type="dxa"/>
          </w:tcPr>
          <w:p w:rsidR="003E4E1B" w:rsidRPr="0083302C" w:rsidRDefault="003E4E1B" w:rsidP="00B04B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:rsidR="003E4E1B" w:rsidRPr="0083302C" w:rsidRDefault="003E4E1B" w:rsidP="00B04B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3E4E1B" w:rsidRPr="0083302C" w:rsidRDefault="003E4E1B" w:rsidP="00B04B38">
            <w:pPr>
              <w:rPr>
                <w:rFonts w:ascii="Arial" w:hAnsi="Arial" w:cs="Arial"/>
                <w:sz w:val="24"/>
                <w:szCs w:val="24"/>
              </w:rPr>
            </w:pPr>
            <w:r w:rsidRPr="0083302C">
              <w:rPr>
                <w:rFonts w:ascii="Arial" w:hAnsi="Arial" w:cs="Arial"/>
                <w:sz w:val="24"/>
                <w:szCs w:val="24"/>
              </w:rPr>
              <w:t>p-value</w:t>
            </w:r>
          </w:p>
        </w:tc>
      </w:tr>
      <w:tr w:rsidR="003E4E1B" w:rsidRPr="0083302C" w:rsidTr="00B04B38">
        <w:tc>
          <w:tcPr>
            <w:tcW w:w="2366" w:type="dxa"/>
          </w:tcPr>
          <w:p w:rsidR="003E4E1B" w:rsidRPr="0083302C" w:rsidRDefault="003E4E1B" w:rsidP="00B04B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6" w:type="dxa"/>
          </w:tcPr>
          <w:p w:rsidR="003E4E1B" w:rsidRPr="0083302C" w:rsidRDefault="003E4E1B" w:rsidP="00B04B38">
            <w:pPr>
              <w:rPr>
                <w:rFonts w:ascii="Arial" w:hAnsi="Arial" w:cs="Arial"/>
                <w:sz w:val="24"/>
                <w:szCs w:val="24"/>
              </w:rPr>
            </w:pPr>
            <w:r w:rsidRPr="0083302C">
              <w:rPr>
                <w:rFonts w:ascii="Arial" w:hAnsi="Arial" w:cs="Arial"/>
                <w:sz w:val="24"/>
                <w:szCs w:val="24"/>
              </w:rPr>
              <w:t>Discontinuation within 3 months (n=285)</w:t>
            </w:r>
          </w:p>
        </w:tc>
        <w:tc>
          <w:tcPr>
            <w:tcW w:w="2419" w:type="dxa"/>
          </w:tcPr>
          <w:p w:rsidR="003E4E1B" w:rsidRPr="0083302C" w:rsidRDefault="003E4E1B" w:rsidP="00B04B38">
            <w:pPr>
              <w:rPr>
                <w:rFonts w:ascii="Arial" w:hAnsi="Arial" w:cs="Arial"/>
                <w:sz w:val="24"/>
                <w:szCs w:val="24"/>
              </w:rPr>
            </w:pPr>
            <w:r w:rsidRPr="0083302C">
              <w:rPr>
                <w:rFonts w:ascii="Arial" w:hAnsi="Arial" w:cs="Arial"/>
                <w:sz w:val="24"/>
                <w:szCs w:val="24"/>
              </w:rPr>
              <w:t>Continuing beyond 3 months (n=1,327)</w:t>
            </w:r>
          </w:p>
        </w:tc>
        <w:tc>
          <w:tcPr>
            <w:tcW w:w="2069" w:type="dxa"/>
          </w:tcPr>
          <w:p w:rsidR="003E4E1B" w:rsidRPr="0083302C" w:rsidRDefault="003E4E1B" w:rsidP="00B04B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4E1B" w:rsidRPr="0083302C" w:rsidTr="00B04B38">
        <w:tc>
          <w:tcPr>
            <w:tcW w:w="2366" w:type="dxa"/>
          </w:tcPr>
          <w:p w:rsidR="003E4E1B" w:rsidRPr="0083302C" w:rsidRDefault="003E4E1B" w:rsidP="00B04B38">
            <w:pPr>
              <w:rPr>
                <w:rFonts w:ascii="Arial" w:hAnsi="Arial" w:cs="Arial"/>
                <w:sz w:val="24"/>
                <w:szCs w:val="24"/>
              </w:rPr>
            </w:pPr>
            <w:r w:rsidRPr="0083302C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2496" w:type="dxa"/>
          </w:tcPr>
          <w:p w:rsidR="003E4E1B" w:rsidRPr="0083302C" w:rsidRDefault="003E4E1B" w:rsidP="00B04B38">
            <w:pPr>
              <w:rPr>
                <w:rFonts w:ascii="Arial" w:hAnsi="Arial" w:cs="Arial"/>
                <w:sz w:val="24"/>
                <w:szCs w:val="24"/>
              </w:rPr>
            </w:pPr>
            <w:r w:rsidRPr="0083302C">
              <w:rPr>
                <w:rFonts w:ascii="Arial" w:hAnsi="Arial" w:cs="Arial"/>
                <w:sz w:val="24"/>
                <w:szCs w:val="24"/>
              </w:rPr>
              <w:t>49.9 years (SD=18.5)</w:t>
            </w:r>
          </w:p>
        </w:tc>
        <w:tc>
          <w:tcPr>
            <w:tcW w:w="2419" w:type="dxa"/>
          </w:tcPr>
          <w:p w:rsidR="003E4E1B" w:rsidRPr="0083302C" w:rsidRDefault="003E4E1B" w:rsidP="00B04B38">
            <w:pPr>
              <w:rPr>
                <w:rFonts w:ascii="Arial" w:hAnsi="Arial" w:cs="Arial"/>
                <w:sz w:val="24"/>
                <w:szCs w:val="24"/>
              </w:rPr>
            </w:pPr>
            <w:r w:rsidRPr="0083302C">
              <w:rPr>
                <w:rFonts w:ascii="Arial" w:hAnsi="Arial" w:cs="Arial"/>
                <w:sz w:val="24"/>
                <w:szCs w:val="24"/>
              </w:rPr>
              <w:t>49.2 years (SD=16.7)</w:t>
            </w:r>
          </w:p>
        </w:tc>
        <w:tc>
          <w:tcPr>
            <w:tcW w:w="2069" w:type="dxa"/>
          </w:tcPr>
          <w:p w:rsidR="003E4E1B" w:rsidRPr="0083302C" w:rsidRDefault="003E4E1B" w:rsidP="00B04B38">
            <w:pPr>
              <w:rPr>
                <w:rFonts w:ascii="Arial" w:hAnsi="Arial" w:cs="Arial"/>
                <w:sz w:val="24"/>
                <w:szCs w:val="24"/>
              </w:rPr>
            </w:pPr>
            <w:r w:rsidRPr="0083302C">
              <w:rPr>
                <w:rFonts w:ascii="Arial" w:hAnsi="Arial" w:cs="Arial"/>
                <w:sz w:val="24"/>
                <w:szCs w:val="24"/>
              </w:rPr>
              <w:t>p=0.51</w:t>
            </w:r>
          </w:p>
        </w:tc>
      </w:tr>
      <w:tr w:rsidR="003E4E1B" w:rsidRPr="0083302C" w:rsidTr="00B04B38">
        <w:tc>
          <w:tcPr>
            <w:tcW w:w="2366" w:type="dxa"/>
          </w:tcPr>
          <w:p w:rsidR="003E4E1B" w:rsidRPr="0083302C" w:rsidRDefault="003E4E1B" w:rsidP="00B04B38">
            <w:pPr>
              <w:rPr>
                <w:rFonts w:ascii="Arial" w:hAnsi="Arial" w:cs="Arial"/>
                <w:sz w:val="24"/>
                <w:szCs w:val="24"/>
              </w:rPr>
            </w:pPr>
            <w:r w:rsidRPr="0083302C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2496" w:type="dxa"/>
          </w:tcPr>
          <w:p w:rsidR="003E4E1B" w:rsidRPr="0083302C" w:rsidRDefault="003E4E1B" w:rsidP="00B04B38">
            <w:pPr>
              <w:rPr>
                <w:rFonts w:ascii="Arial" w:hAnsi="Arial" w:cs="Arial"/>
                <w:sz w:val="24"/>
                <w:szCs w:val="24"/>
              </w:rPr>
            </w:pPr>
            <w:r w:rsidRPr="0083302C">
              <w:rPr>
                <w:rFonts w:ascii="Arial" w:hAnsi="Arial" w:cs="Arial"/>
                <w:sz w:val="24"/>
                <w:szCs w:val="24"/>
              </w:rPr>
              <w:t>229/285 (80.4%)</w:t>
            </w:r>
          </w:p>
        </w:tc>
        <w:tc>
          <w:tcPr>
            <w:tcW w:w="2419" w:type="dxa"/>
          </w:tcPr>
          <w:p w:rsidR="003E4E1B" w:rsidRPr="0083302C" w:rsidRDefault="003E4E1B" w:rsidP="00B04B38">
            <w:pPr>
              <w:rPr>
                <w:rFonts w:ascii="Arial" w:hAnsi="Arial" w:cs="Arial"/>
                <w:sz w:val="24"/>
                <w:szCs w:val="24"/>
              </w:rPr>
            </w:pPr>
            <w:r w:rsidRPr="0083302C">
              <w:rPr>
                <w:rFonts w:ascii="Arial" w:hAnsi="Arial" w:cs="Arial"/>
                <w:sz w:val="24"/>
                <w:szCs w:val="24"/>
              </w:rPr>
              <w:t>1,117/1,327 (84.2%)</w:t>
            </w:r>
          </w:p>
        </w:tc>
        <w:tc>
          <w:tcPr>
            <w:tcW w:w="2069" w:type="dxa"/>
          </w:tcPr>
          <w:p w:rsidR="003E4E1B" w:rsidRPr="0083302C" w:rsidRDefault="003E4E1B" w:rsidP="00B04B38">
            <w:pPr>
              <w:rPr>
                <w:rFonts w:ascii="Arial" w:hAnsi="Arial" w:cs="Arial"/>
                <w:sz w:val="24"/>
                <w:szCs w:val="24"/>
              </w:rPr>
            </w:pPr>
            <w:r w:rsidRPr="0083302C">
              <w:rPr>
                <w:rFonts w:ascii="Arial" w:hAnsi="Arial" w:cs="Arial"/>
                <w:sz w:val="24"/>
                <w:szCs w:val="24"/>
              </w:rPr>
              <w:t>p=0.12</w:t>
            </w:r>
          </w:p>
        </w:tc>
      </w:tr>
      <w:tr w:rsidR="003E4E1B" w:rsidRPr="0083302C" w:rsidTr="00B04B38">
        <w:tc>
          <w:tcPr>
            <w:tcW w:w="2366" w:type="dxa"/>
          </w:tcPr>
          <w:p w:rsidR="003E4E1B" w:rsidRPr="0083302C" w:rsidRDefault="003E4E1B" w:rsidP="00B04B38">
            <w:pPr>
              <w:rPr>
                <w:rFonts w:ascii="Arial" w:hAnsi="Arial" w:cs="Arial"/>
                <w:sz w:val="24"/>
                <w:szCs w:val="24"/>
              </w:rPr>
            </w:pPr>
            <w:r w:rsidRPr="0083302C">
              <w:rPr>
                <w:rFonts w:ascii="Arial" w:hAnsi="Arial" w:cs="Arial"/>
                <w:sz w:val="24"/>
                <w:szCs w:val="24"/>
              </w:rPr>
              <w:t>High suspicion of IBS (based on ICD-9 coding)</w:t>
            </w:r>
          </w:p>
        </w:tc>
        <w:tc>
          <w:tcPr>
            <w:tcW w:w="2496" w:type="dxa"/>
          </w:tcPr>
          <w:p w:rsidR="003E4E1B" w:rsidRPr="0083302C" w:rsidRDefault="003E4E1B" w:rsidP="00B04B38">
            <w:pPr>
              <w:rPr>
                <w:rFonts w:ascii="Arial" w:hAnsi="Arial" w:cs="Arial"/>
                <w:sz w:val="24"/>
                <w:szCs w:val="24"/>
              </w:rPr>
            </w:pPr>
            <w:r w:rsidRPr="0083302C">
              <w:rPr>
                <w:rFonts w:ascii="Arial" w:hAnsi="Arial" w:cs="Arial"/>
                <w:sz w:val="24"/>
                <w:szCs w:val="24"/>
              </w:rPr>
              <w:t>552/1,327 (41.6%)</w:t>
            </w:r>
          </w:p>
        </w:tc>
        <w:tc>
          <w:tcPr>
            <w:tcW w:w="2419" w:type="dxa"/>
          </w:tcPr>
          <w:p w:rsidR="003E4E1B" w:rsidRPr="0083302C" w:rsidRDefault="003E4E1B" w:rsidP="00B04B38">
            <w:pPr>
              <w:rPr>
                <w:rFonts w:ascii="Arial" w:hAnsi="Arial" w:cs="Arial"/>
                <w:sz w:val="24"/>
                <w:szCs w:val="24"/>
              </w:rPr>
            </w:pPr>
            <w:r w:rsidRPr="0083302C">
              <w:rPr>
                <w:rFonts w:ascii="Arial" w:hAnsi="Arial" w:cs="Arial"/>
                <w:sz w:val="24"/>
                <w:szCs w:val="24"/>
              </w:rPr>
              <w:t>165/285 (57.9%)</w:t>
            </w:r>
          </w:p>
        </w:tc>
        <w:tc>
          <w:tcPr>
            <w:tcW w:w="2069" w:type="dxa"/>
          </w:tcPr>
          <w:p w:rsidR="003E4E1B" w:rsidRPr="0083302C" w:rsidRDefault="003E4E1B" w:rsidP="00B04B38">
            <w:pPr>
              <w:rPr>
                <w:rFonts w:ascii="Arial" w:hAnsi="Arial" w:cs="Arial"/>
                <w:sz w:val="24"/>
                <w:szCs w:val="24"/>
              </w:rPr>
            </w:pPr>
            <w:r w:rsidRPr="0083302C">
              <w:rPr>
                <w:rFonts w:ascii="Arial" w:hAnsi="Arial" w:cs="Arial"/>
                <w:sz w:val="24"/>
                <w:szCs w:val="24"/>
              </w:rPr>
              <w:t>p&lt;0.001</w:t>
            </w:r>
          </w:p>
        </w:tc>
      </w:tr>
      <w:tr w:rsidR="003E4E1B" w:rsidRPr="0083302C" w:rsidTr="00B04B38">
        <w:tc>
          <w:tcPr>
            <w:tcW w:w="2366" w:type="dxa"/>
          </w:tcPr>
          <w:p w:rsidR="003E4E1B" w:rsidRPr="0083302C" w:rsidRDefault="003E4E1B" w:rsidP="00B04B38">
            <w:pPr>
              <w:rPr>
                <w:rFonts w:ascii="Arial" w:hAnsi="Arial" w:cs="Arial"/>
                <w:sz w:val="24"/>
                <w:szCs w:val="24"/>
              </w:rPr>
            </w:pPr>
            <w:r w:rsidRPr="0083302C">
              <w:rPr>
                <w:rFonts w:ascii="Arial" w:hAnsi="Arial" w:cs="Arial"/>
                <w:sz w:val="24"/>
                <w:szCs w:val="24"/>
              </w:rPr>
              <w:t>Managed by gastroenterology</w:t>
            </w:r>
          </w:p>
        </w:tc>
        <w:tc>
          <w:tcPr>
            <w:tcW w:w="2496" w:type="dxa"/>
          </w:tcPr>
          <w:p w:rsidR="003E4E1B" w:rsidRPr="0083302C" w:rsidRDefault="003E4E1B" w:rsidP="00B04B38">
            <w:pPr>
              <w:rPr>
                <w:rFonts w:ascii="Arial" w:hAnsi="Arial" w:cs="Arial"/>
                <w:sz w:val="24"/>
                <w:szCs w:val="24"/>
              </w:rPr>
            </w:pPr>
            <w:r w:rsidRPr="0083302C">
              <w:rPr>
                <w:rFonts w:ascii="Arial" w:hAnsi="Arial" w:cs="Arial"/>
                <w:sz w:val="24"/>
                <w:szCs w:val="24"/>
              </w:rPr>
              <w:t>263/285 (93.6%)</w:t>
            </w:r>
          </w:p>
        </w:tc>
        <w:tc>
          <w:tcPr>
            <w:tcW w:w="2419" w:type="dxa"/>
          </w:tcPr>
          <w:p w:rsidR="003E4E1B" w:rsidRPr="0083302C" w:rsidRDefault="003E4E1B" w:rsidP="00B04B38">
            <w:pPr>
              <w:rPr>
                <w:rFonts w:ascii="Arial" w:hAnsi="Arial" w:cs="Arial"/>
                <w:sz w:val="24"/>
                <w:szCs w:val="24"/>
              </w:rPr>
            </w:pPr>
            <w:r w:rsidRPr="0083302C">
              <w:rPr>
                <w:rFonts w:ascii="Arial" w:hAnsi="Arial" w:cs="Arial"/>
                <w:sz w:val="24"/>
                <w:szCs w:val="24"/>
              </w:rPr>
              <w:t>1,157/1,327 (92.7%)</w:t>
            </w:r>
          </w:p>
        </w:tc>
        <w:tc>
          <w:tcPr>
            <w:tcW w:w="2069" w:type="dxa"/>
          </w:tcPr>
          <w:p w:rsidR="003E4E1B" w:rsidRPr="0083302C" w:rsidRDefault="003E4E1B" w:rsidP="00B04B38">
            <w:pPr>
              <w:rPr>
                <w:rFonts w:ascii="Arial" w:hAnsi="Arial" w:cs="Arial"/>
                <w:sz w:val="24"/>
                <w:szCs w:val="24"/>
              </w:rPr>
            </w:pPr>
            <w:r w:rsidRPr="0083302C">
              <w:rPr>
                <w:rFonts w:ascii="Arial" w:hAnsi="Arial" w:cs="Arial"/>
                <w:sz w:val="24"/>
                <w:szCs w:val="24"/>
              </w:rPr>
              <w:t>p=0.60</w:t>
            </w:r>
          </w:p>
        </w:tc>
      </w:tr>
      <w:tr w:rsidR="003E4E1B" w:rsidRPr="0083302C" w:rsidTr="00B04B38">
        <w:tc>
          <w:tcPr>
            <w:tcW w:w="2366" w:type="dxa"/>
          </w:tcPr>
          <w:p w:rsidR="003E4E1B" w:rsidRPr="0083302C" w:rsidRDefault="003E4E1B" w:rsidP="00B04B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6" w:type="dxa"/>
          </w:tcPr>
          <w:p w:rsidR="003E4E1B" w:rsidRPr="0083302C" w:rsidRDefault="003E4E1B" w:rsidP="00B04B38">
            <w:pPr>
              <w:rPr>
                <w:rFonts w:ascii="Arial" w:hAnsi="Arial" w:cs="Arial"/>
                <w:sz w:val="24"/>
                <w:szCs w:val="24"/>
              </w:rPr>
            </w:pPr>
            <w:r w:rsidRPr="0083302C">
              <w:rPr>
                <w:rFonts w:ascii="Arial" w:hAnsi="Arial" w:cs="Arial"/>
                <w:sz w:val="24"/>
                <w:szCs w:val="24"/>
              </w:rPr>
              <w:t>Discontinuation within one year (n=516)</w:t>
            </w:r>
          </w:p>
        </w:tc>
        <w:tc>
          <w:tcPr>
            <w:tcW w:w="2419" w:type="dxa"/>
          </w:tcPr>
          <w:p w:rsidR="003E4E1B" w:rsidRPr="0083302C" w:rsidRDefault="003E4E1B" w:rsidP="00B04B38">
            <w:pPr>
              <w:rPr>
                <w:rFonts w:ascii="Arial" w:hAnsi="Arial" w:cs="Arial"/>
                <w:sz w:val="24"/>
                <w:szCs w:val="24"/>
              </w:rPr>
            </w:pPr>
            <w:r w:rsidRPr="0083302C">
              <w:rPr>
                <w:rFonts w:ascii="Arial" w:hAnsi="Arial" w:cs="Arial"/>
                <w:sz w:val="24"/>
                <w:szCs w:val="24"/>
              </w:rPr>
              <w:t>Continuing beyond one year (n=1,096)</w:t>
            </w:r>
          </w:p>
        </w:tc>
        <w:tc>
          <w:tcPr>
            <w:tcW w:w="2069" w:type="dxa"/>
          </w:tcPr>
          <w:p w:rsidR="003E4E1B" w:rsidRPr="0083302C" w:rsidRDefault="003E4E1B" w:rsidP="00B04B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4E1B" w:rsidRPr="0083302C" w:rsidTr="00B04B38">
        <w:tc>
          <w:tcPr>
            <w:tcW w:w="2366" w:type="dxa"/>
          </w:tcPr>
          <w:p w:rsidR="003E4E1B" w:rsidRPr="0083302C" w:rsidRDefault="003E4E1B" w:rsidP="00B04B38">
            <w:pPr>
              <w:rPr>
                <w:rFonts w:ascii="Arial" w:hAnsi="Arial" w:cs="Arial"/>
                <w:sz w:val="24"/>
                <w:szCs w:val="24"/>
              </w:rPr>
            </w:pPr>
            <w:r w:rsidRPr="0083302C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2496" w:type="dxa"/>
          </w:tcPr>
          <w:p w:rsidR="003E4E1B" w:rsidRPr="0083302C" w:rsidRDefault="003E4E1B" w:rsidP="00B04B38">
            <w:pPr>
              <w:rPr>
                <w:rFonts w:ascii="Arial" w:hAnsi="Arial" w:cs="Arial"/>
                <w:sz w:val="24"/>
                <w:szCs w:val="24"/>
              </w:rPr>
            </w:pPr>
            <w:r w:rsidRPr="0083302C">
              <w:rPr>
                <w:rFonts w:ascii="Arial" w:hAnsi="Arial" w:cs="Arial"/>
                <w:sz w:val="24"/>
                <w:szCs w:val="24"/>
              </w:rPr>
              <w:t>50.0 years (SD=18.0)</w:t>
            </w:r>
          </w:p>
        </w:tc>
        <w:tc>
          <w:tcPr>
            <w:tcW w:w="2419" w:type="dxa"/>
          </w:tcPr>
          <w:p w:rsidR="003E4E1B" w:rsidRPr="0083302C" w:rsidRDefault="003E4E1B" w:rsidP="00B04B38">
            <w:pPr>
              <w:rPr>
                <w:rFonts w:ascii="Arial" w:hAnsi="Arial" w:cs="Arial"/>
                <w:sz w:val="24"/>
                <w:szCs w:val="24"/>
              </w:rPr>
            </w:pPr>
            <w:r w:rsidRPr="0083302C">
              <w:rPr>
                <w:rFonts w:ascii="Arial" w:hAnsi="Arial" w:cs="Arial"/>
                <w:sz w:val="24"/>
                <w:szCs w:val="24"/>
              </w:rPr>
              <w:t>49.1 years (SD=16.5)</w:t>
            </w:r>
          </w:p>
        </w:tc>
        <w:tc>
          <w:tcPr>
            <w:tcW w:w="2069" w:type="dxa"/>
          </w:tcPr>
          <w:p w:rsidR="003E4E1B" w:rsidRPr="0083302C" w:rsidRDefault="003E4E1B" w:rsidP="00B04B38">
            <w:pPr>
              <w:rPr>
                <w:rFonts w:ascii="Arial" w:hAnsi="Arial" w:cs="Arial"/>
                <w:sz w:val="24"/>
                <w:szCs w:val="24"/>
              </w:rPr>
            </w:pPr>
            <w:r w:rsidRPr="0083302C">
              <w:rPr>
                <w:rFonts w:ascii="Arial" w:hAnsi="Arial" w:cs="Arial"/>
                <w:sz w:val="24"/>
                <w:szCs w:val="24"/>
              </w:rPr>
              <w:t>p=0.31</w:t>
            </w:r>
          </w:p>
        </w:tc>
      </w:tr>
      <w:tr w:rsidR="003E4E1B" w:rsidRPr="0083302C" w:rsidTr="00B04B38">
        <w:tc>
          <w:tcPr>
            <w:tcW w:w="2366" w:type="dxa"/>
          </w:tcPr>
          <w:p w:rsidR="003E4E1B" w:rsidRPr="0083302C" w:rsidRDefault="003E4E1B" w:rsidP="00B04B38">
            <w:pPr>
              <w:rPr>
                <w:rFonts w:ascii="Arial" w:hAnsi="Arial" w:cs="Arial"/>
                <w:sz w:val="24"/>
                <w:szCs w:val="24"/>
              </w:rPr>
            </w:pPr>
            <w:r w:rsidRPr="0083302C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2496" w:type="dxa"/>
          </w:tcPr>
          <w:p w:rsidR="003E4E1B" w:rsidRPr="0083302C" w:rsidRDefault="003E4E1B" w:rsidP="00B04B38">
            <w:pPr>
              <w:rPr>
                <w:rFonts w:ascii="Arial" w:hAnsi="Arial" w:cs="Arial"/>
                <w:sz w:val="24"/>
                <w:szCs w:val="24"/>
              </w:rPr>
            </w:pPr>
            <w:r w:rsidRPr="0083302C">
              <w:rPr>
                <w:rFonts w:ascii="Arial" w:hAnsi="Arial" w:cs="Arial"/>
                <w:sz w:val="24"/>
                <w:szCs w:val="24"/>
              </w:rPr>
              <w:t>427/516 (82.8%)</w:t>
            </w:r>
          </w:p>
        </w:tc>
        <w:tc>
          <w:tcPr>
            <w:tcW w:w="2419" w:type="dxa"/>
          </w:tcPr>
          <w:p w:rsidR="003E4E1B" w:rsidRPr="0083302C" w:rsidRDefault="003E4E1B" w:rsidP="00B04B38">
            <w:pPr>
              <w:rPr>
                <w:rFonts w:ascii="Arial" w:hAnsi="Arial" w:cs="Arial"/>
                <w:sz w:val="24"/>
                <w:szCs w:val="24"/>
              </w:rPr>
            </w:pPr>
            <w:r w:rsidRPr="0083302C">
              <w:rPr>
                <w:rFonts w:ascii="Arial" w:hAnsi="Arial" w:cs="Arial"/>
                <w:sz w:val="24"/>
                <w:szCs w:val="24"/>
              </w:rPr>
              <w:t>919/1,096 (83.9%)</w:t>
            </w:r>
          </w:p>
        </w:tc>
        <w:tc>
          <w:tcPr>
            <w:tcW w:w="2069" w:type="dxa"/>
          </w:tcPr>
          <w:p w:rsidR="003E4E1B" w:rsidRPr="0083302C" w:rsidRDefault="003E4E1B" w:rsidP="00B04B38">
            <w:pPr>
              <w:rPr>
                <w:rFonts w:ascii="Arial" w:hAnsi="Arial" w:cs="Arial"/>
                <w:sz w:val="24"/>
                <w:szCs w:val="24"/>
              </w:rPr>
            </w:pPr>
            <w:r w:rsidRPr="0083302C">
              <w:rPr>
                <w:rFonts w:ascii="Arial" w:hAnsi="Arial" w:cs="Arial"/>
                <w:sz w:val="24"/>
                <w:szCs w:val="24"/>
              </w:rPr>
              <w:t>p=0.58</w:t>
            </w:r>
          </w:p>
        </w:tc>
      </w:tr>
      <w:tr w:rsidR="003E4E1B" w:rsidRPr="0083302C" w:rsidTr="00B04B38">
        <w:tc>
          <w:tcPr>
            <w:tcW w:w="2366" w:type="dxa"/>
          </w:tcPr>
          <w:p w:rsidR="003E4E1B" w:rsidRPr="0083302C" w:rsidRDefault="003E4E1B" w:rsidP="00B04B38">
            <w:pPr>
              <w:rPr>
                <w:rFonts w:ascii="Arial" w:hAnsi="Arial" w:cs="Arial"/>
                <w:sz w:val="24"/>
                <w:szCs w:val="24"/>
              </w:rPr>
            </w:pPr>
            <w:r w:rsidRPr="0083302C">
              <w:rPr>
                <w:rFonts w:ascii="Arial" w:hAnsi="Arial" w:cs="Arial"/>
                <w:sz w:val="24"/>
                <w:szCs w:val="24"/>
              </w:rPr>
              <w:t>High suspicion of IBS (based on ICD-9 coding)</w:t>
            </w:r>
          </w:p>
        </w:tc>
        <w:tc>
          <w:tcPr>
            <w:tcW w:w="2496" w:type="dxa"/>
          </w:tcPr>
          <w:p w:rsidR="003E4E1B" w:rsidRPr="0083302C" w:rsidRDefault="003E4E1B" w:rsidP="00B04B38">
            <w:pPr>
              <w:rPr>
                <w:rFonts w:ascii="Arial" w:hAnsi="Arial" w:cs="Arial"/>
                <w:sz w:val="24"/>
                <w:szCs w:val="24"/>
              </w:rPr>
            </w:pPr>
            <w:r w:rsidRPr="0083302C">
              <w:rPr>
                <w:rFonts w:ascii="Arial" w:hAnsi="Arial" w:cs="Arial"/>
                <w:sz w:val="24"/>
                <w:szCs w:val="24"/>
              </w:rPr>
              <w:t>293/516 (56.8%)</w:t>
            </w:r>
          </w:p>
        </w:tc>
        <w:tc>
          <w:tcPr>
            <w:tcW w:w="2419" w:type="dxa"/>
          </w:tcPr>
          <w:p w:rsidR="003E4E1B" w:rsidRPr="0083302C" w:rsidRDefault="003E4E1B" w:rsidP="00B04B38">
            <w:pPr>
              <w:rPr>
                <w:rFonts w:ascii="Arial" w:hAnsi="Arial" w:cs="Arial"/>
                <w:sz w:val="24"/>
                <w:szCs w:val="24"/>
              </w:rPr>
            </w:pPr>
            <w:r w:rsidRPr="0083302C">
              <w:rPr>
                <w:rFonts w:ascii="Arial" w:hAnsi="Arial" w:cs="Arial"/>
                <w:sz w:val="24"/>
                <w:szCs w:val="24"/>
              </w:rPr>
              <w:t>424/1,096 (38.7%)</w:t>
            </w:r>
          </w:p>
        </w:tc>
        <w:tc>
          <w:tcPr>
            <w:tcW w:w="2069" w:type="dxa"/>
          </w:tcPr>
          <w:p w:rsidR="003E4E1B" w:rsidRPr="0083302C" w:rsidRDefault="003E4E1B" w:rsidP="00B04B38">
            <w:pPr>
              <w:rPr>
                <w:rFonts w:ascii="Arial" w:hAnsi="Arial" w:cs="Arial"/>
                <w:sz w:val="24"/>
                <w:szCs w:val="24"/>
              </w:rPr>
            </w:pPr>
            <w:r w:rsidRPr="0083302C">
              <w:rPr>
                <w:rFonts w:ascii="Arial" w:hAnsi="Arial" w:cs="Arial"/>
                <w:sz w:val="24"/>
                <w:szCs w:val="24"/>
              </w:rPr>
              <w:t>p&lt;0.001</w:t>
            </w:r>
          </w:p>
        </w:tc>
      </w:tr>
      <w:tr w:rsidR="003E4E1B" w:rsidRPr="0083302C" w:rsidTr="00B04B38">
        <w:tc>
          <w:tcPr>
            <w:tcW w:w="2366" w:type="dxa"/>
          </w:tcPr>
          <w:p w:rsidR="003E4E1B" w:rsidRPr="0083302C" w:rsidRDefault="003E4E1B" w:rsidP="00B04B38">
            <w:pPr>
              <w:rPr>
                <w:rFonts w:ascii="Arial" w:hAnsi="Arial" w:cs="Arial"/>
                <w:sz w:val="24"/>
                <w:szCs w:val="24"/>
              </w:rPr>
            </w:pPr>
            <w:r w:rsidRPr="0083302C">
              <w:rPr>
                <w:rFonts w:ascii="Arial" w:hAnsi="Arial" w:cs="Arial"/>
                <w:sz w:val="24"/>
                <w:szCs w:val="24"/>
              </w:rPr>
              <w:t>Managed by gastroenterology</w:t>
            </w:r>
          </w:p>
        </w:tc>
        <w:tc>
          <w:tcPr>
            <w:tcW w:w="2496" w:type="dxa"/>
          </w:tcPr>
          <w:p w:rsidR="003E4E1B" w:rsidRPr="0083302C" w:rsidRDefault="003E4E1B" w:rsidP="00B04B38">
            <w:pPr>
              <w:rPr>
                <w:rFonts w:ascii="Arial" w:hAnsi="Arial" w:cs="Arial"/>
                <w:sz w:val="24"/>
                <w:szCs w:val="24"/>
              </w:rPr>
            </w:pPr>
            <w:r w:rsidRPr="0083302C">
              <w:rPr>
                <w:rFonts w:ascii="Arial" w:hAnsi="Arial" w:cs="Arial"/>
                <w:sz w:val="24"/>
                <w:szCs w:val="24"/>
              </w:rPr>
              <w:t>479/508 (94.2%)</w:t>
            </w:r>
          </w:p>
        </w:tc>
        <w:tc>
          <w:tcPr>
            <w:tcW w:w="2419" w:type="dxa"/>
          </w:tcPr>
          <w:p w:rsidR="003E4E1B" w:rsidRPr="0083302C" w:rsidRDefault="003E4E1B" w:rsidP="00B04B38">
            <w:pPr>
              <w:rPr>
                <w:rFonts w:ascii="Arial" w:hAnsi="Arial" w:cs="Arial"/>
                <w:sz w:val="24"/>
                <w:szCs w:val="24"/>
              </w:rPr>
            </w:pPr>
            <w:r w:rsidRPr="0083302C">
              <w:rPr>
                <w:rFonts w:ascii="Arial" w:hAnsi="Arial" w:cs="Arial"/>
                <w:sz w:val="24"/>
                <w:szCs w:val="24"/>
              </w:rPr>
              <w:t>941/1,021 (92.2%)</w:t>
            </w:r>
          </w:p>
        </w:tc>
        <w:tc>
          <w:tcPr>
            <w:tcW w:w="2069" w:type="dxa"/>
          </w:tcPr>
          <w:p w:rsidR="003E4E1B" w:rsidRPr="0083302C" w:rsidRDefault="003E4E1B" w:rsidP="00B04B38">
            <w:pPr>
              <w:rPr>
                <w:rFonts w:ascii="Arial" w:hAnsi="Arial" w:cs="Arial"/>
                <w:sz w:val="24"/>
                <w:szCs w:val="24"/>
              </w:rPr>
            </w:pPr>
            <w:r w:rsidRPr="0083302C">
              <w:rPr>
                <w:rFonts w:ascii="Arial" w:hAnsi="Arial" w:cs="Arial"/>
                <w:sz w:val="24"/>
                <w:szCs w:val="24"/>
              </w:rPr>
              <w:t>p=0.13</w:t>
            </w:r>
          </w:p>
        </w:tc>
      </w:tr>
    </w:tbl>
    <w:p w:rsidR="003E4E1B" w:rsidRPr="0083302C" w:rsidRDefault="003E4E1B" w:rsidP="003E4E1B">
      <w:pPr>
        <w:rPr>
          <w:rFonts w:ascii="Arial" w:hAnsi="Arial" w:cs="Arial"/>
          <w:sz w:val="24"/>
          <w:szCs w:val="24"/>
        </w:rPr>
      </w:pPr>
    </w:p>
    <w:p w:rsidR="003E4E1B" w:rsidRPr="0083302C" w:rsidRDefault="003E4E1B" w:rsidP="003E4E1B">
      <w:pPr>
        <w:rPr>
          <w:rFonts w:ascii="Arial" w:eastAsia="Times New Roman,Arial" w:hAnsi="Arial" w:cs="Arial"/>
          <w:b/>
          <w:sz w:val="24"/>
          <w:szCs w:val="24"/>
        </w:rPr>
      </w:pPr>
      <w:r w:rsidRPr="0083302C">
        <w:rPr>
          <w:rFonts w:ascii="Arial" w:eastAsia="Times New Roman,Arial" w:hAnsi="Arial" w:cs="Arial"/>
          <w:sz w:val="24"/>
          <w:szCs w:val="24"/>
        </w:rPr>
        <w:t xml:space="preserve">IBS = irritable bowel syndrome, ICD = World Health Organization International Classification of Diseases, SD = standard deviation </w:t>
      </w:r>
    </w:p>
    <w:p w:rsidR="00481EEC" w:rsidRDefault="00481EEC"/>
    <w:sectPr w:rsidR="00481EEC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Arial">
    <w:altName w:val="Times New Roman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20809394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302C" w:rsidRPr="0083302C" w:rsidRDefault="003E4E1B">
        <w:pPr>
          <w:pStyle w:val="Footer"/>
          <w:jc w:val="center"/>
          <w:rPr>
            <w:rFonts w:ascii="Arial" w:hAnsi="Arial" w:cs="Arial"/>
          </w:rPr>
        </w:pPr>
        <w:r w:rsidRPr="0083302C">
          <w:rPr>
            <w:rFonts w:ascii="Arial" w:hAnsi="Arial" w:cs="Arial"/>
          </w:rPr>
          <w:fldChar w:fldCharType="begin"/>
        </w:r>
        <w:r w:rsidRPr="0083302C">
          <w:rPr>
            <w:rFonts w:ascii="Arial" w:hAnsi="Arial" w:cs="Arial"/>
          </w:rPr>
          <w:instrText xml:space="preserve"> PAGE   \* MERGEFORMAT </w:instrText>
        </w:r>
        <w:r w:rsidRPr="0083302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83302C">
          <w:rPr>
            <w:rFonts w:ascii="Arial" w:hAnsi="Arial" w:cs="Arial"/>
            <w:noProof/>
          </w:rPr>
          <w:fldChar w:fldCharType="end"/>
        </w:r>
      </w:p>
    </w:sdtContent>
  </w:sdt>
  <w:p w:rsidR="0083302C" w:rsidRDefault="003E4E1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B8"/>
    <w:rsid w:val="003E4E1B"/>
    <w:rsid w:val="00481EEC"/>
    <w:rsid w:val="0051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30"/>
  <w15:chartTrackingRefBased/>
  <w15:docId w15:val="{EDA5E713-9225-4475-8020-A8862001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E4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2939</Characters>
  <Application>Microsoft Office Word</Application>
  <DocSecurity>0</DocSecurity>
  <Lines>24</Lines>
  <Paragraphs>6</Paragraphs>
  <ScaleCrop>false</ScaleCrop>
  <Company>Dartmouth-Hitchcock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D. Shah</dc:creator>
  <cp:keywords/>
  <dc:description/>
  <cp:lastModifiedBy>Eric D. Shah</cp:lastModifiedBy>
  <cp:revision>2</cp:revision>
  <dcterms:created xsi:type="dcterms:W3CDTF">2019-09-12T12:56:00Z</dcterms:created>
  <dcterms:modified xsi:type="dcterms:W3CDTF">2019-09-12T12:56:00Z</dcterms:modified>
</cp:coreProperties>
</file>