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FA88B" w14:textId="5D83AD94" w:rsidR="00DB5008" w:rsidRPr="00397EC7" w:rsidRDefault="00DB5008" w:rsidP="00DB5008">
      <w:pPr>
        <w:jc w:val="center"/>
        <w:rPr>
          <w:b/>
          <w:lang w:val="en-GB"/>
        </w:rPr>
      </w:pPr>
      <w:r w:rsidRPr="00397EC7">
        <w:rPr>
          <w:b/>
          <w:lang w:val="en-GB"/>
        </w:rPr>
        <w:t>Incidence of and Risk Factors for Systemic Adverse Events after Screening or Primary Diagnostic Colonoscopy: A Nationwide Cohort Study</w:t>
      </w:r>
    </w:p>
    <w:p w14:paraId="4FECE121" w14:textId="0B37AAC3" w:rsidR="00F27A4B" w:rsidRPr="00397EC7" w:rsidRDefault="00F27A4B" w:rsidP="00F27A4B">
      <w:pPr>
        <w:pStyle w:val="Lgende"/>
        <w:jc w:val="center"/>
        <w:rPr>
          <w:bCs w:val="0"/>
          <w:caps/>
          <w:szCs w:val="22"/>
          <w:lang w:val="en-GB"/>
        </w:rPr>
      </w:pPr>
      <w:r w:rsidRPr="00397EC7">
        <w:rPr>
          <w:bCs w:val="0"/>
          <w:caps/>
          <w:szCs w:val="22"/>
          <w:lang w:val="en-GB"/>
        </w:rPr>
        <w:t>supplementa</w:t>
      </w:r>
      <w:r w:rsidR="00F06CF9" w:rsidRPr="00397EC7">
        <w:rPr>
          <w:bCs w:val="0"/>
          <w:caps/>
          <w:szCs w:val="22"/>
          <w:lang w:val="en-GB"/>
        </w:rPr>
        <w:t>l</w:t>
      </w:r>
      <w:r w:rsidRPr="00397EC7">
        <w:rPr>
          <w:bCs w:val="0"/>
          <w:caps/>
          <w:szCs w:val="22"/>
          <w:lang w:val="en-GB"/>
        </w:rPr>
        <w:t xml:space="preserve"> </w:t>
      </w:r>
      <w:r w:rsidR="007F48D2" w:rsidRPr="00397EC7">
        <w:rPr>
          <w:bCs w:val="0"/>
          <w:caps/>
          <w:szCs w:val="22"/>
          <w:lang w:val="en-GB"/>
        </w:rPr>
        <w:t>digital content</w:t>
      </w:r>
    </w:p>
    <w:p w14:paraId="4D85A107" w14:textId="77777777" w:rsidR="00F27A4B" w:rsidRPr="00397EC7" w:rsidRDefault="00F27A4B" w:rsidP="00F27A4B">
      <w:pPr>
        <w:pStyle w:val="Lgende"/>
        <w:rPr>
          <w:rStyle w:val="Titredulivre"/>
          <w:rFonts w:cs="Times New Roman"/>
          <w:lang w:val="en-GB"/>
        </w:rPr>
      </w:pPr>
    </w:p>
    <w:p w14:paraId="1A7F74EB" w14:textId="77777777" w:rsidR="00F27A4B" w:rsidRPr="00397EC7" w:rsidRDefault="00F27A4B" w:rsidP="00F27A4B">
      <w:pPr>
        <w:rPr>
          <w:lang w:val="en-GB"/>
        </w:rPr>
      </w:pPr>
    </w:p>
    <w:p w14:paraId="709AA643" w14:textId="77777777" w:rsidR="00A6091F" w:rsidRPr="00397EC7" w:rsidRDefault="00F27A4B" w:rsidP="00F27A4B">
      <w:pPr>
        <w:pStyle w:val="Lgende"/>
        <w:rPr>
          <w:rStyle w:val="Titredulivre"/>
          <w:rFonts w:cs="Times New Roman"/>
          <w:lang w:val="en-GB"/>
        </w:rPr>
      </w:pPr>
      <w:r w:rsidRPr="00397EC7">
        <w:rPr>
          <w:rStyle w:val="Titredulivre"/>
          <w:rFonts w:cs="Times New Roman"/>
          <w:lang w:val="en-GB"/>
        </w:rPr>
        <w:t>Supplementa</w:t>
      </w:r>
      <w:r w:rsidR="00A6091F" w:rsidRPr="00397EC7">
        <w:rPr>
          <w:rStyle w:val="Titredulivre"/>
          <w:rFonts w:cs="Times New Roman"/>
          <w:lang w:val="en-GB"/>
        </w:rPr>
        <w:t>l</w:t>
      </w:r>
      <w:r w:rsidRPr="00397EC7">
        <w:rPr>
          <w:rStyle w:val="Titredulivre"/>
          <w:rFonts w:cs="Times New Roman"/>
          <w:lang w:val="en-GB"/>
        </w:rPr>
        <w:t xml:space="preserve"> Methods: </w:t>
      </w:r>
    </w:p>
    <w:p w14:paraId="26B51A03" w14:textId="7C89A642" w:rsidR="00F27A4B" w:rsidRPr="00397EC7" w:rsidRDefault="00F27A4B" w:rsidP="00F27A4B">
      <w:pPr>
        <w:pStyle w:val="Lgende"/>
        <w:rPr>
          <w:rStyle w:val="Titredulivre"/>
          <w:rFonts w:cs="Times New Roman"/>
          <w:b w:val="0"/>
          <w:lang w:val="en-GB"/>
        </w:rPr>
      </w:pPr>
      <w:r w:rsidRPr="00397EC7">
        <w:rPr>
          <w:rStyle w:val="Titredulivre"/>
          <w:rFonts w:cs="Times New Roman"/>
          <w:b w:val="0"/>
          <w:lang w:val="en-GB"/>
        </w:rPr>
        <w:t xml:space="preserve">Presentation of the </w:t>
      </w:r>
      <w:r w:rsidR="00ED57E0" w:rsidRPr="00397EC7">
        <w:rPr>
          <w:rStyle w:val="Titredulivre"/>
          <w:rFonts w:cs="Times New Roman"/>
          <w:b w:val="0"/>
          <w:lang w:val="en-GB"/>
        </w:rPr>
        <w:t>SNDS</w:t>
      </w:r>
      <w:r w:rsidRPr="00397EC7">
        <w:rPr>
          <w:rStyle w:val="Titredulivre"/>
          <w:rFonts w:cs="Times New Roman"/>
          <w:b w:val="0"/>
          <w:lang w:val="en-GB"/>
        </w:rPr>
        <w:t xml:space="preserve"> databases</w:t>
      </w:r>
    </w:p>
    <w:p w14:paraId="32B08DE9" w14:textId="39A393D1" w:rsidR="00A6091F" w:rsidRPr="00397EC7" w:rsidRDefault="00A6091F" w:rsidP="00A6091F">
      <w:pPr>
        <w:pStyle w:val="Lgende"/>
        <w:rPr>
          <w:rStyle w:val="Titredulivre"/>
          <w:rFonts w:cs="Times New Roman"/>
          <w:b w:val="0"/>
          <w:lang w:val="en-GB"/>
        </w:rPr>
      </w:pPr>
      <w:r w:rsidRPr="00397EC7">
        <w:rPr>
          <w:rStyle w:val="Titredulivre"/>
          <w:rFonts w:cs="Times New Roman"/>
          <w:b w:val="0"/>
          <w:lang w:val="en-GB"/>
        </w:rPr>
        <w:t>Descriptive statistics</w:t>
      </w:r>
    </w:p>
    <w:p w14:paraId="0CB3B93D" w14:textId="77777777" w:rsidR="00F27A4B" w:rsidRPr="00397EC7" w:rsidRDefault="00F27A4B" w:rsidP="00F27A4B">
      <w:pPr>
        <w:pStyle w:val="Lgende"/>
        <w:rPr>
          <w:rStyle w:val="Titredulivre"/>
          <w:rFonts w:cs="Times New Roman"/>
          <w:lang w:val="en-GB"/>
        </w:rPr>
      </w:pPr>
    </w:p>
    <w:p w14:paraId="65D60BF6" w14:textId="7180A6FB" w:rsidR="00F27A4B" w:rsidRPr="00397EC7" w:rsidRDefault="00A6091F" w:rsidP="00F27A4B">
      <w:pPr>
        <w:pStyle w:val="Lgende"/>
        <w:jc w:val="left"/>
        <w:rPr>
          <w:rStyle w:val="Titredulivre"/>
          <w:b w:val="0"/>
          <w:lang w:val="en-GB"/>
        </w:rPr>
      </w:pPr>
      <w:r w:rsidRPr="00397EC7">
        <w:rPr>
          <w:rStyle w:val="Titredulivre"/>
          <w:rFonts w:cs="Times New Roman"/>
          <w:lang w:val="en-GB"/>
        </w:rPr>
        <w:t xml:space="preserve">Supplemental Table </w:t>
      </w:r>
      <w:r w:rsidR="00F27A4B" w:rsidRPr="00397EC7">
        <w:rPr>
          <w:rStyle w:val="Titredulivre"/>
          <w:lang w:val="en-GB"/>
        </w:rPr>
        <w:t xml:space="preserve">1: </w:t>
      </w:r>
      <w:r w:rsidR="00F27A4B" w:rsidRPr="00397EC7">
        <w:rPr>
          <w:rStyle w:val="Titredulivre"/>
          <w:b w:val="0"/>
          <w:lang w:val="en-GB"/>
        </w:rPr>
        <w:t>Procedure codes for colonoscopies, from French medical classification of medical procedures</w:t>
      </w:r>
    </w:p>
    <w:p w14:paraId="5F95BC0D" w14:textId="6F970694" w:rsidR="00F27A4B" w:rsidRPr="00397EC7" w:rsidRDefault="00A6091F" w:rsidP="00F27A4B">
      <w:pPr>
        <w:pStyle w:val="Lgende"/>
        <w:jc w:val="left"/>
        <w:rPr>
          <w:rStyle w:val="Titredulivre"/>
          <w:b w:val="0"/>
          <w:lang w:val="en-GB"/>
        </w:rPr>
      </w:pPr>
      <w:r w:rsidRPr="00397EC7">
        <w:rPr>
          <w:rStyle w:val="Titredulivre"/>
          <w:rFonts w:cs="Times New Roman"/>
          <w:lang w:val="en-GB"/>
        </w:rPr>
        <w:t xml:space="preserve">Supplemental Table </w:t>
      </w:r>
      <w:r w:rsidR="00F27A4B" w:rsidRPr="00397EC7">
        <w:rPr>
          <w:rStyle w:val="Titredulivre"/>
          <w:lang w:val="en-GB"/>
        </w:rPr>
        <w:t>2:</w:t>
      </w:r>
      <w:r w:rsidR="00F27A4B" w:rsidRPr="00397EC7">
        <w:rPr>
          <w:rStyle w:val="Titredulivre"/>
          <w:b w:val="0"/>
          <w:lang w:val="en-GB"/>
        </w:rPr>
        <w:t xml:space="preserve"> Procedure codes for major colic or rectal surgery procedures leading to exclusion, from French medical classification of medical procedures</w:t>
      </w:r>
    </w:p>
    <w:p w14:paraId="0E5C16D7" w14:textId="68C2FFB8" w:rsidR="00F27A4B" w:rsidRPr="00397EC7" w:rsidRDefault="00A6091F" w:rsidP="00F27A4B">
      <w:pPr>
        <w:pStyle w:val="Lgende"/>
        <w:jc w:val="left"/>
        <w:rPr>
          <w:lang w:val="en-GB"/>
        </w:rPr>
      </w:pPr>
      <w:r w:rsidRPr="00397EC7">
        <w:rPr>
          <w:rStyle w:val="Titredulivre"/>
          <w:rFonts w:cs="Times New Roman"/>
          <w:lang w:val="en-GB"/>
        </w:rPr>
        <w:t xml:space="preserve">Supplemental Table </w:t>
      </w:r>
      <w:r w:rsidR="00F27A4B" w:rsidRPr="00397EC7">
        <w:rPr>
          <w:rStyle w:val="Titredulivre"/>
          <w:lang w:val="en-GB"/>
        </w:rPr>
        <w:t>3:</w:t>
      </w:r>
      <w:r w:rsidR="00F27A4B" w:rsidRPr="00397EC7">
        <w:rPr>
          <w:rStyle w:val="Titredulivre"/>
          <w:b w:val="0"/>
          <w:lang w:val="en-GB"/>
        </w:rPr>
        <w:t xml:space="preserve"> ICD</w:t>
      </w:r>
      <w:r w:rsidR="00397EC7" w:rsidRPr="00397EC7">
        <w:rPr>
          <w:rStyle w:val="Titredulivre"/>
          <w:b w:val="0"/>
          <w:lang w:val="en-GB"/>
        </w:rPr>
        <w:t>-</w:t>
      </w:r>
      <w:r w:rsidR="00F27A4B" w:rsidRPr="00397EC7">
        <w:rPr>
          <w:rStyle w:val="Titredulivre"/>
          <w:b w:val="0"/>
          <w:lang w:val="en-GB"/>
        </w:rPr>
        <w:t>10 codes for definition of adverse events</w:t>
      </w:r>
    </w:p>
    <w:p w14:paraId="7DE500F5" w14:textId="2D43B21E" w:rsidR="00F27A4B" w:rsidRPr="00397EC7" w:rsidRDefault="00A6091F" w:rsidP="00F27A4B">
      <w:pPr>
        <w:pStyle w:val="Lgende"/>
        <w:spacing w:before="240"/>
        <w:rPr>
          <w:rStyle w:val="Titredulivre"/>
          <w:lang w:val="en-GB"/>
        </w:rPr>
      </w:pPr>
      <w:r w:rsidRPr="00397EC7">
        <w:rPr>
          <w:rStyle w:val="Titredulivre"/>
          <w:rFonts w:cs="Times New Roman"/>
          <w:lang w:val="en-GB"/>
        </w:rPr>
        <w:t xml:space="preserve">Supplemental Table </w:t>
      </w:r>
      <w:r w:rsidR="00F27A4B" w:rsidRPr="00397EC7">
        <w:rPr>
          <w:rStyle w:val="Titredulivre"/>
          <w:lang w:val="en-GB"/>
        </w:rPr>
        <w:t>4</w:t>
      </w:r>
      <w:r w:rsidR="004725C8" w:rsidRPr="00397EC7">
        <w:rPr>
          <w:rStyle w:val="Titredulivre"/>
          <w:lang w:val="en-GB"/>
        </w:rPr>
        <w:t>a</w:t>
      </w:r>
      <w:r w:rsidR="00F27A4B" w:rsidRPr="00397EC7">
        <w:rPr>
          <w:rStyle w:val="Titredulivre"/>
          <w:lang w:val="en-GB"/>
        </w:rPr>
        <w:t xml:space="preserve">: </w:t>
      </w:r>
      <w:r w:rsidR="00F27A4B" w:rsidRPr="00397EC7">
        <w:rPr>
          <w:rStyle w:val="Titredulivre"/>
          <w:b w:val="0"/>
          <w:lang w:val="en-GB"/>
        </w:rPr>
        <w:t>Standardized incidence ratios (SIRs) of serious adverse events after colonoscopy.</w:t>
      </w:r>
    </w:p>
    <w:p w14:paraId="4ECD18F8" w14:textId="5BC30637" w:rsidR="004725C8" w:rsidRPr="00397EC7" w:rsidRDefault="004725C8" w:rsidP="004725C8">
      <w:pPr>
        <w:pStyle w:val="Lgende"/>
        <w:spacing w:before="240"/>
        <w:rPr>
          <w:rStyle w:val="Titredulivre"/>
          <w:lang w:val="en-GB"/>
        </w:rPr>
      </w:pPr>
      <w:r w:rsidRPr="00397EC7">
        <w:rPr>
          <w:rStyle w:val="Titredulivre"/>
          <w:rFonts w:cs="Times New Roman"/>
          <w:lang w:val="en-GB"/>
        </w:rPr>
        <w:t xml:space="preserve">Supplemental Table </w:t>
      </w:r>
      <w:r w:rsidRPr="00397EC7">
        <w:rPr>
          <w:rStyle w:val="Titredulivre"/>
          <w:lang w:val="en-GB"/>
        </w:rPr>
        <w:t xml:space="preserve">4b: </w:t>
      </w:r>
      <w:r w:rsidRPr="00397EC7">
        <w:rPr>
          <w:rStyle w:val="Titredulivre"/>
          <w:b w:val="0"/>
          <w:lang w:val="en-GB"/>
        </w:rPr>
        <w:t>Standardized incidence ratios (SIRs) of serious adverse events after colonoscopy, in the further selected population excluding colonoscopies performed on day 2 of hospitalization or without identified bowel preparation.</w:t>
      </w:r>
    </w:p>
    <w:p w14:paraId="5562A273" w14:textId="47084BCC" w:rsidR="00F27A4B" w:rsidRPr="00397EC7" w:rsidRDefault="00A6091F" w:rsidP="00F27A4B">
      <w:pPr>
        <w:pStyle w:val="Lgende"/>
        <w:jc w:val="left"/>
        <w:rPr>
          <w:lang w:val="en-GB"/>
        </w:rPr>
      </w:pPr>
      <w:r w:rsidRPr="00397EC7">
        <w:rPr>
          <w:rStyle w:val="Titredulivre"/>
          <w:rFonts w:cs="Times New Roman"/>
          <w:lang w:val="en-GB"/>
        </w:rPr>
        <w:t xml:space="preserve">Supplemental Table </w:t>
      </w:r>
      <w:r w:rsidR="00F27A4B" w:rsidRPr="00397EC7">
        <w:rPr>
          <w:rStyle w:val="Titredulivre"/>
          <w:lang w:val="en-GB"/>
        </w:rPr>
        <w:t>5:</w:t>
      </w:r>
      <w:r w:rsidR="00F27A4B" w:rsidRPr="00397EC7">
        <w:rPr>
          <w:rStyle w:val="Titredulivre"/>
          <w:b w:val="0"/>
          <w:lang w:val="en-GB"/>
        </w:rPr>
        <w:t xml:space="preserve"> Characteristics associated with cardiovascular adverse events: unadjusted logistic regression models (N = 4,088,799)</w:t>
      </w:r>
    </w:p>
    <w:p w14:paraId="43FF01C0" w14:textId="44312FAB" w:rsidR="00F27A4B" w:rsidRPr="00397EC7" w:rsidRDefault="00A6091F" w:rsidP="00F27A4B">
      <w:pPr>
        <w:pStyle w:val="Lgende"/>
        <w:jc w:val="left"/>
        <w:rPr>
          <w:rStyle w:val="Titredulivre"/>
          <w:b w:val="0"/>
          <w:lang w:val="en-GB"/>
        </w:rPr>
      </w:pPr>
      <w:r w:rsidRPr="00397EC7">
        <w:rPr>
          <w:rStyle w:val="Titredulivre"/>
          <w:rFonts w:cs="Times New Roman"/>
          <w:lang w:val="en-GB"/>
        </w:rPr>
        <w:t xml:space="preserve">Supplemental Table </w:t>
      </w:r>
      <w:r w:rsidR="00F27A4B" w:rsidRPr="00397EC7">
        <w:rPr>
          <w:rStyle w:val="Titredulivre"/>
          <w:lang w:val="en-GB"/>
        </w:rPr>
        <w:t xml:space="preserve">6: </w:t>
      </w:r>
      <w:r w:rsidR="00F27A4B" w:rsidRPr="00397EC7">
        <w:rPr>
          <w:rStyle w:val="Titredulivre"/>
          <w:b w:val="0"/>
          <w:lang w:val="en-GB"/>
        </w:rPr>
        <w:t>Characteristics associated with renal adverse events: unadjusted logistic regression models (N = 4,088,799)</w:t>
      </w:r>
    </w:p>
    <w:p w14:paraId="28F2F2C6" w14:textId="17C07E92" w:rsidR="00F27A4B" w:rsidRPr="00397EC7" w:rsidRDefault="00A6091F" w:rsidP="00F27A4B">
      <w:pPr>
        <w:pStyle w:val="Lgende"/>
        <w:jc w:val="left"/>
        <w:rPr>
          <w:rStyle w:val="Titredulivre"/>
          <w:b w:val="0"/>
          <w:lang w:val="en-GB"/>
        </w:rPr>
      </w:pPr>
      <w:r w:rsidRPr="00397EC7">
        <w:rPr>
          <w:rStyle w:val="Titredulivre"/>
          <w:rFonts w:cs="Times New Roman"/>
          <w:lang w:val="en-GB"/>
        </w:rPr>
        <w:t xml:space="preserve">Supplemental Table </w:t>
      </w:r>
      <w:r w:rsidR="00F27A4B" w:rsidRPr="00397EC7">
        <w:rPr>
          <w:rStyle w:val="Titredulivre"/>
          <w:lang w:val="en-GB"/>
        </w:rPr>
        <w:t>7:</w:t>
      </w:r>
      <w:r w:rsidR="00F27A4B" w:rsidRPr="00397EC7">
        <w:rPr>
          <w:rStyle w:val="Titredulivre"/>
          <w:b w:val="0"/>
          <w:lang w:val="en-GB"/>
        </w:rPr>
        <w:t xml:space="preserve"> Characteristics associated with myocardial infarction: sensitivity analysis using a broader definition for myocardial infarction (4,088,799 patients, including 476 with myocardial infarction)</w:t>
      </w:r>
    </w:p>
    <w:p w14:paraId="0B586F79" w14:textId="5F04DDC9" w:rsidR="00F27A4B" w:rsidRPr="00397EC7" w:rsidRDefault="00A6091F" w:rsidP="00F27A4B">
      <w:pPr>
        <w:pStyle w:val="Lgende"/>
        <w:jc w:val="left"/>
        <w:rPr>
          <w:rStyle w:val="Titredulivre"/>
          <w:b w:val="0"/>
          <w:lang w:val="en-GB"/>
        </w:rPr>
      </w:pPr>
      <w:r w:rsidRPr="00397EC7">
        <w:rPr>
          <w:rStyle w:val="Titredulivre"/>
          <w:rFonts w:cs="Times New Roman"/>
          <w:lang w:val="en-GB"/>
        </w:rPr>
        <w:t xml:space="preserve">Supplemental Table </w:t>
      </w:r>
      <w:r w:rsidR="00F27A4B" w:rsidRPr="00397EC7">
        <w:rPr>
          <w:rStyle w:val="Titredulivre"/>
          <w:lang w:val="en-GB"/>
        </w:rPr>
        <w:t>8:</w:t>
      </w:r>
      <w:r w:rsidR="00F27A4B" w:rsidRPr="00397EC7">
        <w:rPr>
          <w:rStyle w:val="Titredulivre"/>
          <w:b w:val="0"/>
          <w:lang w:val="en-GB"/>
        </w:rPr>
        <w:t xml:space="preserve"> Characteristics associated with acute renal failure: sensitivity analysis using a more stringent definition for acute renal failure (4,088,799 patients, including 522 with acute renal failure)</w:t>
      </w:r>
    </w:p>
    <w:p w14:paraId="5AB92AC1" w14:textId="77777777" w:rsidR="00F27A4B" w:rsidRPr="00397EC7" w:rsidRDefault="00F27A4B" w:rsidP="00F27A4B">
      <w:pPr>
        <w:spacing w:line="276" w:lineRule="auto"/>
        <w:jc w:val="left"/>
        <w:rPr>
          <w:rStyle w:val="Titredulivre"/>
          <w:rFonts w:cs="Times New Roman"/>
          <w:b/>
          <w:bCs/>
          <w:lang w:val="en-GB"/>
        </w:rPr>
      </w:pPr>
      <w:r w:rsidRPr="00397EC7">
        <w:rPr>
          <w:rStyle w:val="Titredulivre"/>
          <w:rFonts w:cs="Times New Roman"/>
          <w:lang w:val="en-GB"/>
        </w:rPr>
        <w:br w:type="page"/>
      </w:r>
    </w:p>
    <w:p w14:paraId="27E88A81" w14:textId="36455983" w:rsidR="00A6091F" w:rsidRPr="00397EC7" w:rsidRDefault="00F27A4B" w:rsidP="00F27A4B">
      <w:pPr>
        <w:pStyle w:val="Lgende"/>
        <w:rPr>
          <w:rStyle w:val="Titredulivre"/>
          <w:rFonts w:cs="Times New Roman"/>
          <w:lang w:val="en-GB"/>
        </w:rPr>
      </w:pPr>
      <w:r w:rsidRPr="00397EC7">
        <w:rPr>
          <w:rStyle w:val="Titredulivre"/>
          <w:rFonts w:cs="Times New Roman"/>
          <w:lang w:val="en-GB"/>
        </w:rPr>
        <w:lastRenderedPageBreak/>
        <w:t>Supplementa</w:t>
      </w:r>
      <w:r w:rsidR="00A6091F" w:rsidRPr="00397EC7">
        <w:rPr>
          <w:rStyle w:val="Titredulivre"/>
          <w:rFonts w:cs="Times New Roman"/>
          <w:lang w:val="en-GB"/>
        </w:rPr>
        <w:t>l</w:t>
      </w:r>
      <w:r w:rsidRPr="00397EC7">
        <w:rPr>
          <w:rStyle w:val="Titredulivre"/>
          <w:rFonts w:cs="Times New Roman"/>
          <w:lang w:val="en-GB"/>
        </w:rPr>
        <w:t xml:space="preserve"> Methods </w:t>
      </w:r>
    </w:p>
    <w:p w14:paraId="0CAA17FE" w14:textId="47BC1CAD" w:rsidR="00F27A4B" w:rsidRPr="00397EC7" w:rsidRDefault="00F27A4B" w:rsidP="00F27A4B">
      <w:pPr>
        <w:pStyle w:val="Lgende"/>
        <w:rPr>
          <w:rStyle w:val="Titredulivre"/>
          <w:rFonts w:cs="Times New Roman"/>
          <w:i/>
          <w:lang w:val="en-GB"/>
        </w:rPr>
      </w:pPr>
      <w:r w:rsidRPr="00397EC7">
        <w:rPr>
          <w:rStyle w:val="Titredulivre"/>
          <w:rFonts w:cs="Times New Roman"/>
          <w:i/>
          <w:lang w:val="en-GB"/>
        </w:rPr>
        <w:t xml:space="preserve">Presentation of the </w:t>
      </w:r>
      <w:r w:rsidR="00ED57E0" w:rsidRPr="00397EC7">
        <w:rPr>
          <w:rStyle w:val="Titredulivre"/>
          <w:rFonts w:cs="Times New Roman"/>
          <w:i/>
          <w:lang w:val="en-GB"/>
        </w:rPr>
        <w:t>SNDS</w:t>
      </w:r>
      <w:r w:rsidRPr="00397EC7">
        <w:rPr>
          <w:rStyle w:val="Titredulivre"/>
          <w:rFonts w:cs="Times New Roman"/>
          <w:i/>
          <w:lang w:val="en-GB"/>
        </w:rPr>
        <w:t xml:space="preserve"> databases</w:t>
      </w:r>
    </w:p>
    <w:p w14:paraId="746711A2" w14:textId="4F05325F" w:rsidR="00F27A4B" w:rsidRPr="00397EC7" w:rsidRDefault="00F27A4B" w:rsidP="00F27A4B">
      <w:pPr>
        <w:spacing w:line="360" w:lineRule="auto"/>
        <w:rPr>
          <w:rStyle w:val="Titredulivre"/>
          <w:rFonts w:cs="Times New Roman"/>
          <w:lang w:val="en-GB"/>
        </w:rPr>
      </w:pPr>
      <w:r w:rsidRPr="00397EC7">
        <w:rPr>
          <w:rStyle w:val="Titredulivre"/>
          <w:rFonts w:cs="Times New Roman"/>
          <w:lang w:val="en-GB"/>
        </w:rPr>
        <w:t>The study was conducted using French medical administrative databases</w:t>
      </w:r>
      <w:r w:rsidR="00ED57E0" w:rsidRPr="00397EC7">
        <w:rPr>
          <w:rStyle w:val="Titredulivre"/>
          <w:rFonts w:cs="Times New Roman"/>
          <w:lang w:val="en-GB"/>
        </w:rPr>
        <w:t xml:space="preserve"> SNDS (</w:t>
      </w:r>
      <w:proofErr w:type="spellStart"/>
      <w:r w:rsidR="00ED57E0" w:rsidRPr="00397EC7">
        <w:rPr>
          <w:rStyle w:val="Titredulivre"/>
          <w:rFonts w:cs="Times New Roman"/>
          <w:i/>
          <w:iCs/>
          <w:lang w:val="en-GB"/>
        </w:rPr>
        <w:t>Système</w:t>
      </w:r>
      <w:proofErr w:type="spellEnd"/>
      <w:r w:rsidR="00ED57E0" w:rsidRPr="00397EC7">
        <w:rPr>
          <w:rStyle w:val="Titredulivre"/>
          <w:rFonts w:cs="Times New Roman"/>
          <w:i/>
          <w:iCs/>
          <w:lang w:val="en-GB"/>
        </w:rPr>
        <w:t xml:space="preserve"> National des </w:t>
      </w:r>
      <w:proofErr w:type="spellStart"/>
      <w:r w:rsidR="00ED57E0" w:rsidRPr="00397EC7">
        <w:rPr>
          <w:rStyle w:val="Titredulivre"/>
          <w:rFonts w:cs="Times New Roman"/>
          <w:i/>
          <w:iCs/>
          <w:lang w:val="en-GB"/>
        </w:rPr>
        <w:t>Données</w:t>
      </w:r>
      <w:proofErr w:type="spellEnd"/>
      <w:r w:rsidR="00ED57E0" w:rsidRPr="00397EC7">
        <w:rPr>
          <w:rStyle w:val="Titredulivre"/>
          <w:rFonts w:cs="Times New Roman"/>
          <w:i/>
          <w:iCs/>
          <w:lang w:val="en-GB"/>
        </w:rPr>
        <w:t xml:space="preserve"> de Santé</w:t>
      </w:r>
      <w:r w:rsidR="00ED57E0" w:rsidRPr="00397EC7">
        <w:rPr>
          <w:rStyle w:val="Titredulivre"/>
          <w:rFonts w:cs="Times New Roman"/>
          <w:lang w:val="en-GB"/>
        </w:rPr>
        <w:t>, National Heath Data System), consisting of</w:t>
      </w:r>
      <w:r w:rsidR="00D04152" w:rsidRPr="00397EC7">
        <w:rPr>
          <w:rStyle w:val="Titredulivre"/>
          <w:rFonts w:cs="Times New Roman"/>
          <w:lang w:val="en-GB"/>
        </w:rPr>
        <w:t xml:space="preserve"> i</w:t>
      </w:r>
      <w:r w:rsidRPr="00397EC7">
        <w:rPr>
          <w:rStyle w:val="Titredulivre"/>
          <w:rFonts w:cs="Times New Roman"/>
          <w:lang w:val="en-GB"/>
        </w:rPr>
        <w:t>ndividual data from both the SNIIRAM (</w:t>
      </w:r>
      <w:proofErr w:type="spellStart"/>
      <w:r w:rsidRPr="00397EC7">
        <w:rPr>
          <w:rStyle w:val="Titredulivre"/>
          <w:rFonts w:cs="Times New Roman"/>
          <w:i/>
          <w:lang w:val="en-GB"/>
        </w:rPr>
        <w:t>Système</w:t>
      </w:r>
      <w:proofErr w:type="spellEnd"/>
      <w:r w:rsidRPr="00397EC7">
        <w:rPr>
          <w:rStyle w:val="Titredulivre"/>
          <w:rFonts w:cs="Times New Roman"/>
          <w:i/>
          <w:lang w:val="en-GB"/>
        </w:rPr>
        <w:t xml:space="preserve"> National </w:t>
      </w:r>
      <w:proofErr w:type="spellStart"/>
      <w:r w:rsidRPr="00397EC7">
        <w:rPr>
          <w:rStyle w:val="Titredulivre"/>
          <w:rFonts w:cs="Times New Roman"/>
          <w:i/>
          <w:lang w:val="en-GB"/>
        </w:rPr>
        <w:t>d’Information</w:t>
      </w:r>
      <w:proofErr w:type="spellEnd"/>
      <w:r w:rsidRPr="00397EC7">
        <w:rPr>
          <w:rStyle w:val="Titredulivre"/>
          <w:rFonts w:cs="Times New Roman"/>
          <w:i/>
          <w:lang w:val="en-GB"/>
        </w:rPr>
        <w:t xml:space="preserve"> Inter-</w:t>
      </w:r>
      <w:proofErr w:type="spellStart"/>
      <w:r w:rsidRPr="00397EC7">
        <w:rPr>
          <w:rStyle w:val="Titredulivre"/>
          <w:rFonts w:cs="Times New Roman"/>
          <w:i/>
          <w:lang w:val="en-GB"/>
        </w:rPr>
        <w:t>Régime</w:t>
      </w:r>
      <w:proofErr w:type="spellEnd"/>
      <w:r w:rsidRPr="00397EC7">
        <w:rPr>
          <w:rStyle w:val="Titredulivre"/>
          <w:rFonts w:cs="Times New Roman"/>
          <w:i/>
          <w:lang w:val="en-GB"/>
        </w:rPr>
        <w:t xml:space="preserve"> de </w:t>
      </w:r>
      <w:proofErr w:type="spellStart"/>
      <w:r w:rsidRPr="00397EC7">
        <w:rPr>
          <w:rStyle w:val="Titredulivre"/>
          <w:rFonts w:cs="Times New Roman"/>
          <w:i/>
          <w:lang w:val="en-GB"/>
        </w:rPr>
        <w:t>l’Assurance</w:t>
      </w:r>
      <w:proofErr w:type="spellEnd"/>
      <w:r w:rsidRPr="00397EC7">
        <w:rPr>
          <w:rStyle w:val="Titredulivre"/>
          <w:rFonts w:cs="Times New Roman"/>
          <w:i/>
          <w:lang w:val="en-GB"/>
        </w:rPr>
        <w:t xml:space="preserve"> </w:t>
      </w:r>
      <w:proofErr w:type="spellStart"/>
      <w:r w:rsidRPr="00397EC7">
        <w:rPr>
          <w:rStyle w:val="Titredulivre"/>
          <w:rFonts w:cs="Times New Roman"/>
          <w:i/>
          <w:lang w:val="en-GB"/>
        </w:rPr>
        <w:t>Maladie</w:t>
      </w:r>
      <w:proofErr w:type="spellEnd"/>
      <w:r w:rsidRPr="00397EC7">
        <w:rPr>
          <w:rStyle w:val="Titredulivre"/>
          <w:rFonts w:cs="Times New Roman"/>
          <w:lang w:val="en-GB"/>
        </w:rPr>
        <w:t>, National Health Insurance claims information system) and PMSI (</w:t>
      </w:r>
      <w:r w:rsidRPr="00397EC7">
        <w:rPr>
          <w:rStyle w:val="Titredulivre"/>
          <w:rFonts w:cs="Times New Roman"/>
          <w:i/>
          <w:lang w:val="en-GB"/>
        </w:rPr>
        <w:t xml:space="preserve">Programme de </w:t>
      </w:r>
      <w:proofErr w:type="spellStart"/>
      <w:r w:rsidRPr="00397EC7">
        <w:rPr>
          <w:rStyle w:val="Titredulivre"/>
          <w:rFonts w:cs="Times New Roman"/>
          <w:i/>
          <w:lang w:val="en-GB"/>
        </w:rPr>
        <w:t>Médicalisation</w:t>
      </w:r>
      <w:proofErr w:type="spellEnd"/>
      <w:r w:rsidRPr="00397EC7">
        <w:rPr>
          <w:rStyle w:val="Titredulivre"/>
          <w:rFonts w:cs="Times New Roman"/>
          <w:i/>
          <w:lang w:val="en-GB"/>
        </w:rPr>
        <w:t xml:space="preserve"> des </w:t>
      </w:r>
      <w:proofErr w:type="spellStart"/>
      <w:r w:rsidRPr="00397EC7">
        <w:rPr>
          <w:rStyle w:val="Titredulivre"/>
          <w:rFonts w:cs="Times New Roman"/>
          <w:i/>
          <w:lang w:val="en-GB"/>
        </w:rPr>
        <w:t>Systèmes</w:t>
      </w:r>
      <w:proofErr w:type="spellEnd"/>
      <w:r w:rsidRPr="00397EC7">
        <w:rPr>
          <w:rStyle w:val="Titredulivre"/>
          <w:rFonts w:cs="Times New Roman"/>
          <w:i/>
          <w:lang w:val="en-GB"/>
        </w:rPr>
        <w:t xml:space="preserve"> </w:t>
      </w:r>
      <w:proofErr w:type="spellStart"/>
      <w:r w:rsidRPr="00397EC7">
        <w:rPr>
          <w:rStyle w:val="Titredulivre"/>
          <w:rFonts w:cs="Times New Roman"/>
          <w:i/>
          <w:lang w:val="en-GB"/>
        </w:rPr>
        <w:t>d’Information</w:t>
      </w:r>
      <w:proofErr w:type="spellEnd"/>
      <w:r w:rsidRPr="00397EC7">
        <w:rPr>
          <w:rStyle w:val="Titredulivre"/>
          <w:rFonts w:cs="Times New Roman"/>
          <w:lang w:val="en-GB"/>
        </w:rPr>
        <w:t xml:space="preserve">, national hospital discharge database). These databases were linked by means of a unique anonymous number allocated to each individual, providing detailed information on health insurance claims for inpatient (PMSI) and outpatient (SNIIRAM) care for 99% of the population living in France (about 67,000,000 people). Further description of these databases and their use is available in English in the papers by </w:t>
      </w:r>
      <w:proofErr w:type="spellStart"/>
      <w:r w:rsidRPr="00397EC7">
        <w:rPr>
          <w:rStyle w:val="Titredulivre"/>
          <w:rFonts w:cs="Times New Roman"/>
          <w:lang w:val="en-GB"/>
        </w:rPr>
        <w:t>Bezin</w:t>
      </w:r>
      <w:proofErr w:type="spellEnd"/>
      <w:r w:rsidRPr="00397EC7">
        <w:rPr>
          <w:rStyle w:val="Titredulivre"/>
          <w:rFonts w:cs="Times New Roman"/>
          <w:lang w:val="en-GB"/>
        </w:rPr>
        <w:t xml:space="preserve"> et al.</w:t>
      </w:r>
      <w:r w:rsidRPr="00397EC7">
        <w:rPr>
          <w:rStyle w:val="Titredulivre"/>
          <w:rFonts w:cs="Times New Roman"/>
          <w:lang w:val="en-GB"/>
        </w:rPr>
        <w:fldChar w:fldCharType="begin"/>
      </w:r>
      <w:r w:rsidRPr="00397EC7">
        <w:rPr>
          <w:rStyle w:val="Titredulivre"/>
          <w:rFonts w:cs="Times New Roman"/>
          <w:lang w:val="en-GB"/>
        </w:rPr>
        <w:instrText xml:space="preserve"> ADDIN ZOTERO_ITEM CSL_CITATION {"citationID":"B063qrWF","properties":{"formattedCitation":"\\super 1\\nosupersub{}","plainCitation":"1","noteIndex":0},"citationItems":[{"id":92,"uris":["http://zotero.org/users/1321902/items/LQ76QBK5"],"uri":["http://zotero.org/users/1321902/items/LQ76QBK5"],"itemData":{"id":92,"type":"article-journal","title":"The national healthcare system claims databases in France, SNIIRAM and EGB: Powerful tools for pharmacoepidemiology","container-title":"Pharmacoepidemiology and Drug Safety","page":"954-962","volume":"26","issue":"8","source":"onlinelibrary-wiley-com.gate2.inist.fr (Atypon)","abstract":"Abstract The French health care system is based on universal coverage by one of several health care insurance plans. The SNIIRAM database merges anonymous information of reimbursed claims from all these plans, linked to the national hospital?discharge summaries database system (PMSI) and the national death registry. It now covers 98.8% of the French population, over 66 million persons, from birth (or immigration) to death (or emigration), making it possibly the world's largest continuous homogeneous claims database. The database includes demographic data; health care encounters such as physician or paramedical visits, medicines, medical devices, and lab tests (without results); chronic medical conditions (ICD1</w:instrText>
      </w:r>
      <w:r w:rsidRPr="000D2CE4">
        <w:rPr>
          <w:rStyle w:val="Titredulivre"/>
          <w:rFonts w:cs="Times New Roman"/>
          <w:lang w:val="fr-FR"/>
        </w:rPr>
        <w:instrText>0 codes); hospitalisations with ICD10 codes for primary, linked and associated diagnoses, date and duration, procedures, diagnostic?related groups, and cost coding; date but currently not cause of death. The power of the database is correlatively great, and its representativeness is near perfect, since it essentially includes the whole country's population. The main difficulty in using the database, beyond its sheer size and complexity, is the administrative process necessary to access it. Recent legislative advances are making this easier. EGB (Echantillon Généraliste de Bénéficiaires) is the 1/97th random permanent representative sample of SNIIRAM, with planned 20?year longitudinal data (10 years at this time). Access time is 1 to 3 months, but its power is less (780 000 subjects). This is enough to study common issues with old</w:instrText>
      </w:r>
      <w:r w:rsidRPr="00D06E0F">
        <w:rPr>
          <w:rStyle w:val="Titredulivre"/>
          <w:rFonts w:cs="Times New Roman"/>
          <w:lang w:val="fr-FR"/>
        </w:rPr>
        <w:instrText xml:space="preserve">er drugs but may be limited for new products or rare events.","DOI":"10.1002/pds.4233","ISSN":"1053-8569","title-short":"The national healthcare system claims databases in France, SNIIRAM and EGB","journalAbbreviation":"Pharmacoepidemiology and Drug Safety","author":[{"family":"Bezin","given":"Julien"},{"family":"Duong","given":"Mai"},{"family":"Lassalle","given":"Régis"},{"family":"Droz","given":"Cécile"},{"family":"Pariente","given":"Antoine"},{"family":"Blin","given":"Patrick"},{"family":"Moore","given":"Nicholas"}],"issued":{"date-parts":[["2017",8,8]]}}}],"schema":"https://github.com/citation-style-language/schema/raw/master/csl-citation.json"} </w:instrText>
      </w:r>
      <w:r w:rsidRPr="00397EC7">
        <w:rPr>
          <w:rStyle w:val="Titredulivre"/>
          <w:rFonts w:cs="Times New Roman"/>
          <w:lang w:val="en-GB"/>
        </w:rPr>
        <w:fldChar w:fldCharType="separate"/>
      </w:r>
      <w:r w:rsidRPr="00D06E0F">
        <w:rPr>
          <w:rFonts w:ascii="Calibri" w:hAnsi="Calibri" w:cs="Times New Roman"/>
          <w:sz w:val="20"/>
          <w:szCs w:val="24"/>
          <w:vertAlign w:val="superscript"/>
          <w:lang w:val="fr-FR"/>
        </w:rPr>
        <w:t>1</w:t>
      </w:r>
      <w:r w:rsidRPr="00397EC7">
        <w:rPr>
          <w:rStyle w:val="Titredulivre"/>
          <w:rFonts w:cs="Times New Roman"/>
          <w:lang w:val="en-GB"/>
        </w:rPr>
        <w:fldChar w:fldCharType="end"/>
      </w:r>
      <w:r w:rsidRPr="00D06E0F">
        <w:rPr>
          <w:rStyle w:val="Titredulivre"/>
          <w:rFonts w:cs="Times New Roman"/>
          <w:lang w:val="fr-FR"/>
        </w:rPr>
        <w:t xml:space="preserve"> and </w:t>
      </w:r>
      <w:proofErr w:type="spellStart"/>
      <w:r w:rsidRPr="00D06E0F">
        <w:rPr>
          <w:rStyle w:val="Titredulivre"/>
          <w:rFonts w:cs="Times New Roman"/>
          <w:lang w:val="fr-FR"/>
        </w:rPr>
        <w:t>Moulis</w:t>
      </w:r>
      <w:proofErr w:type="spellEnd"/>
      <w:r w:rsidRPr="00D06E0F">
        <w:rPr>
          <w:rStyle w:val="Titredulivre"/>
          <w:rFonts w:cs="Times New Roman"/>
          <w:lang w:val="fr-FR"/>
        </w:rPr>
        <w:t xml:space="preserve"> et al.</w:t>
      </w:r>
      <w:r w:rsidRPr="00397EC7">
        <w:rPr>
          <w:rStyle w:val="Titredulivre"/>
          <w:rFonts w:cs="Times New Roman"/>
          <w:lang w:val="en-GB"/>
        </w:rPr>
        <w:fldChar w:fldCharType="begin"/>
      </w:r>
      <w:r w:rsidRPr="00D06E0F">
        <w:rPr>
          <w:rStyle w:val="Titredulivre"/>
          <w:rFonts w:cs="Times New Roman"/>
          <w:lang w:val="fr-FR"/>
        </w:rPr>
        <w:instrText xml:space="preserve"> ADDIN ZOTERO_ITEM CSL_CITATION {"citationID":"2zMl2u28","properties":{"formattedCitation":"\\super 2\\nosupersub{}","plainCitation":"2","noteIndex":0},"citationItems":[{"id":604,"uris":["http://zotero.org/users/1321902/items/KRAXUDG3"],"uri":["http://zotero.org/users/1321902/items/KRAXUDG3"],"itemData":{"id":604,"type":"article-journal","title":"French health insurance databases: What interest for medical research?","container-title":"La Revue De Medecine Interne","page":"411-417","volume":"36","issue":"6","source":"PubMed","abstract":"French health insurance databases are organized since 2003 into a huge digital data warehouse, the Système national d'information inter-régime de l'assurance maladie (SNIIR-AM). It covers the entire French population (65 million inhabitants). In order to facilitate studies on more frequent conditions, a random sample of 1/97th of national health system beneficiaries has been built since 2005, called the échantillon généraliste des bénéficiaires (EGB). The aim of this article is to describe the main characteristics of the SNIIR-AM and the EGB, to detail their accessibility according to French law, and to present their strengths and limits. It is illustrated with the most recent studies conducted in these databases. These databases include demographic, out-hospital reimbursement (including drug dispensing), medical (costly long-term diseases, occupational diseases, sick-leaves…), and in-hospital data. All these data are prospectively recorded, individualized, made anonymous and linkable. Consequently, the SNIIR-AM is a very useful data source for epidemiological, pharmacoepidemiological and health economics studies, particularly for rare diseases. The EGB is appropriate for long-term research on more frequent diseases.","DOI":"10.1016/j.revmed.2014.11.009","ISSN":"1768-3122","note":"PMID: 25547954","title-short":"French health insurance databases","journalAbbreviation":"Rev Med Interne","language":"eng","author":[{"family":"Moulis","given":"G."},{"family":"Lapeyre-Mestre","given":"M."},{"family":"Palmaro","given":"A."},{"family":"Pugnet","given":"G."},{"family":"Montastruc","given":"J.-L."},{"family":"Sailler","given":"L."}],"issued":{"date-parts":[["2015",6]]}}}],"schema":"https://github.com/citation-style-language/schema/raw/master/csl-citation.json"} </w:instrText>
      </w:r>
      <w:r w:rsidRPr="00397EC7">
        <w:rPr>
          <w:rStyle w:val="Titredulivre"/>
          <w:rFonts w:cs="Times New Roman"/>
          <w:lang w:val="en-GB"/>
        </w:rPr>
        <w:fldChar w:fldCharType="separate"/>
      </w:r>
      <w:r w:rsidRPr="00D06E0F">
        <w:rPr>
          <w:rFonts w:ascii="Calibri" w:hAnsi="Calibri" w:cs="Times New Roman"/>
          <w:sz w:val="20"/>
          <w:szCs w:val="24"/>
          <w:vertAlign w:val="superscript"/>
          <w:lang w:val="fr-FR"/>
        </w:rPr>
        <w:t>2</w:t>
      </w:r>
      <w:r w:rsidRPr="00397EC7">
        <w:rPr>
          <w:rStyle w:val="Titredulivre"/>
          <w:rFonts w:cs="Times New Roman"/>
          <w:lang w:val="en-GB"/>
        </w:rPr>
        <w:fldChar w:fldCharType="end"/>
      </w:r>
      <w:r w:rsidRPr="00D06E0F">
        <w:rPr>
          <w:rStyle w:val="Titredulivre"/>
          <w:rFonts w:cs="Times New Roman"/>
          <w:lang w:val="fr-FR"/>
        </w:rPr>
        <w:t xml:space="preserve">, and more </w:t>
      </w:r>
      <w:proofErr w:type="spellStart"/>
      <w:r w:rsidRPr="00D06E0F">
        <w:rPr>
          <w:rStyle w:val="Titredulivre"/>
          <w:rFonts w:cs="Times New Roman"/>
          <w:lang w:val="fr-FR"/>
        </w:rPr>
        <w:t>extensively</w:t>
      </w:r>
      <w:proofErr w:type="spellEnd"/>
      <w:r w:rsidRPr="00D06E0F">
        <w:rPr>
          <w:rStyle w:val="Titredulivre"/>
          <w:rFonts w:cs="Times New Roman"/>
          <w:lang w:val="fr-FR"/>
        </w:rPr>
        <w:t xml:space="preserve"> in the </w:t>
      </w:r>
      <w:proofErr w:type="spellStart"/>
      <w:r w:rsidRPr="00D06E0F">
        <w:rPr>
          <w:rStyle w:val="Titredulivre"/>
          <w:rFonts w:cs="Times New Roman"/>
          <w:lang w:val="fr-FR"/>
        </w:rPr>
        <w:t>paper</w:t>
      </w:r>
      <w:proofErr w:type="spellEnd"/>
      <w:r w:rsidRPr="00D06E0F">
        <w:rPr>
          <w:rStyle w:val="Titredulivre"/>
          <w:rFonts w:cs="Times New Roman"/>
          <w:lang w:val="fr-FR"/>
        </w:rPr>
        <w:t xml:space="preserve"> by </w:t>
      </w:r>
      <w:proofErr w:type="spellStart"/>
      <w:r w:rsidRPr="00D06E0F">
        <w:rPr>
          <w:rStyle w:val="Titredulivre"/>
          <w:rFonts w:cs="Times New Roman"/>
          <w:lang w:val="fr-FR"/>
        </w:rPr>
        <w:t>Tuppin</w:t>
      </w:r>
      <w:proofErr w:type="spellEnd"/>
      <w:r w:rsidRPr="00D06E0F">
        <w:rPr>
          <w:rStyle w:val="Titredulivre"/>
          <w:rFonts w:cs="Times New Roman"/>
          <w:lang w:val="fr-FR"/>
        </w:rPr>
        <w:t xml:space="preserve"> et al.</w:t>
      </w:r>
      <w:r w:rsidRPr="00397EC7">
        <w:rPr>
          <w:rStyle w:val="Titredulivre"/>
          <w:rFonts w:cs="Times New Roman"/>
          <w:lang w:val="en-GB"/>
        </w:rPr>
        <w:fldChar w:fldCharType="begin"/>
      </w:r>
      <w:r w:rsidRPr="00D06E0F">
        <w:rPr>
          <w:rStyle w:val="Titredulivre"/>
          <w:rFonts w:cs="Times New Roman"/>
          <w:lang w:val="fr-FR"/>
        </w:rPr>
        <w:instrText xml:space="preserve"> ADDIN ZOTERO_ITEM CSL_CITATION {"citationID":"9nxpqwtL","properties":{"formattedCitation":"\\super 3\\nosupersub{}","plainCitation":"3","noteIndex":0},"citationItems":[{"id":607,"uris":["http://zotero.org/users/1321902/items/GNNJIBCA"],"uri":["http://zotero.org/users/1321902/items/GNNJIBCA"],"itemData":{"id":607,"type":"article-journal","title":"Value of a national administrative database to guide public decisions: From the système national d'information interrégimes de l'Assurance Maladie (SNIIRAM) to the système national des données de santé (SNDS) in France","container-title":"Revue D'epidemiologie Et De Sante Publique","page":"S149-S167","volume":"65 Suppl 4","source":"PubMed","abstract":"In 1999, French legislators asked health insurance funds to develop a système national d'information interrégimes de l'Assurance Maladie (SNIIRAM) [national health insurance information system] in order to more precisely determine and evaluate health care utilization and health care expenditure of beneficiaries. These data, based on almost 66 million inhabitants in 2015, have already been the subject of numerous international publications on various topics: prevalence and incidence of diseases, patient care pathways, health status and health care utilization of specific populations, real-life use of drugs, assessment of adverse effects of drugs or other health care procedures, monitoring of national health insurance expenditure, etc</w:instrText>
      </w:r>
      <w:r w:rsidRPr="00397EC7">
        <w:rPr>
          <w:rStyle w:val="Titredulivre"/>
          <w:rFonts w:cs="Times New Roman"/>
          <w:lang w:val="en-GB"/>
        </w:rPr>
        <w:instrText xml:space="preserve">. SNIIRAM comprises individual information on the sociodemographic and medical characteristics of beneficiaries and all hospital care and office medicine reimbursements, coded according to various systems. Access to data is controlled by permissions dependent on the type of data requested or used, their temporality and the researcher's status. In general, data can be analyzed by accredited agencies over a period covering the last three years plus the current year, and specific requests can be submitted to extract data over longer periods. A 1/97th random sample of SNIIRAM, the échantillon généraliste des bénéficiaires (EGB), representative of the national population of health insurance beneficiaries, was composed in 2005 to allow 20-year follow-up with facilitated access for medical research. The EGB is an open cohort, which includes new beneficiaries and newborn infants. SNIIRAM has continued to grow and extend to become, in 2016, the cornerstone of the future système national des données de santé (SNDS) [national health data system], which will gradually integrate new information (causes of death, social and medical data and complementary health insurance). In parallel, the modalities of data access and protection systems have also evolved. This article describes the SNIIRAM data warehouse and its transformation into SNDS, the data collected, the tools developed in order to facilitate data analysis, the limitations encountered, and changing access permissions.","DOI":"10.1016/j.respe.2017.05.004","ISSN":"0398-7620","note":"PMID: 28756037","title-short":"Value of a national administrative database to guide public decisions","journalAbbreviation":"Rev Epidemiol Sante Publique","language":"eng","author":[{"family":"Tuppin","given":"P."},{"family":"Rudant","given":"J."},{"family":"Constantinou","given":"P."},{"family":"Gastaldi-Ménager","given":"C."},{"family":"Rachas","given":"A."},{"family":"Roquefeuil","given":"L.","non-dropping-particle":"de"},{"family":"Maura","given":"G."},{"family":"Caillol","given":"H."},{"family":"Tajahmady","given":"A."},{"family":"Coste","given":"J."},{"family":"Gissot","given":"C."},{"family":"Weill","given":"A."},{"family":"Fagot-Campagna","given":"A."}],"issued":{"date-parts":[["2017",10]]}}}],"schema":"https://github.com/citation-style-language/schema/raw/master/csl-citation.json"} </w:instrText>
      </w:r>
      <w:r w:rsidRPr="00397EC7">
        <w:rPr>
          <w:rStyle w:val="Titredulivre"/>
          <w:rFonts w:cs="Times New Roman"/>
          <w:lang w:val="en-GB"/>
        </w:rPr>
        <w:fldChar w:fldCharType="separate"/>
      </w:r>
      <w:r w:rsidRPr="00397EC7">
        <w:rPr>
          <w:rFonts w:ascii="Calibri" w:hAnsi="Calibri" w:cs="Times New Roman"/>
          <w:sz w:val="20"/>
          <w:szCs w:val="24"/>
          <w:vertAlign w:val="superscript"/>
          <w:lang w:val="en-GB"/>
        </w:rPr>
        <w:t>3</w:t>
      </w:r>
      <w:r w:rsidRPr="00397EC7">
        <w:rPr>
          <w:rStyle w:val="Titredulivre"/>
          <w:rFonts w:cs="Times New Roman"/>
          <w:lang w:val="en-GB"/>
        </w:rPr>
        <w:fldChar w:fldCharType="end"/>
      </w:r>
      <w:r w:rsidRPr="00397EC7">
        <w:rPr>
          <w:rStyle w:val="Titredulivre"/>
          <w:rFonts w:cs="Times New Roman"/>
          <w:lang w:val="en-GB"/>
        </w:rPr>
        <w:t>.</w:t>
      </w:r>
    </w:p>
    <w:p w14:paraId="311C740E" w14:textId="09958361" w:rsidR="00F27A4B" w:rsidRPr="00397EC7" w:rsidRDefault="00F27A4B" w:rsidP="00F27A4B">
      <w:pPr>
        <w:spacing w:line="360" w:lineRule="auto"/>
        <w:rPr>
          <w:rStyle w:val="Titredulivre"/>
          <w:rFonts w:cs="Times New Roman"/>
          <w:lang w:val="en-GB"/>
        </w:rPr>
      </w:pPr>
      <w:r w:rsidRPr="00397EC7">
        <w:rPr>
          <w:rStyle w:val="Titredulivre"/>
          <w:rFonts w:cs="Times New Roman"/>
          <w:lang w:val="en-GB"/>
        </w:rPr>
        <w:t>The database contains data about all outpatient services reimbursed by National Health Insurance, including drugs, physician visits, and laboratory investigations, but does not provide any information about the medical indications. Patients with chronic diseases (LTD: long-term diseases), such as cancer or Crohn’s disease, are 100% reimbursed for their health expenditure, and the diagnosis is recorded (coded according to International Classification of Diseases (ICD)-10 codes</w:t>
      </w:r>
      <w:r w:rsidRPr="00397EC7">
        <w:rPr>
          <w:rStyle w:val="Titredulivre"/>
          <w:rFonts w:cs="Times New Roman"/>
          <w:lang w:val="en-GB"/>
        </w:rPr>
        <w:fldChar w:fldCharType="begin"/>
      </w:r>
      <w:r w:rsidRPr="00397EC7">
        <w:rPr>
          <w:rStyle w:val="Titredulivre"/>
          <w:rFonts w:cs="Times New Roman"/>
          <w:lang w:val="en-GB"/>
        </w:rPr>
        <w:instrText xml:space="preserve"> ADDIN ZOTERO_ITEM CSL_CITATION {"citationID":"gOhBaCn6","properties":{"formattedCitation":"\\super 4\\nosupersub{}","plainCitation":"4","noteIndex":0},"citationItems":[{"id":2336,"uris":["http://zotero.org/groups/81865/items/NUXRQWN2"],"uri":["http://zotero.org/groups/81865/items/NUXRQWN2"],"itemData":{"id":2336,"type":"book","title":"ICD-10: International statistical classification of diseases and health-related problems","publisher":"WHO","volume":"2","source":"Google Scholar","note":"00002","title-short":"ICD-10","issued":{"date-parts":[["1992"]]}}}],"schema":"https://github.com/citation-style-language/schema/raw/master/csl-citation.json"} </w:instrText>
      </w:r>
      <w:r w:rsidRPr="00397EC7">
        <w:rPr>
          <w:rStyle w:val="Titredulivre"/>
          <w:rFonts w:cs="Times New Roman"/>
          <w:lang w:val="en-GB"/>
        </w:rPr>
        <w:fldChar w:fldCharType="separate"/>
      </w:r>
      <w:r w:rsidRPr="00397EC7">
        <w:rPr>
          <w:rFonts w:ascii="Calibri" w:hAnsi="Calibri" w:cs="Times New Roman"/>
          <w:sz w:val="20"/>
          <w:szCs w:val="24"/>
          <w:vertAlign w:val="superscript"/>
          <w:lang w:val="en-GB"/>
        </w:rPr>
        <w:t>4</w:t>
      </w:r>
      <w:r w:rsidRPr="00397EC7">
        <w:rPr>
          <w:rStyle w:val="Titredulivre"/>
          <w:rFonts w:cs="Times New Roman"/>
          <w:lang w:val="en-GB"/>
        </w:rPr>
        <w:fldChar w:fldCharType="end"/>
      </w:r>
      <w:r w:rsidRPr="00397EC7">
        <w:rPr>
          <w:rStyle w:val="Titredulivre"/>
          <w:rFonts w:cs="Times New Roman"/>
          <w:lang w:val="en-GB"/>
        </w:rPr>
        <w:t xml:space="preserve">). The accuracy of medication use estimated on the basis of </w:t>
      </w:r>
      <w:r w:rsidR="00ED57E0" w:rsidRPr="00397EC7">
        <w:rPr>
          <w:rStyle w:val="Titredulivre"/>
          <w:rFonts w:cs="Times New Roman"/>
          <w:lang w:val="en-GB"/>
        </w:rPr>
        <w:t xml:space="preserve">SNDS </w:t>
      </w:r>
      <w:r w:rsidRPr="00397EC7">
        <w:rPr>
          <w:rStyle w:val="Titredulivre"/>
          <w:rFonts w:cs="Times New Roman"/>
          <w:lang w:val="en-GB"/>
        </w:rPr>
        <w:t xml:space="preserve">data has been previously investigated: drugs with the best agreements between </w:t>
      </w:r>
      <w:r w:rsidR="00ED57E0" w:rsidRPr="00397EC7">
        <w:rPr>
          <w:rStyle w:val="Titredulivre"/>
          <w:rFonts w:cs="Times New Roman"/>
          <w:lang w:val="en-GB"/>
        </w:rPr>
        <w:t xml:space="preserve">SNDS </w:t>
      </w:r>
      <w:r w:rsidRPr="00397EC7">
        <w:rPr>
          <w:rStyle w:val="Titredulivre"/>
          <w:rFonts w:cs="Times New Roman"/>
          <w:lang w:val="en-GB"/>
        </w:rPr>
        <w:t>data and patient interviews were antidiabetic and cardiovascular drugs (Kappa values &gt;0.80)</w:t>
      </w:r>
      <w:r w:rsidRPr="00397EC7">
        <w:rPr>
          <w:rStyle w:val="Titredulivre"/>
          <w:rFonts w:cs="Times New Roman"/>
          <w:lang w:val="en-GB"/>
        </w:rPr>
        <w:fldChar w:fldCharType="begin"/>
      </w:r>
      <w:r w:rsidRPr="00397EC7">
        <w:rPr>
          <w:rStyle w:val="Titredulivre"/>
          <w:rFonts w:cs="Times New Roman"/>
          <w:lang w:val="en-GB"/>
        </w:rPr>
        <w:instrText xml:space="preserve"> ADDIN ZOTERO_ITEM CSL_CITATION {"citationID":"odqVzBJB","properties":{"formattedCitation":"\\super 5\\nosupersub{}","plainCitation":"5","noteIndex":0},"citationItems":[{"id":93,"uris":["http://zotero.org/users/1321902/items/PLZGJKDY"],"uri":["http://zotero.org/users/1321902/items/PLZGJKDY"],"itemData":{"id":93,"type":"article-journal","title":"Comparison of health insurance claims and patient interviews in assessing drug use: data from the Three‐City (3C) Study","container-title":"Pharmacoepidemiology and Drug Safety","page":"310-319","volume":"18","issue":"4","source":"onlinelibrary.wiley.com (Atypon)","abstract":"Abstract Purpose Precise determination of drug exposure is fundamental in pharmacoepidemiology. Drug exposure is often presumed from health insurance claims but this may not correspond exactly to what subjects actually take. This study was designed to investigate French reimbursement databases in assessing drug use. Methods Between 1999 and 2001, 9294 subjects were included in the Three?City (3C) Study, a French cohort studying the relationship between vascular risk factors and dementia. Of these, 4112 subjects had data available from both clinical interviews and the reimbursement databases of the French national health insurance system. Agreement between drugs reported as used at interview and drugs reimbursed during the previous 30 or 60?days was measured with ? coefficients. Using calculations of sensitivity (Se), specificity (Sp), positive predictive values (PPVs) and negative predictive values (NPVs), the validity of reimbursement data for the 30 or 60?days preceding the interview was investigated taking drugs reported at interview as the ?gold standard?. Results Declared drug use at interview was less well predicted by 30?day than by 60?day reimbursement data. Agreement between reimbursement data and interviews as well as validity of reimbursement data with reference to interviews were substantial for drugs used in cardiovascular diseases, diabetes, rheumatic disorders or neuropsychiatric conditions and were poor for laxatives, vitamins, vasculoprotectives, first and second line analgesics, anti?infective products or dermatologicals. Conclusions Reimbursement data with an appropriate time frame and interviews estimate exposure to chronically used drugs similarly. Self?medication was better described with interviews whereas reimbursement data seem more useful for drugs used topically or intermittently. Copyright ? 2009 John Wiley &amp; Sons, Ltd.","DOI":"10.1002/pds.1717","ISSN":"1053-8569","title-short":"Comparison of health insurance claims and patient interviews in assessing drug use","journalAbbreviation":"Pharmacoepidemiology and Drug Safety","author":[{"family":"Noize","given":"Pernelle"},{"family":"Bazin","given":"Fabienne"},{"family":"Dufouil","given":"Carole"},{"family":"Lechevallier‐Michel","given":"Nathalie"},{"family":"Ancelin","given":"Marie‐Laure"},{"literal":"Dartigues Jean‐François"},{"literal":"Tzourio Christophe"},{"literal":"Moore Nicholas"},{"literal":"Fourrier‐Réglat Annie"}],"issued":{"date-parts":[["2009",2,24]]}}}],"schema":"https://github.com/citation-style-language/schema/raw/master/csl-citation.json"} </w:instrText>
      </w:r>
      <w:r w:rsidRPr="00397EC7">
        <w:rPr>
          <w:rStyle w:val="Titredulivre"/>
          <w:rFonts w:cs="Times New Roman"/>
          <w:lang w:val="en-GB"/>
        </w:rPr>
        <w:fldChar w:fldCharType="separate"/>
      </w:r>
      <w:r w:rsidRPr="00397EC7">
        <w:rPr>
          <w:rFonts w:ascii="Calibri" w:hAnsi="Calibri" w:cs="Times New Roman"/>
          <w:sz w:val="20"/>
          <w:szCs w:val="24"/>
          <w:vertAlign w:val="superscript"/>
          <w:lang w:val="en-GB"/>
        </w:rPr>
        <w:t>5</w:t>
      </w:r>
      <w:r w:rsidRPr="00397EC7">
        <w:rPr>
          <w:rStyle w:val="Titredulivre"/>
          <w:rFonts w:cs="Times New Roman"/>
          <w:lang w:val="en-GB"/>
        </w:rPr>
        <w:fldChar w:fldCharType="end"/>
      </w:r>
      <w:r w:rsidRPr="00397EC7">
        <w:rPr>
          <w:rStyle w:val="Titredulivre"/>
          <w:rFonts w:cs="Times New Roman"/>
          <w:lang w:val="en-GB"/>
        </w:rPr>
        <w:t>; the sensitivity of drug exposure was 85.3% with a specificity of 91% for antithrombotics</w:t>
      </w:r>
      <w:r w:rsidRPr="00397EC7">
        <w:rPr>
          <w:rStyle w:val="Titredulivre"/>
          <w:rFonts w:cs="Times New Roman"/>
          <w:lang w:val="en-GB"/>
        </w:rPr>
        <w:fldChar w:fldCharType="begin"/>
      </w:r>
      <w:r w:rsidRPr="00397EC7">
        <w:rPr>
          <w:rStyle w:val="Titredulivre"/>
          <w:rFonts w:cs="Times New Roman"/>
          <w:lang w:val="en-GB"/>
        </w:rPr>
        <w:instrText xml:space="preserve"> ADDIN ZOTERO_ITEM CSL_CITATION {"citationID":"mSPaCrNh","properties":{"formattedCitation":"\\super 6\\nosupersub{}","plainCitation":"6","noteIndex":0},"citationItems":[{"id":541,"uris":["http://zotero.org/users/1321902/items/WQFUTQUX"],"uri":["http://zotero.org/users/1321902/items/WQFUTQUX"],"itemData":{"id":541,"type":"article-journal","title":"Validity of chronic drug exposure presumed from repeated patient interviews varied according to drug class","container-title":"Journal of Clinical Epidemiology","page":"1061-1068","volume":"65","issue":"10","source":"www.jclinepi.com","DOI":"10.1016/j.jclinepi.2012.04.009","ISSN":"0895-4356, 1878-5921","note":"PMID: 22819646","journalAbbreviation":"Journal of Clinical Epidemiology","language":"English","author":[{"family":"Noize","given":"Pernelle"},{"family":"Bazin","given":"Fabienne"},{"family":"Pariente","given":"Antoine"},{"family":"Dufouil","given":"Carole"},{"family":"Ancelin","given":"Marie-Laure"},{"family":"Helmer","given":"Catherine"},{"family":"Moore","given":"Nicholas"},{"family":"Fourrier-Réglat","given":"Annie"}],"issued":{"date-parts":[["2012",10,1]]}}}],"schema":"https://github.com/citation-style-language/schema/raw/master/csl-citation.json"} </w:instrText>
      </w:r>
      <w:r w:rsidRPr="00397EC7">
        <w:rPr>
          <w:rStyle w:val="Titredulivre"/>
          <w:rFonts w:cs="Times New Roman"/>
          <w:lang w:val="en-GB"/>
        </w:rPr>
        <w:fldChar w:fldCharType="separate"/>
      </w:r>
      <w:r w:rsidRPr="00397EC7">
        <w:rPr>
          <w:rFonts w:ascii="Calibri" w:hAnsi="Calibri" w:cs="Times New Roman"/>
          <w:sz w:val="20"/>
          <w:szCs w:val="24"/>
          <w:vertAlign w:val="superscript"/>
          <w:lang w:val="en-GB"/>
        </w:rPr>
        <w:t>6</w:t>
      </w:r>
      <w:r w:rsidRPr="00397EC7">
        <w:rPr>
          <w:rStyle w:val="Titredulivre"/>
          <w:rFonts w:cs="Times New Roman"/>
          <w:lang w:val="en-GB"/>
        </w:rPr>
        <w:fldChar w:fldCharType="end"/>
      </w:r>
      <w:r w:rsidRPr="00397EC7">
        <w:rPr>
          <w:rStyle w:val="Titredulivre"/>
          <w:rFonts w:cs="Times New Roman"/>
          <w:lang w:val="en-GB"/>
        </w:rPr>
        <w:t xml:space="preserve">. </w:t>
      </w:r>
    </w:p>
    <w:p w14:paraId="2B9D0ED6" w14:textId="46E8576B" w:rsidR="00F27A4B" w:rsidRPr="00397EC7" w:rsidRDefault="00F27A4B" w:rsidP="00F27A4B">
      <w:pPr>
        <w:spacing w:line="360" w:lineRule="auto"/>
        <w:rPr>
          <w:rStyle w:val="Titredulivre"/>
          <w:rFonts w:cs="Times New Roman"/>
          <w:lang w:val="en-GB"/>
        </w:rPr>
      </w:pPr>
      <w:r w:rsidRPr="00397EC7">
        <w:rPr>
          <w:rStyle w:val="Titredulivre"/>
          <w:rFonts w:cs="Times New Roman"/>
          <w:lang w:val="en-GB"/>
        </w:rPr>
        <w:t xml:space="preserve">The database </w:t>
      </w:r>
      <w:r w:rsidR="00ED57E0" w:rsidRPr="00397EC7">
        <w:rPr>
          <w:rStyle w:val="Titredulivre"/>
          <w:rFonts w:cs="Times New Roman"/>
          <w:lang w:val="en-GB"/>
        </w:rPr>
        <w:t xml:space="preserve">also </w:t>
      </w:r>
      <w:r w:rsidRPr="00397EC7">
        <w:rPr>
          <w:rStyle w:val="Titredulivre"/>
          <w:rFonts w:cs="Times New Roman"/>
          <w:lang w:val="en-GB"/>
        </w:rPr>
        <w:t xml:space="preserve">contains the procedures performed during all hospital stays (notably, colonoscopies), and the principal (DP), related (DR), and associated (DAS) diagnoses (coded according to ICD-10). DP and DR correspond to the diseases justifying admission to hospital, and DAS are comorbidities or adverse events treated during the hospitalization. In order to be recorded as a hospitalization diagnosis in the </w:t>
      </w:r>
      <w:r w:rsidR="00ED57E0" w:rsidRPr="00397EC7">
        <w:rPr>
          <w:rStyle w:val="Titredulivre"/>
          <w:rFonts w:cs="Times New Roman"/>
          <w:lang w:val="en-GB"/>
        </w:rPr>
        <w:t xml:space="preserve">database </w:t>
      </w:r>
      <w:r w:rsidRPr="00397EC7">
        <w:rPr>
          <w:rStyle w:val="Titredulivre"/>
          <w:rFonts w:cs="Times New Roman"/>
          <w:lang w:val="en-GB"/>
        </w:rPr>
        <w:t xml:space="preserve">(DP, DR, or DAS), the diagnosis therefore had to have an impact on medical care. Procedures are coded according to the French medical classification for clinical procedures (CCAM, </w:t>
      </w:r>
      <w:r w:rsidRPr="00397EC7">
        <w:rPr>
          <w:rStyle w:val="Titredulivre"/>
          <w:rFonts w:cs="Times New Roman"/>
          <w:i/>
          <w:lang w:val="en-GB"/>
        </w:rPr>
        <w:t xml:space="preserve">Classification commune des </w:t>
      </w:r>
      <w:proofErr w:type="spellStart"/>
      <w:r w:rsidRPr="00397EC7">
        <w:rPr>
          <w:rStyle w:val="Titredulivre"/>
          <w:rFonts w:cs="Times New Roman"/>
          <w:i/>
          <w:lang w:val="en-GB"/>
        </w:rPr>
        <w:t>actes</w:t>
      </w:r>
      <w:proofErr w:type="spellEnd"/>
      <w:r w:rsidRPr="00397EC7">
        <w:rPr>
          <w:rStyle w:val="Titredulivre"/>
          <w:rFonts w:cs="Times New Roman"/>
          <w:i/>
          <w:lang w:val="en-GB"/>
        </w:rPr>
        <w:t xml:space="preserve"> médicaux</w:t>
      </w:r>
      <w:r w:rsidRPr="00397EC7">
        <w:rPr>
          <w:rStyle w:val="Titredulivre"/>
          <w:rFonts w:cs="Times New Roman"/>
          <w:lang w:val="en-GB"/>
        </w:rPr>
        <w:fldChar w:fldCharType="begin"/>
      </w:r>
      <w:r w:rsidRPr="00397EC7">
        <w:rPr>
          <w:rStyle w:val="Titredulivre"/>
          <w:rFonts w:cs="Times New Roman"/>
          <w:lang w:val="en-GB"/>
        </w:rPr>
        <w:instrText xml:space="preserve"> ADDIN ZOTERO_ITEM CSL_CITATION {"citationID":"8tw2Rmfh","properties":{"formattedCitation":"\\super 7\\nosupersub{}","plainCitation":"7","noteIndex":0},"citationItems":[{"id":908,"uris":["http://zotero.org/users/1321902/items/5JQ5RQG6"],"uri":["http://zotero.org/users/1321902/items/5JQ5RQG6"],"itemData":{"id":908,"type":"article-journal","title":"Classification commune des actes médicaux","container-title":"Bulletin officiel","issue":"2007/3 bis","issued":{"date-parts":[["2007",2]]}}}],"schema":"https://github.com/citation-style-language/schema/raw/master/csl-citation.json"} </w:instrText>
      </w:r>
      <w:r w:rsidRPr="00397EC7">
        <w:rPr>
          <w:rStyle w:val="Titredulivre"/>
          <w:rFonts w:cs="Times New Roman"/>
          <w:lang w:val="en-GB"/>
        </w:rPr>
        <w:fldChar w:fldCharType="separate"/>
      </w:r>
      <w:r w:rsidRPr="00397EC7">
        <w:rPr>
          <w:rFonts w:ascii="Calibri" w:hAnsi="Calibri" w:cs="Times New Roman"/>
          <w:sz w:val="20"/>
          <w:szCs w:val="24"/>
          <w:vertAlign w:val="superscript"/>
          <w:lang w:val="en-GB"/>
        </w:rPr>
        <w:t>7</w:t>
      </w:r>
      <w:r w:rsidRPr="00397EC7">
        <w:rPr>
          <w:rStyle w:val="Titredulivre"/>
          <w:rFonts w:cs="Times New Roman"/>
          <w:lang w:val="en-GB"/>
        </w:rPr>
        <w:fldChar w:fldCharType="end"/>
      </w:r>
      <w:r w:rsidRPr="00397EC7">
        <w:rPr>
          <w:rStyle w:val="Titredulivre"/>
          <w:rFonts w:cs="Times New Roman"/>
          <w:lang w:val="en-GB"/>
        </w:rPr>
        <w:t xml:space="preserve">). The database does not contain any information about the inpatient or outpatient status, which cannot be deduced from other data. Drugs used during hospitalization (notably, those used for sedation) are not available, except for certain expensive drugs (such as some types of cancer chemotherapy). Dates available </w:t>
      </w:r>
      <w:r w:rsidR="00ED57E0" w:rsidRPr="00397EC7">
        <w:rPr>
          <w:rStyle w:val="Titredulivre"/>
          <w:rFonts w:cs="Times New Roman"/>
          <w:lang w:val="en-GB"/>
        </w:rPr>
        <w:t>for hospital stays</w:t>
      </w:r>
      <w:r w:rsidRPr="00397EC7">
        <w:rPr>
          <w:rStyle w:val="Titredulivre"/>
          <w:rFonts w:cs="Times New Roman"/>
          <w:lang w:val="en-GB"/>
        </w:rPr>
        <w:t xml:space="preserve"> are admission date, discharge date, and procedure (e.g. colonoscopy) date. For the purposes of this study, admission date was used as an approximation for the SAE date.</w:t>
      </w:r>
    </w:p>
    <w:p w14:paraId="434EE1BD" w14:textId="77777777" w:rsidR="00F27A4B" w:rsidRPr="00397EC7" w:rsidRDefault="00F27A4B" w:rsidP="00F27A4B">
      <w:pPr>
        <w:spacing w:before="240" w:after="0" w:line="360" w:lineRule="auto"/>
        <w:rPr>
          <w:rStyle w:val="Titredulivre"/>
          <w:rFonts w:cs="Times New Roman"/>
          <w:lang w:val="en-GB"/>
        </w:rPr>
      </w:pPr>
      <w:r w:rsidRPr="00397EC7">
        <w:rPr>
          <w:rStyle w:val="Titredulivre"/>
          <w:rFonts w:cs="Times New Roman"/>
          <w:lang w:val="en-GB"/>
        </w:rPr>
        <w:t xml:space="preserve">Almost all persons living in France are covered by one of the various national health insurance schemes. Each national health insurance scheme reimburses almost all medical care (including colonoscopies) at the same rate for both public and private care. Persons with limited income or LTD are 100% reimbursed. The general scheme is the largest health insurance scheme in France (covering 76% of the population living in France). This scheme includes employed workers, retired, unemployed, and disadvantaged people. Follow-up of beneficiaries is stable, as people rarely leave this scheme. Other schemes (mainly farmers and self-employed) </w:t>
      </w:r>
      <w:r w:rsidRPr="00397EC7">
        <w:rPr>
          <w:rStyle w:val="Titredulivre"/>
          <w:rFonts w:cs="Times New Roman"/>
          <w:lang w:val="en-GB"/>
        </w:rPr>
        <w:lastRenderedPageBreak/>
        <w:t>are more specific. The present study was restricted to the general scheme, as reliable information (notably on death date) for the entire study period is only available for this scheme.</w:t>
      </w:r>
    </w:p>
    <w:p w14:paraId="4436D9C4" w14:textId="5A6E873A" w:rsidR="00F27A4B" w:rsidRPr="00397EC7" w:rsidRDefault="00ED57E0" w:rsidP="00A6091F">
      <w:pPr>
        <w:spacing w:before="240" w:line="360" w:lineRule="auto"/>
        <w:rPr>
          <w:rStyle w:val="Titredulivre"/>
          <w:rFonts w:cs="Times New Roman"/>
          <w:lang w:val="en-GB"/>
        </w:rPr>
      </w:pPr>
      <w:r w:rsidRPr="00397EC7">
        <w:rPr>
          <w:rStyle w:val="Titredulivre"/>
          <w:rFonts w:cs="Times New Roman"/>
          <w:lang w:val="en-GB"/>
        </w:rPr>
        <w:t>SNDS</w:t>
      </w:r>
      <w:r w:rsidR="00F27A4B" w:rsidRPr="00397EC7">
        <w:rPr>
          <w:rStyle w:val="Titredulivre"/>
          <w:rFonts w:cs="Times New Roman"/>
          <w:lang w:val="en-GB"/>
        </w:rPr>
        <w:t xml:space="preserve"> data are commonly used for non-interventional studies in various conditions. To date, more than 400 published studies have used these databases</w:t>
      </w:r>
      <w:r w:rsidR="00F27A4B" w:rsidRPr="00397EC7">
        <w:rPr>
          <w:rStyle w:val="Titredulivre"/>
          <w:rFonts w:cs="Times New Roman"/>
          <w:lang w:val="en-GB"/>
        </w:rPr>
        <w:fldChar w:fldCharType="begin"/>
      </w:r>
      <w:r w:rsidR="00F27A4B" w:rsidRPr="00397EC7">
        <w:rPr>
          <w:rStyle w:val="Titredulivre"/>
          <w:rFonts w:cs="Times New Roman"/>
          <w:lang w:val="en-GB"/>
        </w:rPr>
        <w:instrText xml:space="preserve"> ADDIN ZOTERO_ITEM CSL_CITATION {"citationID":"LvdFOY3Z","properties":{"formattedCitation":"\\super 3\\nosupersub{}","plainCitation":"3","noteIndex":0},"citationItems":[{"id":607,"uris":["http://zotero.org/users/1321902/items/GNNJIBCA"],"uri":["http://zotero.org/users/1321902/items/GNNJIBCA"],"itemData":{"id":607,"type":"article-journal","title":"Value of a national administrative database to guide public decisions: From the système national d'information interrégimes de l'Assurance Maladie (SNIIRAM) to the système national des données de santé (SNDS) in France","container-title":"Revue D'epidemiologie Et De Sante Publique","page":"S149-S167","volume":"65 Suppl 4","source":"PubMed","abstract":"In 1999, French legislators asked health insurance funds to develop a système national d'information interrégimes de l'Assurance Maladie (SNIIRAM) [national health insurance information system] in order to more precisely determine and evaluate health care utilization and health care expenditure of beneficiaries. These data, based on almost 66 million inhabitants in 2015, have already been the subject of numerous international publications on various topics: prevalence and incidence of diseases, patient care pathways, health status and health care utilization of specific populations, real-life use of drugs, assessment of adverse effects of drugs or other health care procedures, monitoring of national health insurance expenditure, etc. SNIIRAM comprises individual information on the sociodemographic and medical characteristics of beneficiaries and all hospital care and office medicine reimbursements, coded according to various systems. Access to data is controlled by permissions dependent on the type of data requested or used, their temporality and the researcher's status. In general, data can be analyzed by accredited agencies over a period covering the last three years plus the current year, and specific requests can be submitted to extract data over longer periods. A 1/97th random sample of SNIIRAM, the échantillon généraliste des bénéficiaires (EGB), representative of the national population of health insurance beneficiaries, was composed in 2005 to allow 20-year follow-up with facilitated access for medical research. The EGB is an open cohort, which includes new beneficiaries and newborn infants. SNIIRAM has continued to grow and extend to become, in 2016, the cornerstone of the future système national des données de santé (SNDS) [national health data system], which will gradually integrate new information (causes of death, social and medical data and complementary health insurance). In parallel, the modalities of data access and protection systems have also evolved. This article describes the SNIIRAM data warehouse and its transformation into SNDS, the data collected, the tools developed in order to facilitate data analysis, the limitations encountered, and changing access permissions.","DOI":"10.1016/j.respe.2017.05.004","ISSN":"0398-7620","note":"PMID: 28756037","title-short":"Value of a national administrative database to guide public decisions","journalAbbreviation":"Rev Epidemiol Sante Publique","language":"eng","author":[{"family":"Tuppin","given":"P."},{"family":"Rudant","given":"J."},{"family":"Constantinou","given":"P."},{"family":"Gastaldi-Ménager","given":"C."},{"family":"Rachas","given":"A."},{"family":"Roquefeuil","given":"L.","non-dropping-particle":"de"},{"family":"Maura","given":"G."},{"family":"Caillol","given":"H."},{"family":"Tajahmady","given":"A."},{"family":"Coste","given":"J."},{"family":"Gissot","given":"C."},{"family":"Weill","given":"A."},{"family":"Fagot-Campagna","given":"A."}],"issued":{"date-parts":[["2017",10]]}}}],"schema":"https://github.com/citation-style-language/schema/raw/master/csl-citation.json"} </w:instrText>
      </w:r>
      <w:r w:rsidR="00F27A4B" w:rsidRPr="00397EC7">
        <w:rPr>
          <w:rStyle w:val="Titredulivre"/>
          <w:rFonts w:cs="Times New Roman"/>
          <w:lang w:val="en-GB"/>
        </w:rPr>
        <w:fldChar w:fldCharType="separate"/>
      </w:r>
      <w:r w:rsidR="00F27A4B" w:rsidRPr="00397EC7">
        <w:rPr>
          <w:rFonts w:ascii="Calibri" w:hAnsi="Calibri" w:cs="Times New Roman"/>
          <w:sz w:val="20"/>
          <w:szCs w:val="24"/>
          <w:vertAlign w:val="superscript"/>
          <w:lang w:val="en-GB"/>
        </w:rPr>
        <w:t>3</w:t>
      </w:r>
      <w:r w:rsidR="00F27A4B" w:rsidRPr="00397EC7">
        <w:rPr>
          <w:rStyle w:val="Titredulivre"/>
          <w:rFonts w:cs="Times New Roman"/>
          <w:lang w:val="en-GB"/>
        </w:rPr>
        <w:fldChar w:fldCharType="end"/>
      </w:r>
      <w:r w:rsidR="00F27A4B" w:rsidRPr="00397EC7">
        <w:rPr>
          <w:rStyle w:val="Titredulivre"/>
          <w:rFonts w:cs="Times New Roman"/>
          <w:lang w:val="en-GB"/>
        </w:rPr>
        <w:t xml:space="preserve"> (see for example</w:t>
      </w:r>
      <w:r w:rsidR="00F27A4B" w:rsidRPr="00397EC7">
        <w:rPr>
          <w:rStyle w:val="Titredulivre"/>
          <w:rFonts w:cs="Times New Roman"/>
          <w:lang w:val="en-GB"/>
        </w:rPr>
        <w:fldChar w:fldCharType="begin"/>
      </w:r>
      <w:r w:rsidR="00F27A4B" w:rsidRPr="00397EC7">
        <w:rPr>
          <w:rStyle w:val="Titredulivre"/>
          <w:rFonts w:cs="Times New Roman"/>
          <w:lang w:val="en-GB"/>
        </w:rPr>
        <w:instrText xml:space="preserve"> ADDIN ZOTERO_ITEM CSL_CITATION {"citationID":"43yTfAtU","properties":{"unsorted":true,"formattedCitation":"\\super 8\\uc0\\u8211{}15\\nosupersub{}","plainCitation":"8–15","noteIndex":0},"citationItems":[{"id":98,"uris":["http://zotero.org/users/1321902/items/WUFH662V"],"uri":["http://zotero.org/users/1321902/items/WUFH662V"],"itemData":{"id":98,"type":"article-journal","title":"Association of Hysteroscopic vs Laparoscopic Sterilization With Procedural, Gynecological, and Medical Outcomes","container-title":"JAMA","page":"375-387","volume":"319","issue":"4","source":"PubMed","abstract":"Importance: Safety of hysteroscopic sterilization has been recently questioned following reports of general symptoms such as allergy, tiredness, and depression in addition to associated gynecological results such as pelvic pain, perforation of fallopian tubes or uterus, and unwanted pregnancy.\nObjective: To compare the risk of reported adverse events between hysteroscopic and laparoscopic sterilization.\nDesign, Setting, and Participants: French nationwide cohort study using the national hospital discharge database linked to the health insurance claims database. Women aged 30 to 54 years receiving a first hysteroscopic or laparoscopic sterilization between 2010 and 2014 were included and were followed up through December 2015.\nExposures: Hysteroscopic sterilization vs laparoscopic sterilization.\nMain Outcomes and Measures: Risks of procedural complications (surgical and medical) and of gynecological (sterilization failure that includes salpingectomy, second sterilization procedure, or pregnancy; pregnancy; reoperation) and medical outcomes (all types of allergy; autoimmune diseases; thyroid disorder; use of analgesics, antimigraines, antidepressants, benzodiazepines; outpatient visits; sickness absence; suicide attempts; death) that occurred within 1 and 3 years after sterilization were compared using inverse probability of treatment-weighted Cox models.\nResults: Of the 105 357 women included (95.5% of eligible participants; mean age, 41.3 years [SD, 3.7 years]), 71 303 (67.7% ) underwent hysteroscopic sterilization, and 34 054 (32.3%) underwent laparoscopic sterilization. During the hospitalization for sterilization, risk of surgical complications for hysteroscopic sterilization was lower: 0.13% for hysteroscopic sterilization vs 0.78% for laparoscopic sterilization (adjusted risk difference [RD], -0.64; 95% CI, -0.67 to -0.60) and was lower for medical complications: 0.06% vs 0.11% (adjusted RD, -0.05; 95% CI, -0.08 to -0.01). During the first year after sterilization, 4.83% of women who underwent hysteroscopic sterilization had a higher risk of sterilization failure than the 0.69% who underwent laparoscopic sterilization (adjusted hazard ratio [HR], 7.11; 95% CI, 5.92 to 8.54; adjusted RD, 4.23 per 100 person-years; 95% CI, 3.40 to 5.22). Additionally, 5.65% of women who underwent hysteroscopic sterilization required gynecological reoperation vs 1.76% of women who underwent laparoscopic sterilization (adjusted HR, 3.26; 95% CI, 2.90 to 3.67; adjusted RD, 4.63 per 100 person-years; 95% CI, 3.38 to 4.75); these differences persisted after 3 years, although attenuated. Hysteroscopic sterilization was associated with a lower risk of pregnancy within the first year of the procedure but was not significantly associated with a difference in risk of pregnancy by the third year (adjusted HR, 1.04; 95% CI, 0.83-1.30; adjusted RD, 0.01 per 100 person-years; 95% CI, -0.04 to 0.07). Risks of medical outcomes were not significantly increased with hysteroscopic sterilization compared with laparoscopic sterilization.\nConclusions and Relevance: Among women undergoing first sterilization, the use of hysteroscopic sterilization was significantly associated with higher risk of gynecological complications over 1 year and over 3 years than was laparoscopic sterilization. Risk of medical outcomes was not significantly increased over 1 year or over 3 years. These findings do not support increased medical risks associated with hysteroscopic sterilization.","DOI":"10.1001/jama.2017.21269","ISSN":"1538-3598","note":"PMID: 29362796\nPMCID: PMC5833563","journalAbbreviation":"JAMA","language":"eng","author":[{"family":"Bouillon","given":"Kim"},{"family":"Bertrand","given":"Marion"},{"family":"Bader","given":"Georges"},{"family":"Lucot","given":"Jean-Philippe"},{"family":"Dray-Spira","given":"Rosemary"},{"family":"Zureik","given":"Mahmoud"}],"issued":{"date-parts":[["2018"]],"season":"23"}}},{"id":540,"uris":["http://zotero.org/users/1321902/items/HYR5N4FC"],"uri":["http://zotero.org/users/1321902/items/HYR5N4FC"],"itemData":{"id":540,"type":"article-journal","title":"Association Between Use of Thiopurines or Tumor Necrosis Factor Antagonists Alone or in Combination and Risk of Lymphoma in Patients With Inflammatory Bowel Disease","container-title":"JAMA","page":"1679-1686","volume":"318","issue":"17","source":"jamanetwork-com.gate2.inist.fr","abstract":"&lt;h3&gt;Importance&lt;/h3&gt;&lt;p&gt;An increased risk of lymphoma has been reported among patients receiving thiopurines for inflammatory bowel disease (IBD). The risk of lymphoma associated with anti–tumor necrosis factor (TNF) agents either alone or in combination with thiopurines is uncertain.&lt;/p&gt;&lt;h3&gt;Objective&lt;/h3&gt;&lt;p&gt;To assess the risk of lymphoma associated with thiopurines and anti-TNF agents, used alone or in combination, for the management of IBD.&lt;/p&gt;&lt;h3&gt;Design, Setting, and Participants&lt;/h3&gt;&lt;p&gt;Nationwide cohort study based on French National Health Insurance databases. Patients aged 18 years or older identified with IBD were included from January 1, 2009, through December 31, 2013, and followed up until December 31, 2015.&lt;/p&gt;&lt;h3&gt;Exposures&lt;/h3&gt;&lt;p&gt;At each time of the follow-up, patients were categorized as being exposed to thiopurine monotherapy, anti-TNF monotherapy, or combination therapy, or being unexposed.&lt;/p&gt;&lt;h3&gt;Main Outcomes and Measures&lt;/h3&gt;&lt;p&gt;The primary outcome was incident lymphoma.&lt;/p&gt;&lt;h3&gt;Results&lt;/h3&gt;&lt;p&gt;Among the 189 289 patients included (54% women; median age, 43 years [interquartile range, 32-56 years]) and followed up for a median of 6.7 years, 123 069 were never exposed during follow-up, 50 405 were exposed to thiopurine monotherapy, 30 294 to anti-TNF monotherapy, and 14 229 to combination therapy. Overall, 336 lymphoma cases occurred: 220 in unexposed patients (incidence rate [IR] per 1000 person-years, 0.26; 95% CI, 0.23-0.29), 70 in patients exposed to thiopurine monotherapy (IR, 0.54; 95% CI, 0.41-0.67), 32 in patients exposed to anti-TNF monotherapy (IR, 0.41; 95% CI, 0.27-0.55), and 14 in patients exposed to combination therapy (IR, 0.95; 95% CI, 0.45-1.45). In a multivariable Cox model, compared with unexposed patients, the risk of lymphoma was higher among those exposed to thiopurine monotherapy (adjusted hazard ratio [aHR], 2.60; 95% CI, 1.96-3.44;&lt;i&gt;P&lt;/i&gt; &amp;lt; .001), anti-TNF monotherapy (aHR, 2.41; 95% CI, 1.60-3.64;&lt;i&gt;P&lt;/i&gt; &amp;lt; .001), or combination therapy (aHR, 6.11; 95% CI, 3.46-10.8;&lt;i&gt;P&lt;/i&gt; &amp;lt; .001). The risk was higher in patients exposed to combination therapy vs those exposed to thiopurine monotherapy (aHR, 2.35; 95% CI, 1.31-4.22;&lt;i&gt;P&lt;/i&gt; &amp;lt; .001) or anti-TNF monotherapy (aHR, 2.53; 95% CI, 1.35-4.77;&lt;i&gt;P&lt;/i&gt; &amp;lt; .001).&lt;/p&gt;&lt;h3&gt;Conclusions and Relevance&lt;/h3&gt;&lt;p&gt;Among adults with IBD, the use of thiopurine monotherapy or anti-TNF monotherapy was associated with a small but statistically significant increased risk of lymphoma compared with exposure to neither medication, and this risk was higher with combination therapy than with each of these treatments used alone. These findings may inform decisions regarding the benefits and risks of treatment.&lt;/p&gt;","DOI":"10.1001/jama.2017.16071","ISSN":"0098-7484","journalAbbreviation":"JAMA","language":"en","author":[{"family":"Lemaitre","given":"Magali"},{"family":"Kirchgesner","given":"Julien"},{"family":"Rudnichi","given":"Annie"},{"family":"Carrat","given":"Fabrice"},{"family":"Zureik","given":"Mahmoud"},{"family":"Carbonnel","given":"Franck"},{"family":"Dray-Spira","given":"Rosemary"}],"issued":{"date-parts":[["2017",11,7]]}}},{"id":97,"uris":["http://zotero.org/users/1321902/items/KMDWHGV6"],"uri":["http://zotero.org/users/1321902/items/KMDWHGV6"],"itemData":{"id":97,"type":"article-journal","title":"Association Between Bariatric Surgery and Rates of Continuation, Discontinuation, or Initiation of Antidiabetes Treatment 6 Years Later","container-title":"JAMA surgery","source":"PubMed","abstract":"Importance: Few large-scale long-term prospective cohort studies have assessed changes in antidiabetes treatment after bariatric surgery.\nObjective: To describe the association between bariatric surgery and rates of continuation, discontinuation, or initiation of antidiabetes treatment 6 years after bariatric surgery compared with a matched control obese group.\nDesign, Setting, and Participants: This nationwide observational population-based cohort study extracted health care reimbursement data from the French national health insurance database from January 1, 2008, to December 31, 2015. All patients undergoing primary bariatric surgery in France between January 1 and December 31, 2009, were matched on age, sex, body mass index category, and antidiabetes treatment with control patients hospitalized for obesity in 2009 with no bariatric surgery between 2005 and 2015.\nExposures: Bariatric surgery, including adjustable gastric banding (AGB), gastric bypass (GBP), and sleeve gastrectomy (SG).\nMain Outcome and Measure: Reimbursement for antidiabetes drugs. Mixed-effects logistic regression models estimated factors of discontinuation or initiation of antidiabetes treatment over a period of 6 years.\nResults: In 2009, a total of 15 650 patients (mean [SD] age, 38.9 [11.2] years; 84.6% female; 1633 receiving antidiabetes treatment) underwent primary bariatric surgery, with 48.5% undergoing AGB, 27.7% undergoing GBP, and 22.0% undergoing SG. Among patients receiving antidiabetes treatment at baseline, the antidiabetes treatment discontinuation rate was higher 6 years after bariatric surgery than in controls (-49.9% vs -9.0%, P &lt; .001). In multivariable analysis, the main predictive factors for discontinuation were the following: GBP (odds ratio [OR], 16.7; 95% CI, 13.0-21.4), SG (OR, 7.30; 95% CI, 5.50-9.50), and AGB (OR, 4.30; 95% CI, 3.30-5.60) compared with no bariatric surgery, as well as insulin use (OR, 0.17; 95% CI, 0.13-0.22), dual therapy without insulin (OR, 0.38; 95% CI, 0.32-0.45) vs monotherapy, lipid-lowering treatment (OR, 0.76; 95% CI, 0.63-0.91), antidepressant treatment (OR, 0.67; 95% CI, 0.55-0.81), and age (OR, 0.96; 95% CI, 0.95-0.97) per year. For patients without antidiabetes treatment at baseline, the 6-year antidiabetes treatment initiation rate was much lower after bariatric surgery than in controls (1.4% vs 12.0%, P &lt; .001). In multivariable analysis, protective factors were GBP (OR, 0.06; 95% CI, 0.04-0.09), SG (OR, 0.08; 95% CI, 0.06-0.11), and AGB (OR, 0.16; 95% CI, 0.14-0.20) vs controls, and risk factors were as follows: body mass index category (OR, 2.04; 95% CI, 1.68-2.47 for ≥50.0 vs 30.0-39.9 and OR, 1.68; 95% CI, 1.49-1.90 for 40.0-49.9 vs 30.0-39.9), antihypertensive treatment (OR, 1.49; 95% CI, 1.33-1.67), low income (OR, 1.43; 95 % CI, 1.26-1.62), and age (OR, 1.04; 95 % CI, 1.03-1.05) per year.\nConclusions and Relevance: Bariatric surgery was associated with a significantly higher 6-year postoperative antidiabetes treatment discontinuation rate compared with baseline and with an obese control group without bariatric surgery.","DOI":"10.1001/jamasurg.2017.6163","ISSN":"2168-6262","note":"PMID: 29450469\nPMCID: PMC5875344","journalAbbreviation":"JAMA Surg","language":"eng","author":[{"family":"Thereaux","given":"Jérémie"},{"family":"Lesuffleur","given":"Thomas"},{"family":"Czernichow","given":"Sébastien"},{"family":"Basdevant","given":"Arnaud"},{"family":"Msika","given":"Simon"},{"family":"Nocca","given":"David"},{"family":"Millat","given":"Bertrand"},{"family":"Fagot-Campagna","given":"Anne"}],"issued":{"date-parts":[["2018",2,14]]}}},{"id":539,"uris":["http://zotero.org/users/1321902/items/5XRGTTZA"],"uri":["http://zotero.org/users/1321902/items/5XRGTTZA"],"itemData":{"id":539,"type":"article-journal","title":"Dental procedures, antibiotic prophylaxis, and endocarditis among people with prosthetic heart valves: nationwide population based cohort and a case crossover study","container-title":"BMJ (Clinical research ed.)","page":"j3776","volume":"358","source":"PubMed","abstract":"Objective\n To assess the relation between invasive dental procedures and infective endocarditis associated with oral streptococci among people with prosthetic heart valves.Design Nationwide population based cohort and a case crossover study.Setting French national health insurance administrative data linked with the national hospital discharge database.Participants All adults aged more than 18 years, living in France, with medical procedure codes for positioning or replacement of prosthetic heart valves between July 2008 and July 2014.Main outcome measures Oral streptococcal infective endocarditis was identified using primary discharge diagnosis codes. In the cohort study, Poisson regression models were performed to estimate the rate of oral streptococcal infective endocarditis during the three month period after invasive dental procedures compared with non-exposure periods. In the case crossover study, conditional logistic regression models calculated the odds ratio and 95% confidence intervals comparing exposure to invasive dental procedures during the three month period preceding oral streptococcal infective endocarditis (case period) with three earlier control periods.Results The cohort included 138 876 adults with prosthetic heart valves (285 034 person years); 69 303 (49.9%) underwent at least one dental procedure. Among the 396 615 dental procedures performed, 103 463 (26.0%) were invasive and therefore presented an indication for antibiotic prophylaxis, which was performed in 52 280 (50.1%). With a median follow-up of 1.7 years, 267 people developed infective endocarditis associated with oral streptococci (incidence rate 93.7 per 100 000 person years, 95% confidence interval 82.4 to 104.9). Compared with non-exposure periods, no statistically significant increased rate of oral streptococcal infective endocarditis was observed during the three months after an invasive dental procedure (relative rate 1.25, 95% confidence interval 0.82 to 1.82; P=0.26) and after an invasive dental procedure without antibiotic prophylaxis (1.57, 0.90 to 2.53; P=0.08). In the case crossover analysis, exposure to invasive dental procedures was more frequent during case periods than during matched control periods (5.1%v3.2%; odds ratio 1.66, 95% confidence interval 1.05 to 2.63; P=0.03).Conclusion Invasive dental procedures may contribute to the development of infective endocarditis in adults with prosthetic heart valves.","ISSN":"1756-1833","note":"PMID: 28882817\nPMCID: PMC5588045","title-short":"Dental procedures, antibiotic prophylaxis, and endocarditis among people with prosthetic heart valves","journalAbbreviation":"BMJ","language":"eng","author":[{"family":"Tubiana","given":"Sarah"},{"family":"Blotière","given":"Pierre-Olivier"},{"family":"Hoen","given":"Bruno"},{"family":"Lesclous","given":"Philippe"},{"family":"Millot","given":"Sarah"},{"family":"Rudant","given":"Jérémie"},{"family":"Weill","given":"Alain"},{"family":"Coste","given":"Joel"},{"family":"Alla","given":"François"},{"family":"Duval","given":"Xavier"}],"issued":{"date-parts":[["2017",9,7]]}}},{"id":96,"uris":["http://zotero.org/users/1321902/items/ZYUCL9TX"],"uri":["http://zotero.org/users/1321902/items/ZYUCL9TX"],"itemData":{"id":96,"type":"article-journal","title":"Low dose oestrogen combined oral contraception and risk of pulmonary embolism, stroke, and myocardial infarction in five million French women: cohort study","container-title":"BMJ (Clinical research ed.)","page":"i2002","volume":"353","source":"PubMed","abstract":"OBJECTIVE: To assess the risk of pulmonary embolism, ischaemic stroke, and myocardial infarction associated with combined oral contraceptives according to dose of oestrogen (ethinylestradiol) and progestogen.\nDESIGN: Observational cohort study.\nSETTING: Data from the French national health insurance database linked with data from the French national hospital discharge database.\nPARTICIPANTS: 4 945 088 women aged 15-49 years, living in France, with at least one reimbursement for oral contraceptives and no previous hospital admission for cancer, pulmonary embolism, ischaemic stroke, or myocardial infarction, between July 2010 and September 2012.\nMAIN OUTCOME MEASURES: Relative and absolute risks of first pulmonary embolism, ischaemic stroke, and myocardial infarction.\nRESULTS: The cohort generated 5 443 916 women years of oral contraceptive use, and 3253 events were observed: 1800 pulmonary embolisms (33 per 100 000 women years), 1046 ischaemic strokes (19 per 100 000 women years), and 407 myocardial infarctions (7 per 100 000 women years). After adjustment for progestogen and risk factors, the relative risks for women using low dose oestrogen (20 µg v 30-40 µg) were 0.75 (95% confidence interval 0.67 to 0.85) for pulmonary embolism, 0.82 (0.70 to 0.96) for ischaemic stroke, and 0.56 (0.39 to 0.79) for myocardial infarction. After adjustment for oestrogen dose and risk factors, desogestrel and gestodene were associated with statistically significantly higher relative risks for pulmonary embolism (2.16, 1.93 to 2.41 and 1.63, 1.34 to 1.97, respectively) compared with levonorgestrel. Levonorgestrel combined with 20 µg oestrogen was associated with a statistically significantly lower risk than levonorgestrel with 30-40 µg oestrogen for each of the three serious adverse events.\nCONCLUSIONS: For the same dose of oestrogen, desogestrel and gestodene were associated with statistically significantly higher risks of pulmonary embolism but not arterial thromboembolism compared with levonorgestrel. For the same type of progestogen, an oestrogen dose of 20 µg versus 30-40 µg was associated with lower risks of pulmonary embolism, ischaemic stroke, and myocardial infarction.","ISSN":"1756-1833","note":"PMID: 27164970\nPMCID: PMC4862376","title-short":"Low dose oestrogen combined oral contraception and risk of pulmonary embolism, stroke, and myocardial infarction in five million French women","journalAbbreviation":"BMJ","language":"eng","author":[{"family":"Weill","given":"Alain"},{"family":"Dalichampt","given":"Marie"},{"family":"Raguideau","given":"Fanny"},{"family":"Ricordeau","given":"Philippe"},{"family":"Blotière","given":"Pierre-Olivier"},{"family":"Rudant","given":"Jérémie"},{"family":"Alla","given":"François"},{"family":"Zureik","given":"Mahmoud"}],"issued":{"date-parts":[["2016"]],"season":"10"}}},{"id":538,"uris":["http://zotero.org/users/1321902/items/GKLU9UFD"],"uri":["http://zotero.org/users/1321902/items/GKLU9UFD"],"itemData":{"id":538,"type":"article-journal","title":"Severe intestinal malabsorption associated with olmesartan: a French nationwide observational cohort study","container-title":"Gut","page":"1664-1669","volume":"65","issue":"10","source":"PubMed","abstract":"OBJECTIVES: Severe sprue-like enteropathy associated with olmesartan has been reported, but there has been no demonstration of an increased risk by epidemiological studies.\nAIM: To assess, in a nationwide patient cohort, the risk of hospitalisation for intestinal malabsorption associated with olmesartan compared with other angiotensin receptor blockers (ARB) and ACE inhibitors (ACEIs).\nDESIGN: From the French National Health Insurance claim database, all adult patients initiating ARB or ACEI between 1 January 2007 and 31 December 2012 with no prior hospitalisation for intestinal malabsorption, no serology testing for coeliac disease and no prescription for a gluten-free diet product were included. Incidence of hospitalisation with a discharge diagnosis of intestinal malabsorption was the primary endpoint.\nRESULTS: 4 546 680 patients (9 010 303 person-years) were included, and 218 events observed. Compared with ACEI, the adjusted rate ratio of hospitalisation with a discharge diagnosis of intestinal malabsorption was 2.49 (95% CI 1.73 to 3.57, p&lt;0.0001) in olmesartan users. This adjusted rate ratio was 0.76 (95% CI 0.39 to 1.49, p=0.43) for treatment duration shorter than 1 year, 3.66 (95% CI 1.84 to 7.29, p&lt;0.001) between 1 and 2 years and 10.65 (95% CI 5.05 to 22.46, p&lt;0.0001) beyond 2 years of exposure. Median length of hospital stay for intestinal malabsorption was longer in the olmesartan group than in the other groups (p=0.02). Compared with ACEI, the adjusted rate ratio of hospitalisation for coeliac disease was 4.39 (95% CI 2.77 to 6.96, p&lt;0.0001) in olmesartan users and increased with treatment duration.\nCONCLUSIONS: Olmesartan is associated with an increased risk of hospitalisation for intestinal malabsorption and coeliac disease.","DOI":"10.1136/gutjnl-2015-309690","ISSN":"1468-3288","note":"PMID: 26250345","title-short":"Severe intestinal malabsorption associated with olmesartan","journalAbbreviation":"Gut","language":"eng","author":[{"family":"Basson","given":"Mickael"},{"family":"Mezzarobba","given":"Myriam"},{"family":"Weill","given":"Alain"},{"family":"Ricordeau","given":"Philippe"},{"family":"Allemand","given":"Hubert"},{"family":"Alla","given":"Francois"},{"family":"Carbonnel","given":"Franck"}],"issued":{"date-parts":[["2016"]]}}},{"id":537,"uris":["http://zotero.org/users/1321902/items/J4GX57VJ"],"uri":["http://zotero.org/users/1321902/items/J4GX57VJ"],"itemData":{"id":537,"type":"article-journal","title":"Comparison of the short-term risk of bleeding and arterial thromboembolic events in nonvalvular atrial fibrillation patients newly treated with dabigatran or rivaroxaban versus vitamin K antagonists: a French nationwide propensity-matched cohort study","container-title":"Circulation","page":"1252-1260","volume":"132","issue":"13","source":"PubMed","abstract":"BACKGROUND: The safety and effectiveness of non-vitamin K antagonist (VKA) oral anticoagulants, dabigatran or rivaroxaban, were compared with VKA in anticoagulant-naive patients with nonvalvular atrial fibrillation during the early phase of anticoagulant therapy.\nMETHODS AND RESULTS: With the use of the French medico-administrative databases (SNIIRAM and PMSI), this nationwide cohort study included patients with nonvalvular atrial fibrillation who initiated dabigatran or rivaroxaban between July and November 2012 or VKA between July and November 2011. Patients presenting a contraindication to oral anticoagulants were excluded. Dabigatran and rivaroxaban new users were matched to VKA new users by the use of 1:2 matching on the propensity score. Patients were followed for up to 90 days until outcome, death, loss to follow-up, or December 31 of the inclusion year. Hazard ratios of hospitalizations for bleeding and arterial thromboembolic events were estimated in an intent-to-treat analysis using Cox regression models. The population was composed of 19 713 VKA, 8443 dabigatran, and 4651 rivaroxaban new users. All dabigatran- and rivaroxaban-treated patients were matched to 16 014 and 9301 VKA-treated patients, respectively. Among dabigatran-, rivaroxaban-, and their VKA-matched-treated patients, 55 and 122 and 31 and 68 bleeding events and 33 and 58 and 12 and 28 arterial thromboembolic events were observed during follow-up, respectively. After matching, no statistically significant difference in bleeding (hazard ratio, 0.88; 95% confidence interval, 0.64-1.21) or thromboembolic (hazard ratio, 1.10; 95% confidence interval, 0.72-1.69) risk was observed between dabigatran and VKA new users. Bleeding (hazard ratio, 0.98; 95% confidence interval, 0.64-1.51) and ischemic (hazard ratio, 0.93; 95% confidence interval, 0.47-1.85) risks were comparable between rivaroxaban and VKA new users.\nCONCLUSIONS: In this propensity-matched cohort study, our findings suggest that physicians should exercise caution when initiating either non-VKA oral anticoagulants or VKA in patients with nonvalvular atrial fibrillation.","DOI":"10.1161/CIRCULATIONAHA.115.015710","ISSN":"1524-4539","note":"PMID: 26199338\nPMCID: PMC4885525","title-short":"Comparison of the short-term risk of bleeding and arterial thromboembolic events in nonvalvular atrial fibrillation patients newly treated with dabigatran or rivaroxaban versus vitamin K antagonists","journalAbbreviation":"Circulation","language":"eng","author":[{"family":"Maura","given":"Géric"},{"family":"Blotière","given":"Pierre-Olivier"},{"family":"Bouillon","given":"Kim"},{"family":"Billionnet","given":"Cécile"},{"family":"Ricordeau","given":"Philippe"},{"family":"Alla","given":"François"},{"family":"Zureik","given":"Mahmoud"}],"issued":{"date-parts":[["2015",9,29]]}}},{"id":99,"uris":["http://zotero.org/users/1321902/items/BSGW399W"],"uri":["http://zotero.org/users/1321902/items/BSGW399W"],"itemData":{"id":99,"type":"article-journal","title":"Gestational diabetes and adverse perinatal outcomes from 716,152 births in France in 2012","container-title":"Diabetologia","page":"636-644","volume":"60","issue":"4","source":"PubMed","abstract":"AIMS/HYPOTHESIS: The aim of this study was to assess the risk of adverse perinatal outcomes in gestational diabetes mellitus (GDM) in a large national cohort.\nMETHODS: All deliveries taking place after 22 weeks in France in 2012 were included by extracting data from the hospital discharge database and the national health insurance system. The diabetic status of mothers was determined by the use of glucose-lowering agents and by hospital diagnosis. Outcomes were analysed according to the type of diabetes and, in the GDM group, whether or not diabetes was insulin-treated.\nRESULTS: The cohort of 796,346 deliveries involved 57,629 (7.24%) mothers with GDM. Mother-infant linkage was obtained for 705,198 deliveries. The risks of adverse outcomes were much lower with GDM than with pregestational diabetes. After limiting the analysis to deliveries after 28 weeks to reduce immortal time bias, the risks of preterm birth (OR 1.3 [95% CI 1.3, 1.4]), Caesarean section (OR 1.4 [95% CI 1.4, 1.4]), pre-eclampsia/eclampsia (OR 1.7 [95% CI 1.6, 1.7]), macrosomia (OR 1.8 [95% CI 1.7, 1.8]), respiratory distress (OR 1.1 [95% CI 1.0, 1.3]), birth trauma (OR 1.3 [95% CI 1.1, 1.5]) and cardiac malformations (OR 1.3 [95% CI 1.1, 1.4]) were increased in women with GDM compared with the non-diabetic population. Higher risks were observed in women with insulin-treated GDM than those with diet-treated GDM. After limiting the analysis to term deliveries, an increased risk of perinatal mortality was observed. After excluding women suspected to have undiagnosed pregestational diabetes, the risk remained moderately increased only for those with diet-treated GDM (OR 1.3 [95% CI 1.0, 1.6]).\nCONCLUSIONS/INTERPRETATION: GDM is associated with a moderately increased risk of adverse perinatal outcomes, which is higher in insulin-treated GDM than in non-insulin-treated GDM for most outcomes.","DOI":"10.1007/s00125-017-4206-6","ISSN":"1432-0428","note":"PMID: 28197657","journalAbbreviation":"Diabetologia","language":"eng","author":[{"family":"Billionnet","given":"Cécile"},{"family":"Mitanchez","given":"Delphine"},{"family":"Weill","given":"Alain"},{"family":"Nizard","given":"Jacky"},{"family":"Alla","given":"François"},{"family":"Hartemann","given":"Agnès"},{"family":"Jacqueminet","given":"Sophie"}],"issued":{"date-parts":[["2017"]]}}}],"schema":"https://github.com/citation-style-language/schema/raw/master/csl-citation.json"} </w:instrText>
      </w:r>
      <w:r w:rsidR="00F27A4B" w:rsidRPr="00397EC7">
        <w:rPr>
          <w:rStyle w:val="Titredulivre"/>
          <w:rFonts w:cs="Times New Roman"/>
          <w:lang w:val="en-GB"/>
        </w:rPr>
        <w:fldChar w:fldCharType="separate"/>
      </w:r>
      <w:r w:rsidR="00F27A4B" w:rsidRPr="00397EC7">
        <w:rPr>
          <w:rFonts w:ascii="Calibri" w:hAnsi="Calibri" w:cs="Times New Roman"/>
          <w:sz w:val="20"/>
          <w:szCs w:val="24"/>
          <w:vertAlign w:val="superscript"/>
          <w:lang w:val="en-GB"/>
        </w:rPr>
        <w:t>8–15</w:t>
      </w:r>
      <w:r w:rsidR="00F27A4B" w:rsidRPr="00397EC7">
        <w:rPr>
          <w:rStyle w:val="Titredulivre"/>
          <w:rFonts w:cs="Times New Roman"/>
          <w:lang w:val="en-GB"/>
        </w:rPr>
        <w:fldChar w:fldCharType="end"/>
      </w:r>
      <w:r w:rsidR="00F27A4B" w:rsidRPr="00397EC7">
        <w:rPr>
          <w:rStyle w:val="Titredulivre"/>
          <w:rFonts w:cs="Times New Roman"/>
          <w:lang w:val="en-GB"/>
        </w:rPr>
        <w:t xml:space="preserve">). These comprehensive national databases are powerful tools to assess the prevalence of rare events. As the primary purpose of these databases is financial, any false statements constitute serious frauds, liable to legal </w:t>
      </w:r>
      <w:proofErr w:type="gramStart"/>
      <w:r w:rsidR="00F27A4B" w:rsidRPr="00397EC7">
        <w:rPr>
          <w:rStyle w:val="Titredulivre"/>
          <w:rFonts w:cs="Times New Roman"/>
          <w:lang w:val="en-GB"/>
        </w:rPr>
        <w:t>proceedings, which also tends</w:t>
      </w:r>
      <w:proofErr w:type="gramEnd"/>
      <w:r w:rsidR="00F27A4B" w:rsidRPr="00397EC7">
        <w:rPr>
          <w:rStyle w:val="Titredulivre"/>
          <w:rFonts w:cs="Times New Roman"/>
          <w:lang w:val="en-GB"/>
        </w:rPr>
        <w:t xml:space="preserve"> to ensure the accuracy of the data recorded. Furthermore, quality controls and audits are performed before transmission to National Health Insurance (CNAM, </w:t>
      </w:r>
      <w:proofErr w:type="spellStart"/>
      <w:r w:rsidR="00F27A4B" w:rsidRPr="00397EC7">
        <w:rPr>
          <w:rStyle w:val="Titredulivre"/>
          <w:rFonts w:cs="Times New Roman"/>
          <w:i/>
          <w:lang w:val="en-GB"/>
        </w:rPr>
        <w:t>Caisse</w:t>
      </w:r>
      <w:proofErr w:type="spellEnd"/>
      <w:r w:rsidR="00F27A4B" w:rsidRPr="00397EC7">
        <w:rPr>
          <w:rStyle w:val="Titredulivre"/>
          <w:rFonts w:cs="Times New Roman"/>
          <w:i/>
          <w:lang w:val="en-GB"/>
        </w:rPr>
        <w:t xml:space="preserve"> </w:t>
      </w:r>
      <w:proofErr w:type="spellStart"/>
      <w:r w:rsidR="00F27A4B" w:rsidRPr="00397EC7">
        <w:rPr>
          <w:rStyle w:val="Titredulivre"/>
          <w:rFonts w:cs="Times New Roman"/>
          <w:i/>
          <w:lang w:val="en-GB"/>
        </w:rPr>
        <w:t>Nationale</w:t>
      </w:r>
      <w:proofErr w:type="spellEnd"/>
      <w:r w:rsidR="00F27A4B" w:rsidRPr="00397EC7">
        <w:rPr>
          <w:rStyle w:val="Titredulivre"/>
          <w:rFonts w:cs="Times New Roman"/>
          <w:i/>
          <w:lang w:val="en-GB"/>
        </w:rPr>
        <w:t xml:space="preserve"> de </w:t>
      </w:r>
      <w:proofErr w:type="spellStart"/>
      <w:r w:rsidR="00F27A4B" w:rsidRPr="00397EC7">
        <w:rPr>
          <w:rStyle w:val="Titredulivre"/>
          <w:rFonts w:cs="Times New Roman"/>
          <w:i/>
          <w:lang w:val="en-GB"/>
        </w:rPr>
        <w:t>l’Assurance</w:t>
      </w:r>
      <w:proofErr w:type="spellEnd"/>
      <w:r w:rsidR="00F27A4B" w:rsidRPr="00397EC7">
        <w:rPr>
          <w:rStyle w:val="Titredulivre"/>
          <w:rFonts w:cs="Times New Roman"/>
          <w:i/>
          <w:lang w:val="en-GB"/>
        </w:rPr>
        <w:t xml:space="preserve"> </w:t>
      </w:r>
      <w:proofErr w:type="spellStart"/>
      <w:r w:rsidR="00F27A4B" w:rsidRPr="00397EC7">
        <w:rPr>
          <w:rStyle w:val="Titredulivre"/>
          <w:rFonts w:cs="Times New Roman"/>
          <w:i/>
          <w:lang w:val="en-GB"/>
        </w:rPr>
        <w:t>Maladie</w:t>
      </w:r>
      <w:proofErr w:type="spellEnd"/>
      <w:r w:rsidR="00F27A4B" w:rsidRPr="00397EC7">
        <w:rPr>
          <w:rStyle w:val="Titredulivre"/>
          <w:rFonts w:cs="Times New Roman"/>
          <w:lang w:val="en-GB"/>
        </w:rPr>
        <w:t xml:space="preserve">), mainly for processing of aberrant or missing data. </w:t>
      </w:r>
    </w:p>
    <w:p w14:paraId="59A3F225" w14:textId="77777777" w:rsidR="00A6091F" w:rsidRPr="00397EC7" w:rsidRDefault="00A6091F" w:rsidP="00A6091F">
      <w:pPr>
        <w:spacing w:line="276" w:lineRule="auto"/>
        <w:jc w:val="left"/>
        <w:rPr>
          <w:rStyle w:val="Titredulivre"/>
          <w:rFonts w:cs="Times New Roman"/>
          <w:b/>
          <w:i/>
          <w:lang w:val="en-GB"/>
        </w:rPr>
      </w:pPr>
      <w:r w:rsidRPr="00397EC7">
        <w:rPr>
          <w:rStyle w:val="Titredulivre"/>
          <w:rFonts w:cs="Times New Roman"/>
          <w:b/>
          <w:i/>
          <w:lang w:val="en-GB"/>
        </w:rPr>
        <w:t>Descriptive statistics</w:t>
      </w:r>
    </w:p>
    <w:p w14:paraId="018D5E92" w14:textId="54F0BB7A" w:rsidR="00A6091F" w:rsidRPr="00397EC7" w:rsidRDefault="00A6091F" w:rsidP="00A6091F">
      <w:pPr>
        <w:spacing w:line="360" w:lineRule="auto"/>
        <w:jc w:val="left"/>
        <w:rPr>
          <w:rStyle w:val="Titredulivre"/>
          <w:rFonts w:cs="Times New Roman"/>
          <w:lang w:val="en-GB"/>
        </w:rPr>
      </w:pPr>
      <w:r w:rsidRPr="00397EC7">
        <w:rPr>
          <w:rStyle w:val="Titredulivre"/>
          <w:rFonts w:cs="Times New Roman"/>
          <w:lang w:val="en-GB"/>
        </w:rPr>
        <w:t>Crude SAE rates per 10,000 colonoscopies were calculated by dividing the total numbers of adverse events by the total number of colonoscopies in the cohort. Standardized incidence ratios (SIRs) were calculated to compare these incidence rates with the incidence rates of these events in 2013 in the general population (general scheme beneficiaries aged 30 years and over</w:t>
      </w:r>
      <w:r w:rsidR="00630071" w:rsidRPr="00397EC7">
        <w:rPr>
          <w:rStyle w:val="Titredulivre"/>
          <w:rFonts w:cs="Times New Roman"/>
          <w:lang w:val="en-GB"/>
        </w:rPr>
        <w:t>, i.e. 32</w:t>
      </w:r>
      <w:r w:rsidR="00C446F7" w:rsidRPr="00397EC7">
        <w:rPr>
          <w:rStyle w:val="Titredulivre"/>
          <w:rFonts w:cs="Times New Roman"/>
          <w:lang w:val="en-GB"/>
        </w:rPr>
        <w:t>,</w:t>
      </w:r>
      <w:r w:rsidR="00630071" w:rsidRPr="00397EC7">
        <w:rPr>
          <w:rStyle w:val="Titredulivre"/>
          <w:rFonts w:cs="Times New Roman"/>
          <w:lang w:val="en-GB"/>
        </w:rPr>
        <w:t>490</w:t>
      </w:r>
      <w:r w:rsidR="00C446F7" w:rsidRPr="00397EC7">
        <w:rPr>
          <w:rStyle w:val="Titredulivre"/>
          <w:rFonts w:cs="Times New Roman"/>
          <w:lang w:val="en-GB"/>
        </w:rPr>
        <w:t>,</w:t>
      </w:r>
      <w:r w:rsidR="00630071" w:rsidRPr="00397EC7">
        <w:rPr>
          <w:rStyle w:val="Titredulivre"/>
          <w:rFonts w:cs="Times New Roman"/>
          <w:lang w:val="en-GB"/>
        </w:rPr>
        <w:t>16</w:t>
      </w:r>
      <w:r w:rsidR="00C446F7" w:rsidRPr="00397EC7">
        <w:rPr>
          <w:rStyle w:val="Titredulivre"/>
          <w:rFonts w:cs="Times New Roman"/>
          <w:lang w:val="en-GB"/>
        </w:rPr>
        <w:t>7 individuals</w:t>
      </w:r>
      <w:r w:rsidRPr="00397EC7">
        <w:rPr>
          <w:rStyle w:val="Titredulivre"/>
          <w:rFonts w:cs="Times New Roman"/>
          <w:lang w:val="en-GB"/>
        </w:rPr>
        <w:t>)</w:t>
      </w:r>
      <w:r w:rsidR="00B82968">
        <w:rPr>
          <w:rStyle w:val="Titredulivre"/>
          <w:rFonts w:cs="Times New Roman"/>
          <w:lang w:val="en-GB"/>
        </w:rPr>
        <w:t>,</w:t>
      </w:r>
      <w:r w:rsidRPr="00397EC7">
        <w:rPr>
          <w:rStyle w:val="Titredulivre"/>
          <w:rFonts w:cs="Times New Roman"/>
          <w:lang w:val="en-GB"/>
        </w:rPr>
        <w:t xml:space="preserve"> which served as the reference group (reference rates were stratified by gender and 5-year age-groups).</w:t>
      </w:r>
      <w:r w:rsidR="00D03C42" w:rsidRPr="00397EC7">
        <w:rPr>
          <w:rStyle w:val="Titredulivre"/>
          <w:rFonts w:cs="Times New Roman"/>
          <w:lang w:val="en-GB"/>
        </w:rPr>
        <w:t xml:space="preserve"> </w:t>
      </w:r>
      <w:r w:rsidR="00B82968" w:rsidRPr="00B82968">
        <w:rPr>
          <w:rStyle w:val="Titredulivre"/>
          <w:rFonts w:cs="Times New Roman"/>
          <w:lang w:val="en-GB"/>
        </w:rPr>
        <w:t>More precisely, SIRs were estimated by dividing the observed number of SAEs by the expected number of SAEs, obtained by applying the incidence rate observed in the general population (in this case, the general scheme beneficiaries) to the number of individuals in our cohort in each age and gender group considered</w:t>
      </w:r>
      <w:r w:rsidR="00630071" w:rsidRPr="00397EC7">
        <w:rPr>
          <w:rStyle w:val="Titredulivre"/>
          <w:rFonts w:cs="Times New Roman"/>
          <w:lang w:val="en-GB"/>
        </w:rPr>
        <w:t>.</w:t>
      </w:r>
      <w:r w:rsidRPr="00397EC7">
        <w:rPr>
          <w:rStyle w:val="Titredulivre"/>
          <w:rFonts w:cs="Times New Roman"/>
          <w:lang w:val="en-GB"/>
        </w:rPr>
        <w:t xml:space="preserve"> Crude 5-day and 30-day mortality rates per 1,000 SAE were calculated for each SAE by dividing the total numbers of deaths occurring within 5 or 30 days after a SAE by the total number of SAE in the cohort. Crude 5-day and 30-day mortality rates per 100,000 procedures were also calculated for each SAE by dividing the total numbers of deaths occurring within 5 or 30 days after a SAE by the total number of colonoscopies in the cohort. Crude odds ratios (OR) for each SAE studied were estimated by logistic regression models for patient, colonoscopy, endoscopist, and facility characteristics.</w:t>
      </w:r>
    </w:p>
    <w:p w14:paraId="30128556" w14:textId="77777777" w:rsidR="00F27A4B" w:rsidRPr="00397EC7" w:rsidRDefault="00F27A4B" w:rsidP="00F27A4B">
      <w:pPr>
        <w:spacing w:line="360" w:lineRule="auto"/>
        <w:rPr>
          <w:rStyle w:val="Titredulivre"/>
          <w:b/>
          <w:i/>
          <w:lang w:val="en-GB"/>
        </w:rPr>
      </w:pPr>
      <w:r w:rsidRPr="00397EC7">
        <w:rPr>
          <w:rStyle w:val="Titredulivre"/>
          <w:b/>
          <w:i/>
          <w:lang w:val="en-GB"/>
        </w:rPr>
        <w:t>References</w:t>
      </w:r>
    </w:p>
    <w:p w14:paraId="51920085" w14:textId="77777777" w:rsidR="00F27A4B" w:rsidRPr="00397EC7" w:rsidRDefault="00F27A4B" w:rsidP="00F27A4B">
      <w:pPr>
        <w:spacing w:line="360" w:lineRule="auto"/>
        <w:jc w:val="left"/>
        <w:rPr>
          <w:rStyle w:val="Titredulivre"/>
          <w:lang w:val="en-GB"/>
        </w:rPr>
      </w:pPr>
      <w:r w:rsidRPr="00397EC7">
        <w:rPr>
          <w:rStyle w:val="Titredulivre"/>
          <w:lang w:val="en-GB"/>
        </w:rPr>
        <w:t xml:space="preserve">1. </w:t>
      </w:r>
      <w:r w:rsidRPr="00397EC7">
        <w:rPr>
          <w:rStyle w:val="Titredulivre"/>
          <w:lang w:val="en-GB"/>
        </w:rPr>
        <w:tab/>
      </w:r>
      <w:proofErr w:type="spellStart"/>
      <w:r w:rsidRPr="00397EC7">
        <w:rPr>
          <w:rStyle w:val="Titredulivre"/>
          <w:lang w:val="en-GB"/>
        </w:rPr>
        <w:t>Bezin</w:t>
      </w:r>
      <w:proofErr w:type="spellEnd"/>
      <w:r w:rsidRPr="00397EC7">
        <w:rPr>
          <w:rStyle w:val="Titredulivre"/>
          <w:lang w:val="en-GB"/>
        </w:rPr>
        <w:t xml:space="preserve"> J, Duong M, Lassalle R, et al. The national healthcare system claims databases in France, SNIIRAM and EGB: Powerful tools for </w:t>
      </w:r>
      <w:proofErr w:type="spellStart"/>
      <w:r w:rsidRPr="00397EC7">
        <w:rPr>
          <w:rStyle w:val="Titredulivre"/>
          <w:lang w:val="en-GB"/>
        </w:rPr>
        <w:t>pharmacoepidemiology</w:t>
      </w:r>
      <w:proofErr w:type="spellEnd"/>
      <w:r w:rsidRPr="00397EC7">
        <w:rPr>
          <w:rStyle w:val="Titredulivre"/>
          <w:lang w:val="en-GB"/>
        </w:rPr>
        <w:t xml:space="preserve">. </w:t>
      </w:r>
      <w:proofErr w:type="spellStart"/>
      <w:proofErr w:type="gramStart"/>
      <w:r w:rsidRPr="00397EC7">
        <w:rPr>
          <w:rStyle w:val="Titredulivre"/>
          <w:lang w:val="en-GB"/>
        </w:rPr>
        <w:t>Pharmacoepidemiol</w:t>
      </w:r>
      <w:proofErr w:type="spellEnd"/>
      <w:r w:rsidRPr="00397EC7">
        <w:rPr>
          <w:rStyle w:val="Titredulivre"/>
          <w:lang w:val="en-GB"/>
        </w:rPr>
        <w:t xml:space="preserve"> Drug </w:t>
      </w:r>
      <w:proofErr w:type="spellStart"/>
      <w:r w:rsidRPr="00397EC7">
        <w:rPr>
          <w:rStyle w:val="Titredulivre"/>
          <w:lang w:val="en-GB"/>
        </w:rPr>
        <w:t>Saf</w:t>
      </w:r>
      <w:proofErr w:type="spellEnd"/>
      <w:r w:rsidRPr="00397EC7">
        <w:rPr>
          <w:rStyle w:val="Titredulivre"/>
          <w:lang w:val="en-GB"/>
        </w:rPr>
        <w:t>.</w:t>
      </w:r>
      <w:proofErr w:type="gramEnd"/>
      <w:r w:rsidRPr="00397EC7">
        <w:rPr>
          <w:rStyle w:val="Titredulivre"/>
          <w:lang w:val="en-GB"/>
        </w:rPr>
        <w:t xml:space="preserve"> 2017</w:t>
      </w:r>
      <w:proofErr w:type="gramStart"/>
      <w:r w:rsidRPr="00397EC7">
        <w:rPr>
          <w:rStyle w:val="Titredulivre"/>
          <w:lang w:val="en-GB"/>
        </w:rPr>
        <w:t>;26</w:t>
      </w:r>
      <w:proofErr w:type="gramEnd"/>
      <w:r w:rsidRPr="00397EC7">
        <w:rPr>
          <w:rStyle w:val="Titredulivre"/>
          <w:lang w:val="en-GB"/>
        </w:rPr>
        <w:t>(8):954-962. doi:10.1002/pds.4233</w:t>
      </w:r>
    </w:p>
    <w:p w14:paraId="692AC4B5" w14:textId="77777777" w:rsidR="00F27A4B" w:rsidRPr="00397EC7" w:rsidRDefault="00F27A4B" w:rsidP="00F27A4B">
      <w:pPr>
        <w:spacing w:line="360" w:lineRule="auto"/>
        <w:jc w:val="left"/>
        <w:rPr>
          <w:rStyle w:val="Titredulivre"/>
          <w:lang w:val="en-GB"/>
        </w:rPr>
      </w:pPr>
      <w:r w:rsidRPr="00397EC7">
        <w:rPr>
          <w:rStyle w:val="Titredulivre"/>
          <w:lang w:val="en-GB"/>
        </w:rPr>
        <w:t xml:space="preserve">2. </w:t>
      </w:r>
      <w:r w:rsidRPr="00397EC7">
        <w:rPr>
          <w:rStyle w:val="Titredulivre"/>
          <w:lang w:val="en-GB"/>
        </w:rPr>
        <w:tab/>
      </w:r>
      <w:proofErr w:type="spellStart"/>
      <w:r w:rsidRPr="00397EC7">
        <w:rPr>
          <w:rStyle w:val="Titredulivre"/>
          <w:lang w:val="en-GB"/>
        </w:rPr>
        <w:t>Moulis</w:t>
      </w:r>
      <w:proofErr w:type="spellEnd"/>
      <w:r w:rsidRPr="00397EC7">
        <w:rPr>
          <w:rStyle w:val="Titredulivre"/>
          <w:lang w:val="en-GB"/>
        </w:rPr>
        <w:t xml:space="preserve"> G, </w:t>
      </w:r>
      <w:proofErr w:type="spellStart"/>
      <w:r w:rsidRPr="00397EC7">
        <w:rPr>
          <w:rStyle w:val="Titredulivre"/>
          <w:lang w:val="en-GB"/>
        </w:rPr>
        <w:t>Lapeyre-Mestre</w:t>
      </w:r>
      <w:proofErr w:type="spellEnd"/>
      <w:r w:rsidRPr="00397EC7">
        <w:rPr>
          <w:rStyle w:val="Titredulivre"/>
          <w:lang w:val="en-GB"/>
        </w:rPr>
        <w:t xml:space="preserve"> M, </w:t>
      </w:r>
      <w:proofErr w:type="spellStart"/>
      <w:r w:rsidRPr="00397EC7">
        <w:rPr>
          <w:rStyle w:val="Titredulivre"/>
          <w:lang w:val="en-GB"/>
        </w:rPr>
        <w:t>Palmaro</w:t>
      </w:r>
      <w:proofErr w:type="spellEnd"/>
      <w:r w:rsidRPr="00397EC7">
        <w:rPr>
          <w:rStyle w:val="Titredulivre"/>
          <w:lang w:val="en-GB"/>
        </w:rPr>
        <w:t xml:space="preserve"> A, </w:t>
      </w:r>
      <w:proofErr w:type="spellStart"/>
      <w:r w:rsidRPr="00397EC7">
        <w:rPr>
          <w:rStyle w:val="Titredulivre"/>
          <w:lang w:val="en-GB"/>
        </w:rPr>
        <w:t>Pugnet</w:t>
      </w:r>
      <w:proofErr w:type="spellEnd"/>
      <w:r w:rsidRPr="00397EC7">
        <w:rPr>
          <w:rStyle w:val="Titredulivre"/>
          <w:lang w:val="en-GB"/>
        </w:rPr>
        <w:t xml:space="preserve"> G, </w:t>
      </w:r>
      <w:proofErr w:type="spellStart"/>
      <w:proofErr w:type="gramStart"/>
      <w:r w:rsidRPr="00397EC7">
        <w:rPr>
          <w:rStyle w:val="Titredulivre"/>
          <w:lang w:val="en-GB"/>
        </w:rPr>
        <w:t>Montastruc</w:t>
      </w:r>
      <w:proofErr w:type="spellEnd"/>
      <w:proofErr w:type="gramEnd"/>
      <w:r w:rsidRPr="00397EC7">
        <w:rPr>
          <w:rStyle w:val="Titredulivre"/>
          <w:lang w:val="en-GB"/>
        </w:rPr>
        <w:t xml:space="preserve"> J-L, </w:t>
      </w:r>
      <w:proofErr w:type="spellStart"/>
      <w:r w:rsidRPr="00397EC7">
        <w:rPr>
          <w:rStyle w:val="Titredulivre"/>
          <w:lang w:val="en-GB"/>
        </w:rPr>
        <w:t>Sailler</w:t>
      </w:r>
      <w:proofErr w:type="spellEnd"/>
      <w:r w:rsidRPr="00397EC7">
        <w:rPr>
          <w:rStyle w:val="Titredulivre"/>
          <w:lang w:val="en-GB"/>
        </w:rPr>
        <w:t xml:space="preserve"> L. French health insurance databases: What interest for medical research? </w:t>
      </w:r>
      <w:proofErr w:type="gramStart"/>
      <w:r w:rsidRPr="00397EC7">
        <w:rPr>
          <w:rStyle w:val="Titredulivre"/>
          <w:lang w:val="en-GB"/>
        </w:rPr>
        <w:t>Rev Med Interne.</w:t>
      </w:r>
      <w:proofErr w:type="gramEnd"/>
      <w:r w:rsidRPr="00397EC7">
        <w:rPr>
          <w:rStyle w:val="Titredulivre"/>
          <w:lang w:val="en-GB"/>
        </w:rPr>
        <w:t xml:space="preserve"> 2015</w:t>
      </w:r>
      <w:proofErr w:type="gramStart"/>
      <w:r w:rsidRPr="00397EC7">
        <w:rPr>
          <w:rStyle w:val="Titredulivre"/>
          <w:lang w:val="en-GB"/>
        </w:rPr>
        <w:t>;36</w:t>
      </w:r>
      <w:proofErr w:type="gramEnd"/>
      <w:r w:rsidRPr="00397EC7">
        <w:rPr>
          <w:rStyle w:val="Titredulivre"/>
          <w:lang w:val="en-GB"/>
        </w:rPr>
        <w:t>(6):411-417. doi:10.1016/j.revmed.2014.11.009</w:t>
      </w:r>
    </w:p>
    <w:p w14:paraId="28C93E27" w14:textId="77777777" w:rsidR="00F27A4B" w:rsidRPr="009E4972" w:rsidRDefault="00F27A4B" w:rsidP="00F27A4B">
      <w:pPr>
        <w:spacing w:line="360" w:lineRule="auto"/>
        <w:jc w:val="left"/>
        <w:rPr>
          <w:rStyle w:val="Titredulivre"/>
        </w:rPr>
      </w:pPr>
      <w:r w:rsidRPr="000D2CE4">
        <w:rPr>
          <w:rStyle w:val="Titredulivre"/>
        </w:rPr>
        <w:t xml:space="preserve">3. </w:t>
      </w:r>
      <w:r w:rsidRPr="000D2CE4">
        <w:rPr>
          <w:rStyle w:val="Titredulivre"/>
        </w:rPr>
        <w:tab/>
      </w:r>
      <w:proofErr w:type="spellStart"/>
      <w:r w:rsidRPr="00DC3416">
        <w:rPr>
          <w:rStyle w:val="Titredulivre"/>
          <w:lang w:val="fr-FR"/>
        </w:rPr>
        <w:t>Tuppin</w:t>
      </w:r>
      <w:proofErr w:type="spellEnd"/>
      <w:r w:rsidRPr="00DC3416">
        <w:rPr>
          <w:rStyle w:val="Titredulivre"/>
          <w:lang w:val="fr-FR"/>
        </w:rPr>
        <w:t xml:space="preserve"> P, Rudant J, </w:t>
      </w:r>
      <w:proofErr w:type="spellStart"/>
      <w:r w:rsidRPr="00DC3416">
        <w:rPr>
          <w:rStyle w:val="Titredulivre"/>
          <w:lang w:val="fr-FR"/>
        </w:rPr>
        <w:t>Constantinou</w:t>
      </w:r>
      <w:proofErr w:type="spellEnd"/>
      <w:r w:rsidRPr="00DC3416">
        <w:rPr>
          <w:rStyle w:val="Titredulivre"/>
          <w:lang w:val="fr-FR"/>
        </w:rPr>
        <w:t xml:space="preserve"> P, et al. Value of a national administrative </w:t>
      </w:r>
      <w:proofErr w:type="spellStart"/>
      <w:r w:rsidRPr="00DC3416">
        <w:rPr>
          <w:rStyle w:val="Titredulivre"/>
          <w:lang w:val="fr-FR"/>
        </w:rPr>
        <w:t>database</w:t>
      </w:r>
      <w:proofErr w:type="spellEnd"/>
      <w:r w:rsidRPr="00DC3416">
        <w:rPr>
          <w:rStyle w:val="Titredulivre"/>
          <w:lang w:val="fr-FR"/>
        </w:rPr>
        <w:t xml:space="preserve"> to guide public </w:t>
      </w:r>
      <w:proofErr w:type="spellStart"/>
      <w:r w:rsidRPr="00DC3416">
        <w:rPr>
          <w:rStyle w:val="Titredulivre"/>
          <w:lang w:val="fr-FR"/>
        </w:rPr>
        <w:t>decisions</w:t>
      </w:r>
      <w:proofErr w:type="spellEnd"/>
      <w:r w:rsidRPr="00DC3416">
        <w:rPr>
          <w:rStyle w:val="Titredulivre"/>
          <w:lang w:val="fr-FR"/>
        </w:rPr>
        <w:t xml:space="preserve">: </w:t>
      </w:r>
      <w:proofErr w:type="spellStart"/>
      <w:r w:rsidRPr="00DC3416">
        <w:rPr>
          <w:rStyle w:val="Titredulivre"/>
          <w:lang w:val="fr-FR"/>
        </w:rPr>
        <w:t>From</w:t>
      </w:r>
      <w:proofErr w:type="spellEnd"/>
      <w:r w:rsidRPr="00DC3416">
        <w:rPr>
          <w:rStyle w:val="Titredulivre"/>
          <w:lang w:val="fr-FR"/>
        </w:rPr>
        <w:t xml:space="preserve"> the système national d’information </w:t>
      </w:r>
      <w:proofErr w:type="spellStart"/>
      <w:r w:rsidRPr="00DC3416">
        <w:rPr>
          <w:rStyle w:val="Titredulivre"/>
          <w:lang w:val="fr-FR"/>
        </w:rPr>
        <w:t>interrégimes</w:t>
      </w:r>
      <w:proofErr w:type="spellEnd"/>
      <w:r w:rsidRPr="00DC3416">
        <w:rPr>
          <w:rStyle w:val="Titredulivre"/>
          <w:lang w:val="fr-FR"/>
        </w:rPr>
        <w:t xml:space="preserve"> de l’Assurance Maladie (SNIIRAM) to the </w:t>
      </w:r>
      <w:r w:rsidRPr="00DC3416">
        <w:rPr>
          <w:rStyle w:val="Titredulivre"/>
          <w:lang w:val="fr-FR"/>
        </w:rPr>
        <w:lastRenderedPageBreak/>
        <w:t xml:space="preserve">système national des données de santé (SNDS) in France. </w:t>
      </w:r>
      <w:r w:rsidRPr="009E4972">
        <w:rPr>
          <w:rStyle w:val="Titredulivre"/>
        </w:rPr>
        <w:t xml:space="preserve">Rev </w:t>
      </w:r>
      <w:proofErr w:type="spellStart"/>
      <w:r w:rsidRPr="009E4972">
        <w:rPr>
          <w:rStyle w:val="Titredulivre"/>
        </w:rPr>
        <w:t>Epidemiol</w:t>
      </w:r>
      <w:proofErr w:type="spellEnd"/>
      <w:r w:rsidRPr="009E4972">
        <w:rPr>
          <w:rStyle w:val="Titredulivre"/>
        </w:rPr>
        <w:t xml:space="preserve"> </w:t>
      </w:r>
      <w:proofErr w:type="spellStart"/>
      <w:r w:rsidRPr="009E4972">
        <w:rPr>
          <w:rStyle w:val="Titredulivre"/>
        </w:rPr>
        <w:t>Sante</w:t>
      </w:r>
      <w:proofErr w:type="spellEnd"/>
      <w:r w:rsidRPr="009E4972">
        <w:rPr>
          <w:rStyle w:val="Titredulivre"/>
        </w:rPr>
        <w:t xml:space="preserve"> Publique. 2017</w:t>
      </w:r>
      <w:proofErr w:type="gramStart"/>
      <w:r w:rsidRPr="009E4972">
        <w:rPr>
          <w:rStyle w:val="Titredulivre"/>
        </w:rPr>
        <w:t>;65</w:t>
      </w:r>
      <w:proofErr w:type="gramEnd"/>
      <w:r w:rsidRPr="009E4972">
        <w:rPr>
          <w:rStyle w:val="Titredulivre"/>
        </w:rPr>
        <w:t xml:space="preserve"> </w:t>
      </w:r>
      <w:proofErr w:type="spellStart"/>
      <w:r w:rsidRPr="009E4972">
        <w:rPr>
          <w:rStyle w:val="Titredulivre"/>
        </w:rPr>
        <w:t>Suppl</w:t>
      </w:r>
      <w:proofErr w:type="spellEnd"/>
      <w:r w:rsidRPr="009E4972">
        <w:rPr>
          <w:rStyle w:val="Titredulivre"/>
        </w:rPr>
        <w:t xml:space="preserve"> 4:S149-S167. doi:10.1016/j.respe.2017.05.004</w:t>
      </w:r>
    </w:p>
    <w:p w14:paraId="4B62354F" w14:textId="77777777" w:rsidR="00F27A4B" w:rsidRPr="00397EC7" w:rsidRDefault="00F27A4B" w:rsidP="00F27A4B">
      <w:pPr>
        <w:spacing w:line="360" w:lineRule="auto"/>
        <w:jc w:val="left"/>
        <w:rPr>
          <w:rStyle w:val="Titredulivre"/>
          <w:lang w:val="en-GB"/>
        </w:rPr>
      </w:pPr>
      <w:r w:rsidRPr="009E4972">
        <w:rPr>
          <w:rStyle w:val="Titredulivre"/>
        </w:rPr>
        <w:t xml:space="preserve">4. </w:t>
      </w:r>
      <w:r w:rsidRPr="009E4972">
        <w:rPr>
          <w:rStyle w:val="Titredulivre"/>
        </w:rPr>
        <w:tab/>
      </w:r>
      <w:r w:rsidRPr="00397EC7">
        <w:rPr>
          <w:rStyle w:val="Titredulivre"/>
          <w:lang w:val="en-GB"/>
        </w:rPr>
        <w:t xml:space="preserve">ICD-10: International Statistical Classification of Diseases and Health-Related Problems. </w:t>
      </w:r>
      <w:proofErr w:type="gramStart"/>
      <w:r w:rsidRPr="00397EC7">
        <w:rPr>
          <w:rStyle w:val="Titredulivre"/>
          <w:lang w:val="en-GB"/>
        </w:rPr>
        <w:t>Vol 2.</w:t>
      </w:r>
      <w:proofErr w:type="gramEnd"/>
      <w:r w:rsidRPr="00397EC7">
        <w:rPr>
          <w:rStyle w:val="Titredulivre"/>
          <w:lang w:val="en-GB"/>
        </w:rPr>
        <w:t xml:space="preserve"> </w:t>
      </w:r>
      <w:proofErr w:type="gramStart"/>
      <w:r w:rsidRPr="00397EC7">
        <w:rPr>
          <w:rStyle w:val="Titredulivre"/>
          <w:lang w:val="en-GB"/>
        </w:rPr>
        <w:t>WHO; 1992.</w:t>
      </w:r>
      <w:proofErr w:type="gramEnd"/>
    </w:p>
    <w:p w14:paraId="11A3FB0F" w14:textId="77777777" w:rsidR="00F27A4B" w:rsidRPr="00397EC7" w:rsidRDefault="00F27A4B" w:rsidP="00F27A4B">
      <w:pPr>
        <w:spacing w:line="360" w:lineRule="auto"/>
        <w:jc w:val="left"/>
        <w:rPr>
          <w:rStyle w:val="Titredulivre"/>
          <w:lang w:val="en-GB"/>
        </w:rPr>
      </w:pPr>
      <w:r w:rsidRPr="00397EC7">
        <w:rPr>
          <w:rStyle w:val="Titredulivre"/>
          <w:lang w:val="en-GB"/>
        </w:rPr>
        <w:t xml:space="preserve">5. </w:t>
      </w:r>
      <w:r w:rsidRPr="00397EC7">
        <w:rPr>
          <w:rStyle w:val="Titredulivre"/>
          <w:lang w:val="en-GB"/>
        </w:rPr>
        <w:tab/>
      </w:r>
      <w:proofErr w:type="spellStart"/>
      <w:r w:rsidRPr="00D06E0F">
        <w:rPr>
          <w:rStyle w:val="Titredulivre"/>
          <w:lang w:val="fr-FR"/>
        </w:rPr>
        <w:t>Noize</w:t>
      </w:r>
      <w:proofErr w:type="spellEnd"/>
      <w:r w:rsidRPr="00D06E0F">
        <w:rPr>
          <w:rStyle w:val="Titredulivre"/>
          <w:lang w:val="fr-FR"/>
        </w:rPr>
        <w:t xml:space="preserve"> P, Bazin F, </w:t>
      </w:r>
      <w:proofErr w:type="spellStart"/>
      <w:r w:rsidRPr="00D06E0F">
        <w:rPr>
          <w:rStyle w:val="Titredulivre"/>
          <w:lang w:val="fr-FR"/>
        </w:rPr>
        <w:t>Dufouil</w:t>
      </w:r>
      <w:proofErr w:type="spellEnd"/>
      <w:r w:rsidRPr="00D06E0F">
        <w:rPr>
          <w:rStyle w:val="Titredulivre"/>
          <w:lang w:val="fr-FR"/>
        </w:rPr>
        <w:t xml:space="preserve"> C, et al. </w:t>
      </w:r>
      <w:r w:rsidRPr="00397EC7">
        <w:rPr>
          <w:rStyle w:val="Titredulivre"/>
          <w:lang w:val="en-GB"/>
        </w:rPr>
        <w:t xml:space="preserve">Comparison of health insurance claims and patient interviews in assessing drug use: data from the Three‐City (3C) Study. </w:t>
      </w:r>
      <w:proofErr w:type="spellStart"/>
      <w:proofErr w:type="gramStart"/>
      <w:r w:rsidRPr="00397EC7">
        <w:rPr>
          <w:rStyle w:val="Titredulivre"/>
          <w:lang w:val="en-GB"/>
        </w:rPr>
        <w:t>Pharmacoepidemiol</w:t>
      </w:r>
      <w:proofErr w:type="spellEnd"/>
      <w:r w:rsidRPr="00397EC7">
        <w:rPr>
          <w:rStyle w:val="Titredulivre"/>
          <w:lang w:val="en-GB"/>
        </w:rPr>
        <w:t xml:space="preserve"> Drug </w:t>
      </w:r>
      <w:proofErr w:type="spellStart"/>
      <w:r w:rsidRPr="00397EC7">
        <w:rPr>
          <w:rStyle w:val="Titredulivre"/>
          <w:lang w:val="en-GB"/>
        </w:rPr>
        <w:t>Saf</w:t>
      </w:r>
      <w:proofErr w:type="spellEnd"/>
      <w:r w:rsidRPr="00397EC7">
        <w:rPr>
          <w:rStyle w:val="Titredulivre"/>
          <w:lang w:val="en-GB"/>
        </w:rPr>
        <w:t>.</w:t>
      </w:r>
      <w:proofErr w:type="gramEnd"/>
      <w:r w:rsidRPr="00397EC7">
        <w:rPr>
          <w:rStyle w:val="Titredulivre"/>
          <w:lang w:val="en-GB"/>
        </w:rPr>
        <w:t xml:space="preserve"> 2009</w:t>
      </w:r>
      <w:proofErr w:type="gramStart"/>
      <w:r w:rsidRPr="00397EC7">
        <w:rPr>
          <w:rStyle w:val="Titredulivre"/>
          <w:lang w:val="en-GB"/>
        </w:rPr>
        <w:t>;18</w:t>
      </w:r>
      <w:proofErr w:type="gramEnd"/>
      <w:r w:rsidRPr="00397EC7">
        <w:rPr>
          <w:rStyle w:val="Titredulivre"/>
          <w:lang w:val="en-GB"/>
        </w:rPr>
        <w:t>(4):310-319. doi:10.1002/pds.1717</w:t>
      </w:r>
    </w:p>
    <w:p w14:paraId="5AE31C61" w14:textId="77777777" w:rsidR="00F27A4B" w:rsidRPr="00397EC7" w:rsidRDefault="00F27A4B" w:rsidP="00F27A4B">
      <w:pPr>
        <w:spacing w:line="360" w:lineRule="auto"/>
        <w:jc w:val="left"/>
        <w:rPr>
          <w:rStyle w:val="Titredulivre"/>
          <w:lang w:val="en-GB"/>
        </w:rPr>
      </w:pPr>
      <w:r w:rsidRPr="00397EC7">
        <w:rPr>
          <w:rStyle w:val="Titredulivre"/>
          <w:lang w:val="en-GB"/>
        </w:rPr>
        <w:t xml:space="preserve">6. </w:t>
      </w:r>
      <w:r w:rsidRPr="00397EC7">
        <w:rPr>
          <w:rStyle w:val="Titredulivre"/>
          <w:lang w:val="en-GB"/>
        </w:rPr>
        <w:tab/>
      </w:r>
      <w:proofErr w:type="spellStart"/>
      <w:r w:rsidRPr="00D06E0F">
        <w:rPr>
          <w:rStyle w:val="Titredulivre"/>
          <w:lang w:val="fr-FR"/>
        </w:rPr>
        <w:t>Noize</w:t>
      </w:r>
      <w:proofErr w:type="spellEnd"/>
      <w:r w:rsidRPr="00D06E0F">
        <w:rPr>
          <w:rStyle w:val="Titredulivre"/>
          <w:lang w:val="fr-FR"/>
        </w:rPr>
        <w:t xml:space="preserve"> P, Bazin F, Pariente A, et al. </w:t>
      </w:r>
      <w:r w:rsidRPr="00397EC7">
        <w:rPr>
          <w:rStyle w:val="Titredulivre"/>
          <w:lang w:val="en-GB"/>
        </w:rPr>
        <w:t xml:space="preserve">Validity of chronic drug exposure presumed from repeated patient interviews varied according to drug class. </w:t>
      </w:r>
      <w:proofErr w:type="gramStart"/>
      <w:r w:rsidRPr="00397EC7">
        <w:rPr>
          <w:rStyle w:val="Titredulivre"/>
          <w:lang w:val="en-GB"/>
        </w:rPr>
        <w:t xml:space="preserve">J </w:t>
      </w:r>
      <w:proofErr w:type="spellStart"/>
      <w:r w:rsidRPr="00397EC7">
        <w:rPr>
          <w:rStyle w:val="Titredulivre"/>
          <w:lang w:val="en-GB"/>
        </w:rPr>
        <w:t>Clin</w:t>
      </w:r>
      <w:proofErr w:type="spellEnd"/>
      <w:r w:rsidRPr="00397EC7">
        <w:rPr>
          <w:rStyle w:val="Titredulivre"/>
          <w:lang w:val="en-GB"/>
        </w:rPr>
        <w:t xml:space="preserve"> </w:t>
      </w:r>
      <w:proofErr w:type="spellStart"/>
      <w:r w:rsidRPr="00397EC7">
        <w:rPr>
          <w:rStyle w:val="Titredulivre"/>
          <w:lang w:val="en-GB"/>
        </w:rPr>
        <w:t>Epidemiol</w:t>
      </w:r>
      <w:proofErr w:type="spellEnd"/>
      <w:r w:rsidRPr="00397EC7">
        <w:rPr>
          <w:rStyle w:val="Titredulivre"/>
          <w:lang w:val="en-GB"/>
        </w:rPr>
        <w:t>.</w:t>
      </w:r>
      <w:proofErr w:type="gramEnd"/>
      <w:r w:rsidRPr="00397EC7">
        <w:rPr>
          <w:rStyle w:val="Titredulivre"/>
          <w:lang w:val="en-GB"/>
        </w:rPr>
        <w:t xml:space="preserve"> 2012</w:t>
      </w:r>
      <w:proofErr w:type="gramStart"/>
      <w:r w:rsidRPr="00397EC7">
        <w:rPr>
          <w:rStyle w:val="Titredulivre"/>
          <w:lang w:val="en-GB"/>
        </w:rPr>
        <w:t>;65</w:t>
      </w:r>
      <w:proofErr w:type="gramEnd"/>
      <w:r w:rsidRPr="00397EC7">
        <w:rPr>
          <w:rStyle w:val="Titredulivre"/>
          <w:lang w:val="en-GB"/>
        </w:rPr>
        <w:t>(10):1061-1068. doi:10.1016/j.jclinepi.2012.04.009</w:t>
      </w:r>
    </w:p>
    <w:p w14:paraId="55C49C57" w14:textId="77777777" w:rsidR="00F27A4B" w:rsidRPr="000D2CE4" w:rsidRDefault="00F27A4B" w:rsidP="00F27A4B">
      <w:pPr>
        <w:spacing w:line="360" w:lineRule="auto"/>
        <w:jc w:val="left"/>
        <w:rPr>
          <w:rStyle w:val="Titredulivre"/>
          <w:lang w:val="fr-FR"/>
        </w:rPr>
      </w:pPr>
      <w:r w:rsidRPr="000D2CE4">
        <w:rPr>
          <w:rStyle w:val="Titredulivre"/>
        </w:rPr>
        <w:t xml:space="preserve">7. </w:t>
      </w:r>
      <w:r w:rsidRPr="000D2CE4">
        <w:rPr>
          <w:rStyle w:val="Titredulivre"/>
        </w:rPr>
        <w:tab/>
      </w:r>
      <w:r w:rsidRPr="00D06E0F">
        <w:rPr>
          <w:rStyle w:val="Titredulivre"/>
          <w:lang w:val="fr-FR"/>
        </w:rPr>
        <w:t xml:space="preserve">Classification commune des actes médicaux. </w:t>
      </w:r>
      <w:r w:rsidRPr="000D2CE4">
        <w:rPr>
          <w:rStyle w:val="Titredulivre"/>
          <w:lang w:val="fr-FR"/>
        </w:rPr>
        <w:t>Bull Off. 2007;(2007/3 bis).</w:t>
      </w:r>
    </w:p>
    <w:p w14:paraId="72AE8D0B" w14:textId="77777777" w:rsidR="00F27A4B" w:rsidRPr="00397EC7" w:rsidRDefault="00F27A4B" w:rsidP="00F27A4B">
      <w:pPr>
        <w:spacing w:line="360" w:lineRule="auto"/>
        <w:jc w:val="left"/>
        <w:rPr>
          <w:rStyle w:val="Titredulivre"/>
          <w:lang w:val="en-GB"/>
        </w:rPr>
      </w:pPr>
      <w:r w:rsidRPr="000D2CE4">
        <w:rPr>
          <w:rStyle w:val="Titredulivre"/>
          <w:lang w:val="fr-FR"/>
        </w:rPr>
        <w:t xml:space="preserve">8. </w:t>
      </w:r>
      <w:r w:rsidRPr="000D2CE4">
        <w:rPr>
          <w:rStyle w:val="Titredulivre"/>
          <w:lang w:val="fr-FR"/>
        </w:rPr>
        <w:tab/>
      </w:r>
      <w:r w:rsidRPr="00397EC7">
        <w:rPr>
          <w:rStyle w:val="Titredulivre"/>
          <w:lang w:val="en-GB"/>
        </w:rPr>
        <w:t xml:space="preserve">Bouillon K, Bertrand M, Bader G, </w:t>
      </w:r>
      <w:proofErr w:type="spellStart"/>
      <w:r w:rsidRPr="00397EC7">
        <w:rPr>
          <w:rStyle w:val="Titredulivre"/>
          <w:lang w:val="en-GB"/>
        </w:rPr>
        <w:t>Lucot</w:t>
      </w:r>
      <w:proofErr w:type="spellEnd"/>
      <w:r w:rsidRPr="00397EC7">
        <w:rPr>
          <w:rStyle w:val="Titredulivre"/>
          <w:lang w:val="en-GB"/>
        </w:rPr>
        <w:t xml:space="preserve"> J-P, </w:t>
      </w:r>
      <w:proofErr w:type="spellStart"/>
      <w:r w:rsidRPr="00397EC7">
        <w:rPr>
          <w:rStyle w:val="Titredulivre"/>
          <w:lang w:val="en-GB"/>
        </w:rPr>
        <w:t>Dray-Spira</w:t>
      </w:r>
      <w:proofErr w:type="spellEnd"/>
      <w:r w:rsidRPr="00397EC7">
        <w:rPr>
          <w:rStyle w:val="Titredulivre"/>
          <w:lang w:val="en-GB"/>
        </w:rPr>
        <w:t xml:space="preserve"> R, </w:t>
      </w:r>
      <w:proofErr w:type="spellStart"/>
      <w:r w:rsidRPr="00397EC7">
        <w:rPr>
          <w:rStyle w:val="Titredulivre"/>
          <w:lang w:val="en-GB"/>
        </w:rPr>
        <w:t>Zureik</w:t>
      </w:r>
      <w:proofErr w:type="spellEnd"/>
      <w:r w:rsidRPr="00397EC7">
        <w:rPr>
          <w:rStyle w:val="Titredulivre"/>
          <w:lang w:val="en-GB"/>
        </w:rPr>
        <w:t xml:space="preserve"> M. Association of </w:t>
      </w:r>
      <w:proofErr w:type="spellStart"/>
      <w:r w:rsidRPr="00397EC7">
        <w:rPr>
          <w:rStyle w:val="Titredulivre"/>
          <w:lang w:val="en-GB"/>
        </w:rPr>
        <w:t>Hysteroscopic</w:t>
      </w:r>
      <w:proofErr w:type="spellEnd"/>
      <w:r w:rsidRPr="00397EC7">
        <w:rPr>
          <w:rStyle w:val="Titredulivre"/>
          <w:lang w:val="en-GB"/>
        </w:rPr>
        <w:t xml:space="preserve"> vs Laparoscopic Sterilization With Procedural, </w:t>
      </w:r>
      <w:proofErr w:type="spellStart"/>
      <w:r w:rsidRPr="00397EC7">
        <w:rPr>
          <w:rStyle w:val="Titredulivre"/>
          <w:lang w:val="en-GB"/>
        </w:rPr>
        <w:t>Gynecological</w:t>
      </w:r>
      <w:proofErr w:type="spellEnd"/>
      <w:r w:rsidRPr="00397EC7">
        <w:rPr>
          <w:rStyle w:val="Titredulivre"/>
          <w:lang w:val="en-GB"/>
        </w:rPr>
        <w:t xml:space="preserve">, and Medical Outcomes. </w:t>
      </w:r>
      <w:proofErr w:type="gramStart"/>
      <w:r w:rsidRPr="00397EC7">
        <w:rPr>
          <w:rStyle w:val="Titredulivre"/>
          <w:lang w:val="en-GB"/>
        </w:rPr>
        <w:t>JAMA.</w:t>
      </w:r>
      <w:proofErr w:type="gramEnd"/>
      <w:r w:rsidRPr="00397EC7">
        <w:rPr>
          <w:rStyle w:val="Titredulivre"/>
          <w:lang w:val="en-GB"/>
        </w:rPr>
        <w:t xml:space="preserve"> 2018</w:t>
      </w:r>
      <w:proofErr w:type="gramStart"/>
      <w:r w:rsidRPr="00397EC7">
        <w:rPr>
          <w:rStyle w:val="Titredulivre"/>
          <w:lang w:val="en-GB"/>
        </w:rPr>
        <w:t>;319</w:t>
      </w:r>
      <w:proofErr w:type="gramEnd"/>
      <w:r w:rsidRPr="00397EC7">
        <w:rPr>
          <w:rStyle w:val="Titredulivre"/>
          <w:lang w:val="en-GB"/>
        </w:rPr>
        <w:t>(4):375-387. doi:10.1001/jama.2017.21269</w:t>
      </w:r>
    </w:p>
    <w:p w14:paraId="2D65DE3A" w14:textId="77777777" w:rsidR="00F27A4B" w:rsidRPr="00397EC7" w:rsidRDefault="00F27A4B" w:rsidP="00F27A4B">
      <w:pPr>
        <w:spacing w:line="360" w:lineRule="auto"/>
        <w:jc w:val="left"/>
        <w:rPr>
          <w:rStyle w:val="Titredulivre"/>
          <w:lang w:val="en-GB"/>
        </w:rPr>
      </w:pPr>
      <w:r w:rsidRPr="00397EC7">
        <w:rPr>
          <w:rStyle w:val="Titredulivre"/>
          <w:lang w:val="en-GB"/>
        </w:rPr>
        <w:t xml:space="preserve">9. </w:t>
      </w:r>
      <w:r w:rsidRPr="00397EC7">
        <w:rPr>
          <w:rStyle w:val="Titredulivre"/>
          <w:lang w:val="en-GB"/>
        </w:rPr>
        <w:tab/>
      </w:r>
      <w:r w:rsidRPr="00D06E0F">
        <w:rPr>
          <w:rStyle w:val="Titredulivre"/>
          <w:lang w:val="fr-FR"/>
        </w:rPr>
        <w:t xml:space="preserve">Lemaitre M, </w:t>
      </w:r>
      <w:proofErr w:type="spellStart"/>
      <w:r w:rsidRPr="00D06E0F">
        <w:rPr>
          <w:rStyle w:val="Titredulivre"/>
          <w:lang w:val="fr-FR"/>
        </w:rPr>
        <w:t>Kirchgesner</w:t>
      </w:r>
      <w:proofErr w:type="spellEnd"/>
      <w:r w:rsidRPr="00D06E0F">
        <w:rPr>
          <w:rStyle w:val="Titredulivre"/>
          <w:lang w:val="fr-FR"/>
        </w:rPr>
        <w:t xml:space="preserve"> J, </w:t>
      </w:r>
      <w:proofErr w:type="spellStart"/>
      <w:r w:rsidRPr="00D06E0F">
        <w:rPr>
          <w:rStyle w:val="Titredulivre"/>
          <w:lang w:val="fr-FR"/>
        </w:rPr>
        <w:t>Rudnichi</w:t>
      </w:r>
      <w:proofErr w:type="spellEnd"/>
      <w:r w:rsidRPr="00D06E0F">
        <w:rPr>
          <w:rStyle w:val="Titredulivre"/>
          <w:lang w:val="fr-FR"/>
        </w:rPr>
        <w:t xml:space="preserve"> A, et al. </w:t>
      </w:r>
      <w:r w:rsidRPr="00397EC7">
        <w:rPr>
          <w:rStyle w:val="Titredulivre"/>
          <w:lang w:val="en-GB"/>
        </w:rPr>
        <w:t xml:space="preserve">Association Between Use of </w:t>
      </w:r>
      <w:proofErr w:type="spellStart"/>
      <w:r w:rsidRPr="00397EC7">
        <w:rPr>
          <w:rStyle w:val="Titredulivre"/>
          <w:lang w:val="en-GB"/>
        </w:rPr>
        <w:t>Thiopurines</w:t>
      </w:r>
      <w:proofErr w:type="spellEnd"/>
      <w:r w:rsidRPr="00397EC7">
        <w:rPr>
          <w:rStyle w:val="Titredulivre"/>
          <w:lang w:val="en-GB"/>
        </w:rPr>
        <w:t xml:space="preserve"> or </w:t>
      </w:r>
      <w:proofErr w:type="spellStart"/>
      <w:r w:rsidRPr="00397EC7">
        <w:rPr>
          <w:rStyle w:val="Titredulivre"/>
          <w:lang w:val="en-GB"/>
        </w:rPr>
        <w:t>Tumor</w:t>
      </w:r>
      <w:proofErr w:type="spellEnd"/>
      <w:r w:rsidRPr="00397EC7">
        <w:rPr>
          <w:rStyle w:val="Titredulivre"/>
          <w:lang w:val="en-GB"/>
        </w:rPr>
        <w:t xml:space="preserve"> Necrosis Factor Antagonists Alone or in Combination and Risk of Lymphoma in Patients With Inflammatory Bowel Disease. </w:t>
      </w:r>
      <w:proofErr w:type="gramStart"/>
      <w:r w:rsidRPr="00397EC7">
        <w:rPr>
          <w:rStyle w:val="Titredulivre"/>
          <w:lang w:val="en-GB"/>
        </w:rPr>
        <w:t>JAMA.</w:t>
      </w:r>
      <w:proofErr w:type="gramEnd"/>
      <w:r w:rsidRPr="00397EC7">
        <w:rPr>
          <w:rStyle w:val="Titredulivre"/>
          <w:lang w:val="en-GB"/>
        </w:rPr>
        <w:t xml:space="preserve"> 2017</w:t>
      </w:r>
      <w:proofErr w:type="gramStart"/>
      <w:r w:rsidRPr="00397EC7">
        <w:rPr>
          <w:rStyle w:val="Titredulivre"/>
          <w:lang w:val="en-GB"/>
        </w:rPr>
        <w:t>;318</w:t>
      </w:r>
      <w:proofErr w:type="gramEnd"/>
      <w:r w:rsidRPr="00397EC7">
        <w:rPr>
          <w:rStyle w:val="Titredulivre"/>
          <w:lang w:val="en-GB"/>
        </w:rPr>
        <w:t>(17):1679-1686. doi:10.1001/jama.2017.16071</w:t>
      </w:r>
    </w:p>
    <w:p w14:paraId="380B1AE2" w14:textId="77777777" w:rsidR="00F27A4B" w:rsidRPr="00397EC7" w:rsidRDefault="00F27A4B" w:rsidP="00F27A4B">
      <w:pPr>
        <w:spacing w:line="360" w:lineRule="auto"/>
        <w:jc w:val="left"/>
        <w:rPr>
          <w:rStyle w:val="Titredulivre"/>
          <w:lang w:val="en-GB"/>
        </w:rPr>
      </w:pPr>
      <w:r w:rsidRPr="000D2CE4">
        <w:rPr>
          <w:rStyle w:val="Titredulivre"/>
        </w:rPr>
        <w:t xml:space="preserve">10. </w:t>
      </w:r>
      <w:r w:rsidRPr="000D2CE4">
        <w:rPr>
          <w:rStyle w:val="Titredulivre"/>
        </w:rPr>
        <w:tab/>
      </w:r>
      <w:proofErr w:type="spellStart"/>
      <w:r w:rsidRPr="00D06E0F">
        <w:rPr>
          <w:rStyle w:val="Titredulivre"/>
          <w:lang w:val="fr-FR"/>
        </w:rPr>
        <w:t>Thereaux</w:t>
      </w:r>
      <w:proofErr w:type="spellEnd"/>
      <w:r w:rsidRPr="00D06E0F">
        <w:rPr>
          <w:rStyle w:val="Titredulivre"/>
          <w:lang w:val="fr-FR"/>
        </w:rPr>
        <w:t xml:space="preserve"> J, </w:t>
      </w:r>
      <w:proofErr w:type="spellStart"/>
      <w:r w:rsidRPr="00D06E0F">
        <w:rPr>
          <w:rStyle w:val="Titredulivre"/>
          <w:lang w:val="fr-FR"/>
        </w:rPr>
        <w:t>Lesuffleur</w:t>
      </w:r>
      <w:proofErr w:type="spellEnd"/>
      <w:r w:rsidRPr="00D06E0F">
        <w:rPr>
          <w:rStyle w:val="Titredulivre"/>
          <w:lang w:val="fr-FR"/>
        </w:rPr>
        <w:t xml:space="preserve"> T, </w:t>
      </w:r>
      <w:proofErr w:type="spellStart"/>
      <w:r w:rsidRPr="00D06E0F">
        <w:rPr>
          <w:rStyle w:val="Titredulivre"/>
          <w:lang w:val="fr-FR"/>
        </w:rPr>
        <w:t>Czernichow</w:t>
      </w:r>
      <w:proofErr w:type="spellEnd"/>
      <w:r w:rsidRPr="00D06E0F">
        <w:rPr>
          <w:rStyle w:val="Titredulivre"/>
          <w:lang w:val="fr-FR"/>
        </w:rPr>
        <w:t xml:space="preserve"> S, et al. </w:t>
      </w:r>
      <w:r w:rsidRPr="00397EC7">
        <w:rPr>
          <w:rStyle w:val="Titredulivre"/>
          <w:lang w:val="en-GB"/>
        </w:rPr>
        <w:t xml:space="preserve">Association Between Bariatric Surgery and Rates of Continuation, Discontinuation, or Initiation of </w:t>
      </w:r>
      <w:proofErr w:type="spellStart"/>
      <w:r w:rsidRPr="00397EC7">
        <w:rPr>
          <w:rStyle w:val="Titredulivre"/>
          <w:lang w:val="en-GB"/>
        </w:rPr>
        <w:t>Antidiabetes</w:t>
      </w:r>
      <w:proofErr w:type="spellEnd"/>
      <w:r w:rsidRPr="00397EC7">
        <w:rPr>
          <w:rStyle w:val="Titredulivre"/>
          <w:lang w:val="en-GB"/>
        </w:rPr>
        <w:t xml:space="preserve"> Treatment 6 Years Later. JAMA Surg. February 2018. doi:10.1001/jamasurg.2017.6163</w:t>
      </w:r>
    </w:p>
    <w:p w14:paraId="1D131257" w14:textId="77777777" w:rsidR="00F27A4B" w:rsidRPr="00397EC7" w:rsidRDefault="00F27A4B" w:rsidP="00F27A4B">
      <w:pPr>
        <w:spacing w:line="360" w:lineRule="auto"/>
        <w:jc w:val="left"/>
        <w:rPr>
          <w:rStyle w:val="Titredulivre"/>
          <w:lang w:val="en-GB"/>
        </w:rPr>
      </w:pPr>
      <w:r w:rsidRPr="00397EC7">
        <w:rPr>
          <w:rStyle w:val="Titredulivre"/>
          <w:lang w:val="en-GB"/>
        </w:rPr>
        <w:t xml:space="preserve">11. </w:t>
      </w:r>
      <w:r w:rsidRPr="00397EC7">
        <w:rPr>
          <w:rStyle w:val="Titredulivre"/>
          <w:lang w:val="en-GB"/>
        </w:rPr>
        <w:tab/>
      </w:r>
      <w:proofErr w:type="spellStart"/>
      <w:r w:rsidRPr="00397EC7">
        <w:rPr>
          <w:rStyle w:val="Titredulivre"/>
          <w:lang w:val="en-GB"/>
        </w:rPr>
        <w:t>Tubiana</w:t>
      </w:r>
      <w:proofErr w:type="spellEnd"/>
      <w:r w:rsidRPr="00397EC7">
        <w:rPr>
          <w:rStyle w:val="Titredulivre"/>
          <w:lang w:val="en-GB"/>
        </w:rPr>
        <w:t xml:space="preserve"> S, </w:t>
      </w:r>
      <w:proofErr w:type="spellStart"/>
      <w:r w:rsidRPr="00397EC7">
        <w:rPr>
          <w:rStyle w:val="Titredulivre"/>
          <w:lang w:val="en-GB"/>
        </w:rPr>
        <w:t>Blotière</w:t>
      </w:r>
      <w:proofErr w:type="spellEnd"/>
      <w:r w:rsidRPr="00397EC7">
        <w:rPr>
          <w:rStyle w:val="Titredulivre"/>
          <w:lang w:val="en-GB"/>
        </w:rPr>
        <w:t xml:space="preserve"> P-O, </w:t>
      </w:r>
      <w:proofErr w:type="spellStart"/>
      <w:r w:rsidRPr="00397EC7">
        <w:rPr>
          <w:rStyle w:val="Titredulivre"/>
          <w:lang w:val="en-GB"/>
        </w:rPr>
        <w:t>Hoen</w:t>
      </w:r>
      <w:proofErr w:type="spellEnd"/>
      <w:r w:rsidRPr="00397EC7">
        <w:rPr>
          <w:rStyle w:val="Titredulivre"/>
          <w:lang w:val="en-GB"/>
        </w:rPr>
        <w:t xml:space="preserve"> B, et al. Dental procedures, antibiotic prophylaxis, and endocarditis among people with prosthetic heart valves: nationwide population based cohort and a case crossover study. </w:t>
      </w:r>
      <w:proofErr w:type="gramStart"/>
      <w:r w:rsidRPr="00397EC7">
        <w:rPr>
          <w:rStyle w:val="Titredulivre"/>
          <w:lang w:val="en-GB"/>
        </w:rPr>
        <w:t>BMJ.</w:t>
      </w:r>
      <w:proofErr w:type="gramEnd"/>
      <w:r w:rsidRPr="00397EC7">
        <w:rPr>
          <w:rStyle w:val="Titredulivre"/>
          <w:lang w:val="en-GB"/>
        </w:rPr>
        <w:t xml:space="preserve"> 2017</w:t>
      </w:r>
      <w:proofErr w:type="gramStart"/>
      <w:r w:rsidRPr="00397EC7">
        <w:rPr>
          <w:rStyle w:val="Titredulivre"/>
          <w:lang w:val="en-GB"/>
        </w:rPr>
        <w:t>;358:j3776</w:t>
      </w:r>
      <w:proofErr w:type="gramEnd"/>
      <w:r w:rsidRPr="00397EC7">
        <w:rPr>
          <w:rStyle w:val="Titredulivre"/>
          <w:lang w:val="en-GB"/>
        </w:rPr>
        <w:t>.</w:t>
      </w:r>
    </w:p>
    <w:p w14:paraId="7FB35CF5" w14:textId="77777777" w:rsidR="00F27A4B" w:rsidRPr="00397EC7" w:rsidRDefault="00F27A4B" w:rsidP="00F27A4B">
      <w:pPr>
        <w:spacing w:line="360" w:lineRule="auto"/>
        <w:jc w:val="left"/>
        <w:rPr>
          <w:rStyle w:val="Titredulivre"/>
          <w:lang w:val="en-GB"/>
        </w:rPr>
      </w:pPr>
      <w:r w:rsidRPr="00DC3416">
        <w:rPr>
          <w:rStyle w:val="Titredulivre"/>
        </w:rPr>
        <w:t xml:space="preserve">12. </w:t>
      </w:r>
      <w:r w:rsidRPr="00DC3416">
        <w:rPr>
          <w:rStyle w:val="Titredulivre"/>
        </w:rPr>
        <w:tab/>
      </w:r>
      <w:r w:rsidRPr="00D06E0F">
        <w:rPr>
          <w:rStyle w:val="Titredulivre"/>
          <w:lang w:val="fr-FR"/>
        </w:rPr>
        <w:t xml:space="preserve">Weill A, </w:t>
      </w:r>
      <w:proofErr w:type="spellStart"/>
      <w:r w:rsidRPr="00D06E0F">
        <w:rPr>
          <w:rStyle w:val="Titredulivre"/>
          <w:lang w:val="fr-FR"/>
        </w:rPr>
        <w:t>Dalichampt</w:t>
      </w:r>
      <w:proofErr w:type="spellEnd"/>
      <w:r w:rsidRPr="00D06E0F">
        <w:rPr>
          <w:rStyle w:val="Titredulivre"/>
          <w:lang w:val="fr-FR"/>
        </w:rPr>
        <w:t xml:space="preserve"> M, </w:t>
      </w:r>
      <w:proofErr w:type="spellStart"/>
      <w:r w:rsidRPr="00D06E0F">
        <w:rPr>
          <w:rStyle w:val="Titredulivre"/>
          <w:lang w:val="fr-FR"/>
        </w:rPr>
        <w:t>Raguideau</w:t>
      </w:r>
      <w:proofErr w:type="spellEnd"/>
      <w:r w:rsidRPr="00D06E0F">
        <w:rPr>
          <w:rStyle w:val="Titredulivre"/>
          <w:lang w:val="fr-FR"/>
        </w:rPr>
        <w:t xml:space="preserve"> F, et al. </w:t>
      </w:r>
      <w:r w:rsidRPr="00397EC7">
        <w:rPr>
          <w:rStyle w:val="Titredulivre"/>
          <w:lang w:val="en-GB"/>
        </w:rPr>
        <w:t xml:space="preserve">Low dose oestrogen combined oral contraception and risk of pulmonary embolism, stroke, and myocardial infarction in five million French women: cohort study. </w:t>
      </w:r>
      <w:proofErr w:type="gramStart"/>
      <w:r w:rsidRPr="00397EC7">
        <w:rPr>
          <w:rStyle w:val="Titredulivre"/>
          <w:lang w:val="en-GB"/>
        </w:rPr>
        <w:t>BMJ.</w:t>
      </w:r>
      <w:proofErr w:type="gramEnd"/>
      <w:r w:rsidRPr="00397EC7">
        <w:rPr>
          <w:rStyle w:val="Titredulivre"/>
          <w:lang w:val="en-GB"/>
        </w:rPr>
        <w:t xml:space="preserve"> 2016</w:t>
      </w:r>
      <w:proofErr w:type="gramStart"/>
      <w:r w:rsidRPr="00397EC7">
        <w:rPr>
          <w:rStyle w:val="Titredulivre"/>
          <w:lang w:val="en-GB"/>
        </w:rPr>
        <w:t>;353:i2002</w:t>
      </w:r>
      <w:proofErr w:type="gramEnd"/>
      <w:r w:rsidRPr="00397EC7">
        <w:rPr>
          <w:rStyle w:val="Titredulivre"/>
          <w:lang w:val="en-GB"/>
        </w:rPr>
        <w:t>.</w:t>
      </w:r>
    </w:p>
    <w:p w14:paraId="1F021C8A" w14:textId="77777777" w:rsidR="00F27A4B" w:rsidRPr="000D2CE4" w:rsidRDefault="00F27A4B" w:rsidP="00F27A4B">
      <w:pPr>
        <w:spacing w:line="360" w:lineRule="auto"/>
        <w:jc w:val="left"/>
        <w:rPr>
          <w:rStyle w:val="Titredulivre"/>
        </w:rPr>
      </w:pPr>
      <w:r w:rsidRPr="00397EC7">
        <w:rPr>
          <w:rStyle w:val="Titredulivre"/>
          <w:lang w:val="en-GB"/>
        </w:rPr>
        <w:t xml:space="preserve">13. </w:t>
      </w:r>
      <w:r w:rsidRPr="00397EC7">
        <w:rPr>
          <w:rStyle w:val="Titredulivre"/>
          <w:lang w:val="en-GB"/>
        </w:rPr>
        <w:tab/>
      </w:r>
      <w:proofErr w:type="spellStart"/>
      <w:r w:rsidRPr="00397EC7">
        <w:rPr>
          <w:rStyle w:val="Titredulivre"/>
          <w:lang w:val="en-GB"/>
        </w:rPr>
        <w:t>Basson</w:t>
      </w:r>
      <w:proofErr w:type="spellEnd"/>
      <w:r w:rsidRPr="00397EC7">
        <w:rPr>
          <w:rStyle w:val="Titredulivre"/>
          <w:lang w:val="en-GB"/>
        </w:rPr>
        <w:t xml:space="preserve"> M, </w:t>
      </w:r>
      <w:proofErr w:type="spellStart"/>
      <w:r w:rsidRPr="00397EC7">
        <w:rPr>
          <w:rStyle w:val="Titredulivre"/>
          <w:lang w:val="en-GB"/>
        </w:rPr>
        <w:t>Mezzarobba</w:t>
      </w:r>
      <w:proofErr w:type="spellEnd"/>
      <w:r w:rsidRPr="00397EC7">
        <w:rPr>
          <w:rStyle w:val="Titredulivre"/>
          <w:lang w:val="en-GB"/>
        </w:rPr>
        <w:t xml:space="preserve"> M, Weill A, et al. Severe intestinal malabsorption associated with </w:t>
      </w:r>
      <w:proofErr w:type="spellStart"/>
      <w:r w:rsidRPr="00397EC7">
        <w:rPr>
          <w:rStyle w:val="Titredulivre"/>
          <w:lang w:val="en-GB"/>
        </w:rPr>
        <w:t>olmesartan</w:t>
      </w:r>
      <w:proofErr w:type="spellEnd"/>
      <w:r w:rsidRPr="00397EC7">
        <w:rPr>
          <w:rStyle w:val="Titredulivre"/>
          <w:lang w:val="en-GB"/>
        </w:rPr>
        <w:t xml:space="preserve">: a French nationwide observational cohort study. </w:t>
      </w:r>
      <w:bookmarkStart w:id="0" w:name="_GoBack"/>
      <w:proofErr w:type="gramStart"/>
      <w:r w:rsidRPr="000D2CE4">
        <w:rPr>
          <w:rStyle w:val="Titredulivre"/>
        </w:rPr>
        <w:t>Gut.</w:t>
      </w:r>
      <w:proofErr w:type="gramEnd"/>
      <w:r w:rsidRPr="000D2CE4">
        <w:rPr>
          <w:rStyle w:val="Titredulivre"/>
        </w:rPr>
        <w:t xml:space="preserve"> 2016</w:t>
      </w:r>
      <w:proofErr w:type="gramStart"/>
      <w:r w:rsidRPr="000D2CE4">
        <w:rPr>
          <w:rStyle w:val="Titredulivre"/>
        </w:rPr>
        <w:t>;65</w:t>
      </w:r>
      <w:proofErr w:type="gramEnd"/>
      <w:r w:rsidRPr="000D2CE4">
        <w:rPr>
          <w:rStyle w:val="Titredulivre"/>
        </w:rPr>
        <w:t xml:space="preserve">(10):1664-1669. </w:t>
      </w:r>
      <w:proofErr w:type="gramStart"/>
      <w:r w:rsidRPr="000D2CE4">
        <w:rPr>
          <w:rStyle w:val="Titredulivre"/>
        </w:rPr>
        <w:t>doi:</w:t>
      </w:r>
      <w:proofErr w:type="gramEnd"/>
      <w:r w:rsidRPr="000D2CE4">
        <w:rPr>
          <w:rStyle w:val="Titredulivre"/>
        </w:rPr>
        <w:t>10.1136/gutjnl-2015-309690</w:t>
      </w:r>
    </w:p>
    <w:p w14:paraId="2F0DA570" w14:textId="77777777" w:rsidR="00F27A4B" w:rsidRPr="009E4972" w:rsidRDefault="00F27A4B" w:rsidP="00F27A4B">
      <w:pPr>
        <w:spacing w:line="360" w:lineRule="auto"/>
        <w:jc w:val="left"/>
        <w:rPr>
          <w:rStyle w:val="Titredulivre"/>
          <w:lang w:val="fr-FR"/>
        </w:rPr>
      </w:pPr>
      <w:r w:rsidRPr="000D2CE4">
        <w:rPr>
          <w:rStyle w:val="Titredulivre"/>
        </w:rPr>
        <w:t xml:space="preserve">14. </w:t>
      </w:r>
      <w:r w:rsidRPr="000D2CE4">
        <w:rPr>
          <w:rStyle w:val="Titredulivre"/>
        </w:rPr>
        <w:tab/>
      </w:r>
      <w:bookmarkEnd w:id="0"/>
      <w:proofErr w:type="spellStart"/>
      <w:r w:rsidRPr="00D06E0F">
        <w:rPr>
          <w:rStyle w:val="Titredulivre"/>
          <w:lang w:val="fr-FR"/>
        </w:rPr>
        <w:t>Maura</w:t>
      </w:r>
      <w:proofErr w:type="spellEnd"/>
      <w:r w:rsidRPr="00D06E0F">
        <w:rPr>
          <w:rStyle w:val="Titredulivre"/>
          <w:lang w:val="fr-FR"/>
        </w:rPr>
        <w:t xml:space="preserve"> G, </w:t>
      </w:r>
      <w:proofErr w:type="spellStart"/>
      <w:r w:rsidRPr="00D06E0F">
        <w:rPr>
          <w:rStyle w:val="Titredulivre"/>
          <w:lang w:val="fr-FR"/>
        </w:rPr>
        <w:t>Blotière</w:t>
      </w:r>
      <w:proofErr w:type="spellEnd"/>
      <w:r w:rsidRPr="00D06E0F">
        <w:rPr>
          <w:rStyle w:val="Titredulivre"/>
          <w:lang w:val="fr-FR"/>
        </w:rPr>
        <w:t xml:space="preserve"> P-O, Bouillon K, et al. </w:t>
      </w:r>
      <w:r w:rsidRPr="00397EC7">
        <w:rPr>
          <w:rStyle w:val="Titredulivre"/>
          <w:lang w:val="en-GB"/>
        </w:rPr>
        <w:t xml:space="preserve">Comparison of the short-term risk of bleeding and arterial thromboembolic events in </w:t>
      </w:r>
      <w:proofErr w:type="spellStart"/>
      <w:r w:rsidRPr="00397EC7">
        <w:rPr>
          <w:rStyle w:val="Titredulivre"/>
          <w:lang w:val="en-GB"/>
        </w:rPr>
        <w:t>nonvalvular</w:t>
      </w:r>
      <w:proofErr w:type="spellEnd"/>
      <w:r w:rsidRPr="00397EC7">
        <w:rPr>
          <w:rStyle w:val="Titredulivre"/>
          <w:lang w:val="en-GB"/>
        </w:rPr>
        <w:t xml:space="preserve"> atrial fibrillation patients newly treated with dabigatran or rivaroxaban versus vitamin K antagonists: a French nationwide propensity-matched cohort study. </w:t>
      </w:r>
      <w:r w:rsidRPr="009E4972">
        <w:rPr>
          <w:rStyle w:val="Titredulivre"/>
          <w:lang w:val="fr-FR"/>
        </w:rPr>
        <w:t>Circulation. 2015;132(13):1252-1260. doi:10.1161/CIRCULATIONAHA.115.015710</w:t>
      </w:r>
    </w:p>
    <w:p w14:paraId="39908238" w14:textId="77777777" w:rsidR="00F27A4B" w:rsidRPr="00397EC7" w:rsidRDefault="00F27A4B" w:rsidP="00F27A4B">
      <w:pPr>
        <w:spacing w:line="360" w:lineRule="auto"/>
        <w:jc w:val="left"/>
        <w:rPr>
          <w:rStyle w:val="Titredulivre"/>
          <w:lang w:val="en-GB"/>
        </w:rPr>
      </w:pPr>
      <w:r w:rsidRPr="009E4972">
        <w:rPr>
          <w:rStyle w:val="Titredulivre"/>
          <w:lang w:val="fr-FR"/>
        </w:rPr>
        <w:lastRenderedPageBreak/>
        <w:t xml:space="preserve">15. </w:t>
      </w:r>
      <w:r w:rsidRPr="009E4972">
        <w:rPr>
          <w:rStyle w:val="Titredulivre"/>
          <w:lang w:val="fr-FR"/>
        </w:rPr>
        <w:tab/>
      </w:r>
      <w:proofErr w:type="spellStart"/>
      <w:r w:rsidRPr="00D06E0F">
        <w:rPr>
          <w:rStyle w:val="Titredulivre"/>
          <w:lang w:val="fr-FR"/>
        </w:rPr>
        <w:t>Billionnet</w:t>
      </w:r>
      <w:proofErr w:type="spellEnd"/>
      <w:r w:rsidRPr="00D06E0F">
        <w:rPr>
          <w:rStyle w:val="Titredulivre"/>
          <w:lang w:val="fr-FR"/>
        </w:rPr>
        <w:t xml:space="preserve"> C, </w:t>
      </w:r>
      <w:proofErr w:type="spellStart"/>
      <w:r w:rsidRPr="00D06E0F">
        <w:rPr>
          <w:rStyle w:val="Titredulivre"/>
          <w:lang w:val="fr-FR"/>
        </w:rPr>
        <w:t>Mitanchez</w:t>
      </w:r>
      <w:proofErr w:type="spellEnd"/>
      <w:r w:rsidRPr="00D06E0F">
        <w:rPr>
          <w:rStyle w:val="Titredulivre"/>
          <w:lang w:val="fr-FR"/>
        </w:rPr>
        <w:t xml:space="preserve"> D, Weill A, et al. </w:t>
      </w:r>
      <w:proofErr w:type="gramStart"/>
      <w:r w:rsidRPr="00397EC7">
        <w:rPr>
          <w:rStyle w:val="Titredulivre"/>
          <w:lang w:val="en-GB"/>
        </w:rPr>
        <w:t>Gestational diabetes and adverse perinatal outcomes from 716,152 births in France in 2012.</w:t>
      </w:r>
      <w:proofErr w:type="gramEnd"/>
      <w:r w:rsidRPr="00397EC7">
        <w:rPr>
          <w:rStyle w:val="Titredulivre"/>
          <w:lang w:val="en-GB"/>
        </w:rPr>
        <w:t xml:space="preserve"> </w:t>
      </w:r>
      <w:proofErr w:type="spellStart"/>
      <w:proofErr w:type="gramStart"/>
      <w:r w:rsidRPr="00397EC7">
        <w:rPr>
          <w:rStyle w:val="Titredulivre"/>
          <w:lang w:val="en-GB"/>
        </w:rPr>
        <w:t>Diabetologia</w:t>
      </w:r>
      <w:proofErr w:type="spellEnd"/>
      <w:r w:rsidRPr="00397EC7">
        <w:rPr>
          <w:rStyle w:val="Titredulivre"/>
          <w:lang w:val="en-GB"/>
        </w:rPr>
        <w:t>.</w:t>
      </w:r>
      <w:proofErr w:type="gramEnd"/>
      <w:r w:rsidRPr="00397EC7">
        <w:rPr>
          <w:rStyle w:val="Titredulivre"/>
          <w:lang w:val="en-GB"/>
        </w:rPr>
        <w:t xml:space="preserve"> 2017</w:t>
      </w:r>
      <w:proofErr w:type="gramStart"/>
      <w:r w:rsidRPr="00397EC7">
        <w:rPr>
          <w:rStyle w:val="Titredulivre"/>
          <w:lang w:val="en-GB"/>
        </w:rPr>
        <w:t>;60</w:t>
      </w:r>
      <w:proofErr w:type="gramEnd"/>
      <w:r w:rsidRPr="00397EC7">
        <w:rPr>
          <w:rStyle w:val="Titredulivre"/>
          <w:lang w:val="en-GB"/>
        </w:rPr>
        <w:t xml:space="preserve">(4):636-644. </w:t>
      </w:r>
      <w:proofErr w:type="gramStart"/>
      <w:r w:rsidRPr="00397EC7">
        <w:rPr>
          <w:rStyle w:val="Titredulivre"/>
          <w:lang w:val="en-GB"/>
        </w:rPr>
        <w:t>doi:</w:t>
      </w:r>
      <w:proofErr w:type="gramEnd"/>
      <w:r w:rsidRPr="00397EC7">
        <w:rPr>
          <w:rStyle w:val="Titredulivre"/>
          <w:lang w:val="en-GB"/>
        </w:rPr>
        <w:t>10.1007/s00125-017-4206-6</w:t>
      </w:r>
    </w:p>
    <w:p w14:paraId="7C99318C" w14:textId="68F5A464" w:rsidR="00A6091F" w:rsidRPr="00397EC7" w:rsidRDefault="00E53F12">
      <w:pPr>
        <w:spacing w:line="276" w:lineRule="auto"/>
        <w:jc w:val="left"/>
        <w:rPr>
          <w:rStyle w:val="Titredulivre"/>
          <w:rFonts w:cs="Times New Roman"/>
          <w:b/>
          <w:bCs/>
          <w:lang w:val="en-GB"/>
        </w:rPr>
      </w:pPr>
      <w:r w:rsidRPr="00397EC7">
        <w:rPr>
          <w:rStyle w:val="Titredulivre"/>
          <w:lang w:val="en-GB"/>
        </w:rPr>
        <w:br w:type="page"/>
      </w:r>
    </w:p>
    <w:p w14:paraId="2C125A6F" w14:textId="1D87C4E4" w:rsidR="00966E2C" w:rsidRPr="00397EC7" w:rsidRDefault="00A6091F" w:rsidP="00843ED5">
      <w:pPr>
        <w:pStyle w:val="Lgende"/>
        <w:jc w:val="left"/>
        <w:rPr>
          <w:rFonts w:cs="Arial"/>
          <w:sz w:val="20"/>
          <w:lang w:val="en-GB"/>
        </w:rPr>
      </w:pPr>
      <w:r w:rsidRPr="00397EC7">
        <w:rPr>
          <w:rStyle w:val="Titredulivre"/>
          <w:rFonts w:cs="Times New Roman"/>
          <w:lang w:val="en-GB"/>
        </w:rPr>
        <w:lastRenderedPageBreak/>
        <w:t xml:space="preserve">Supplemental Table </w:t>
      </w:r>
      <w:r w:rsidR="00966E2C" w:rsidRPr="00397EC7">
        <w:rPr>
          <w:rFonts w:cs="Arial"/>
          <w:sz w:val="20"/>
          <w:lang w:val="en-GB"/>
        </w:rPr>
        <w:fldChar w:fldCharType="begin"/>
      </w:r>
      <w:r w:rsidR="00966E2C" w:rsidRPr="00397EC7">
        <w:rPr>
          <w:rFonts w:cs="Arial"/>
          <w:sz w:val="20"/>
          <w:lang w:val="en-GB"/>
        </w:rPr>
        <w:instrText xml:space="preserve"> SEQ Supplementary_table \* ARABIC </w:instrText>
      </w:r>
      <w:r w:rsidR="00966E2C" w:rsidRPr="00397EC7">
        <w:rPr>
          <w:rFonts w:cs="Arial"/>
          <w:sz w:val="20"/>
          <w:lang w:val="en-GB"/>
        </w:rPr>
        <w:fldChar w:fldCharType="separate"/>
      </w:r>
      <w:r w:rsidR="00750E24" w:rsidRPr="00397EC7">
        <w:rPr>
          <w:rFonts w:cs="Arial"/>
          <w:sz w:val="20"/>
          <w:lang w:val="en-GB"/>
        </w:rPr>
        <w:t>1</w:t>
      </w:r>
      <w:r w:rsidR="00966E2C" w:rsidRPr="00397EC7">
        <w:rPr>
          <w:rFonts w:cs="Arial"/>
          <w:sz w:val="20"/>
          <w:lang w:val="en-GB"/>
        </w:rPr>
        <w:fldChar w:fldCharType="end"/>
      </w:r>
      <w:r w:rsidR="00966E2C" w:rsidRPr="00397EC7">
        <w:rPr>
          <w:rFonts w:cs="Arial"/>
          <w:sz w:val="20"/>
          <w:lang w:val="en-GB"/>
        </w:rPr>
        <w:t>: Procedure codes for colonoscopies, from French medical classification of medical procedures</w:t>
      </w:r>
      <w:r w:rsidR="00D54129" w:rsidRPr="00397EC7">
        <w:rPr>
          <w:rFonts w:cs="Arial"/>
          <w:sz w:val="20"/>
          <w:lang w:val="en-GB"/>
        </w:rPr>
        <w:t>.</w:t>
      </w:r>
      <w:r w:rsidR="00966E2C" w:rsidRPr="00397EC7">
        <w:rPr>
          <w:rFonts w:cs="Arial"/>
          <w:sz w:val="20"/>
          <w:lang w:val="en-GB"/>
        </w:rPr>
        <w:t xml:space="preserve"> </w:t>
      </w:r>
    </w:p>
    <w:tbl>
      <w:tblPr>
        <w:tblW w:w="8222" w:type="dxa"/>
        <w:jc w:val="center"/>
        <w:tblCellMar>
          <w:left w:w="70" w:type="dxa"/>
          <w:right w:w="70" w:type="dxa"/>
        </w:tblCellMar>
        <w:tblLook w:val="0000" w:firstRow="0" w:lastRow="0" w:firstColumn="0" w:lastColumn="0" w:noHBand="0" w:noVBand="0"/>
      </w:tblPr>
      <w:tblGrid>
        <w:gridCol w:w="911"/>
        <w:gridCol w:w="7371"/>
      </w:tblGrid>
      <w:tr w:rsidR="00966E2C" w:rsidRPr="00397EC7" w14:paraId="42FE0CBF" w14:textId="77777777" w:rsidTr="00643360">
        <w:trPr>
          <w:trHeight w:val="170"/>
          <w:jc w:val="center"/>
        </w:trPr>
        <w:tc>
          <w:tcPr>
            <w:tcW w:w="851" w:type="dxa"/>
            <w:tcBorders>
              <w:top w:val="single" w:sz="4" w:space="0" w:color="auto"/>
              <w:left w:val="nil"/>
              <w:bottom w:val="single" w:sz="4" w:space="0" w:color="auto"/>
              <w:right w:val="nil"/>
            </w:tcBorders>
            <w:vAlign w:val="center"/>
          </w:tcPr>
          <w:p w14:paraId="57241BBB" w14:textId="77777777" w:rsidR="00966E2C" w:rsidRPr="00397EC7" w:rsidRDefault="00966E2C" w:rsidP="00643360">
            <w:pPr>
              <w:spacing w:after="0" w:line="240" w:lineRule="auto"/>
              <w:jc w:val="center"/>
              <w:rPr>
                <w:rFonts w:eastAsia="Calibri" w:cs="Arial"/>
                <w:b/>
                <w:sz w:val="18"/>
                <w:lang w:val="en-GB" w:eastAsia="fr-FR"/>
              </w:rPr>
            </w:pPr>
            <w:r w:rsidRPr="00397EC7">
              <w:rPr>
                <w:rFonts w:eastAsia="Calibri" w:cs="Arial"/>
                <w:b/>
                <w:sz w:val="18"/>
                <w:lang w:val="en-GB" w:eastAsia="fr-FR"/>
              </w:rPr>
              <w:t>Procedure code</w:t>
            </w:r>
          </w:p>
        </w:tc>
        <w:tc>
          <w:tcPr>
            <w:tcW w:w="7371" w:type="dxa"/>
            <w:tcBorders>
              <w:top w:val="single" w:sz="4" w:space="0" w:color="auto"/>
              <w:left w:val="nil"/>
              <w:bottom w:val="single" w:sz="4" w:space="0" w:color="auto"/>
              <w:right w:val="nil"/>
            </w:tcBorders>
            <w:shd w:val="clear" w:color="auto" w:fill="auto"/>
            <w:noWrap/>
            <w:vAlign w:val="center"/>
          </w:tcPr>
          <w:p w14:paraId="1F48B2BF" w14:textId="77777777" w:rsidR="00966E2C" w:rsidRPr="00397EC7" w:rsidRDefault="00966E2C" w:rsidP="00643360">
            <w:pPr>
              <w:spacing w:after="0" w:line="240" w:lineRule="auto"/>
              <w:rPr>
                <w:rFonts w:eastAsia="Calibri" w:cs="Arial"/>
                <w:b/>
                <w:sz w:val="18"/>
                <w:lang w:val="en-GB" w:eastAsia="fr-FR"/>
              </w:rPr>
            </w:pPr>
            <w:r w:rsidRPr="00397EC7">
              <w:rPr>
                <w:rFonts w:eastAsia="Calibri" w:cs="Arial"/>
                <w:b/>
                <w:sz w:val="18"/>
                <w:lang w:val="en-GB" w:eastAsia="fr-FR"/>
              </w:rPr>
              <w:t>Wording</w:t>
            </w:r>
          </w:p>
        </w:tc>
      </w:tr>
      <w:tr w:rsidR="00966E2C" w:rsidRPr="00397EC7" w14:paraId="3F21F037" w14:textId="77777777" w:rsidTr="00643360">
        <w:trPr>
          <w:trHeight w:val="170"/>
          <w:jc w:val="center"/>
        </w:trPr>
        <w:tc>
          <w:tcPr>
            <w:tcW w:w="8222" w:type="dxa"/>
            <w:gridSpan w:val="2"/>
            <w:tcBorders>
              <w:top w:val="single" w:sz="4" w:space="0" w:color="auto"/>
              <w:left w:val="nil"/>
              <w:bottom w:val="single" w:sz="4" w:space="0" w:color="auto"/>
              <w:right w:val="nil"/>
            </w:tcBorders>
            <w:vAlign w:val="center"/>
          </w:tcPr>
          <w:p w14:paraId="273BE08B" w14:textId="77777777" w:rsidR="00966E2C" w:rsidRPr="00397EC7" w:rsidRDefault="00966E2C" w:rsidP="00643360">
            <w:pPr>
              <w:spacing w:after="0" w:line="240" w:lineRule="auto"/>
              <w:rPr>
                <w:rFonts w:eastAsia="Calibri" w:cs="Arial"/>
                <w:b/>
                <w:i/>
                <w:sz w:val="18"/>
                <w:lang w:val="en-GB" w:eastAsia="fr-FR"/>
              </w:rPr>
            </w:pPr>
            <w:r w:rsidRPr="00397EC7">
              <w:rPr>
                <w:rFonts w:eastAsia="Calibri" w:cs="Arial"/>
                <w:b/>
                <w:i/>
                <w:sz w:val="18"/>
                <w:lang w:val="en-GB" w:eastAsia="fr-FR"/>
              </w:rPr>
              <w:t>Incomplete colonoscopies</w:t>
            </w:r>
          </w:p>
        </w:tc>
      </w:tr>
      <w:tr w:rsidR="00966E2C" w:rsidRPr="00397EC7" w14:paraId="41BF045A" w14:textId="77777777" w:rsidTr="00643360">
        <w:trPr>
          <w:trHeight w:val="170"/>
          <w:jc w:val="center"/>
        </w:trPr>
        <w:tc>
          <w:tcPr>
            <w:tcW w:w="8222" w:type="dxa"/>
            <w:gridSpan w:val="2"/>
            <w:tcBorders>
              <w:top w:val="single" w:sz="4" w:space="0" w:color="auto"/>
              <w:left w:val="nil"/>
              <w:bottom w:val="dotted" w:sz="4" w:space="0" w:color="auto"/>
              <w:right w:val="nil"/>
            </w:tcBorders>
            <w:vAlign w:val="center"/>
          </w:tcPr>
          <w:p w14:paraId="14093EE8"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Without polypectomy</w:t>
            </w:r>
          </w:p>
        </w:tc>
      </w:tr>
      <w:tr w:rsidR="00966E2C" w:rsidRPr="00397EC7" w14:paraId="3649523C" w14:textId="77777777" w:rsidTr="00643360">
        <w:trPr>
          <w:trHeight w:val="170"/>
          <w:jc w:val="center"/>
        </w:trPr>
        <w:tc>
          <w:tcPr>
            <w:tcW w:w="851" w:type="dxa"/>
            <w:tcBorders>
              <w:left w:val="nil"/>
              <w:bottom w:val="dotted" w:sz="4" w:space="0" w:color="auto"/>
              <w:right w:val="nil"/>
            </w:tcBorders>
            <w:vAlign w:val="center"/>
          </w:tcPr>
          <w:p w14:paraId="5816C1C4"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HHQE004</w:t>
            </w:r>
          </w:p>
        </w:tc>
        <w:tc>
          <w:tcPr>
            <w:tcW w:w="7371" w:type="dxa"/>
            <w:tcBorders>
              <w:left w:val="nil"/>
              <w:bottom w:val="dotted" w:sz="4" w:space="0" w:color="auto"/>
              <w:right w:val="nil"/>
            </w:tcBorders>
            <w:shd w:val="clear" w:color="auto" w:fill="auto"/>
            <w:noWrap/>
            <w:vAlign w:val="center"/>
          </w:tcPr>
          <w:p w14:paraId="7C146A92"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Incomplete colonoscopy beyond the sigmoid colon</w:t>
            </w:r>
          </w:p>
        </w:tc>
      </w:tr>
      <w:tr w:rsidR="00966E2C" w:rsidRPr="00397EC7" w14:paraId="1C8A5960" w14:textId="77777777" w:rsidTr="00643360">
        <w:trPr>
          <w:trHeight w:val="170"/>
          <w:jc w:val="center"/>
        </w:trPr>
        <w:tc>
          <w:tcPr>
            <w:tcW w:w="8222" w:type="dxa"/>
            <w:gridSpan w:val="2"/>
            <w:tcBorders>
              <w:top w:val="dotted" w:sz="4" w:space="0" w:color="auto"/>
              <w:left w:val="nil"/>
              <w:bottom w:val="dotted" w:sz="4" w:space="0" w:color="auto"/>
              <w:right w:val="nil"/>
            </w:tcBorders>
            <w:vAlign w:val="center"/>
          </w:tcPr>
          <w:p w14:paraId="35E4908E"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With polypectomy</w:t>
            </w:r>
          </w:p>
        </w:tc>
      </w:tr>
      <w:tr w:rsidR="00966E2C" w:rsidRPr="00397EC7" w14:paraId="03A509A6" w14:textId="77777777" w:rsidTr="00643360">
        <w:trPr>
          <w:trHeight w:val="170"/>
          <w:jc w:val="center"/>
        </w:trPr>
        <w:tc>
          <w:tcPr>
            <w:tcW w:w="851" w:type="dxa"/>
            <w:tcBorders>
              <w:top w:val="dotted" w:sz="4" w:space="0" w:color="auto"/>
            </w:tcBorders>
            <w:vAlign w:val="center"/>
          </w:tcPr>
          <w:p w14:paraId="02937DCA"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HHFE001</w:t>
            </w:r>
          </w:p>
        </w:tc>
        <w:tc>
          <w:tcPr>
            <w:tcW w:w="7371" w:type="dxa"/>
            <w:tcBorders>
              <w:top w:val="dotted" w:sz="4" w:space="0" w:color="auto"/>
            </w:tcBorders>
            <w:shd w:val="clear" w:color="auto" w:fill="auto"/>
            <w:noWrap/>
            <w:vAlign w:val="center"/>
          </w:tcPr>
          <w:p w14:paraId="6F4D4D8D" w14:textId="12AC578B" w:rsidR="00966E2C" w:rsidRPr="00397EC7" w:rsidRDefault="00AE2DF3" w:rsidP="00643360">
            <w:pPr>
              <w:spacing w:after="0" w:line="240" w:lineRule="auto"/>
              <w:rPr>
                <w:rFonts w:eastAsia="Calibri" w:cs="Arial"/>
                <w:sz w:val="18"/>
                <w:lang w:val="en-GB" w:eastAsia="fr-FR"/>
              </w:rPr>
            </w:pPr>
            <w:r>
              <w:rPr>
                <w:rFonts w:eastAsia="Calibri" w:cs="Arial"/>
                <w:sz w:val="18"/>
                <w:lang w:val="en-GB" w:eastAsia="fr-FR"/>
              </w:rPr>
              <w:t>Resection</w:t>
            </w:r>
            <w:r w:rsidRPr="00397EC7">
              <w:rPr>
                <w:rFonts w:eastAsia="Calibri" w:cs="Arial"/>
                <w:sz w:val="18"/>
                <w:lang w:val="en-GB" w:eastAsia="fr-FR"/>
              </w:rPr>
              <w:t xml:space="preserve"> </w:t>
            </w:r>
            <w:r w:rsidR="00966E2C" w:rsidRPr="00397EC7">
              <w:rPr>
                <w:rFonts w:eastAsia="Calibri" w:cs="Arial"/>
                <w:sz w:val="18"/>
                <w:lang w:val="en-GB" w:eastAsia="fr-FR"/>
              </w:rPr>
              <w:t>of 1 to 3 polyps less than 1 cm in diameter from the colon and/or rectum, by recto-sigmoidoscopy or incomplete colonoscopy</w:t>
            </w:r>
          </w:p>
        </w:tc>
      </w:tr>
      <w:tr w:rsidR="00966E2C" w:rsidRPr="00397EC7" w14:paraId="248DB6BF" w14:textId="77777777" w:rsidTr="00643360">
        <w:trPr>
          <w:trHeight w:val="170"/>
          <w:jc w:val="center"/>
        </w:trPr>
        <w:tc>
          <w:tcPr>
            <w:tcW w:w="851" w:type="dxa"/>
            <w:tcBorders>
              <w:left w:val="nil"/>
              <w:bottom w:val="dotted" w:sz="4" w:space="0" w:color="auto"/>
              <w:right w:val="nil"/>
            </w:tcBorders>
            <w:vAlign w:val="center"/>
          </w:tcPr>
          <w:p w14:paraId="6D6FCD3D"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HHFE005</w:t>
            </w:r>
          </w:p>
        </w:tc>
        <w:tc>
          <w:tcPr>
            <w:tcW w:w="7371" w:type="dxa"/>
            <w:tcBorders>
              <w:left w:val="nil"/>
              <w:bottom w:val="dotted" w:sz="4" w:space="0" w:color="auto"/>
              <w:right w:val="nil"/>
            </w:tcBorders>
            <w:shd w:val="clear" w:color="auto" w:fill="auto"/>
            <w:noWrap/>
            <w:vAlign w:val="center"/>
          </w:tcPr>
          <w:p w14:paraId="7521963E" w14:textId="78A73062" w:rsidR="00966E2C" w:rsidRPr="00397EC7" w:rsidRDefault="00AE2DF3" w:rsidP="00643360">
            <w:pPr>
              <w:spacing w:after="0" w:line="240" w:lineRule="auto"/>
              <w:rPr>
                <w:rFonts w:eastAsia="Calibri" w:cs="Arial"/>
                <w:sz w:val="18"/>
                <w:lang w:val="en-GB" w:eastAsia="fr-FR"/>
              </w:rPr>
            </w:pPr>
            <w:r>
              <w:rPr>
                <w:rFonts w:eastAsia="Calibri" w:cs="Arial"/>
                <w:sz w:val="18"/>
                <w:lang w:val="en-GB" w:eastAsia="fr-FR"/>
              </w:rPr>
              <w:t>Resection</w:t>
            </w:r>
            <w:r w:rsidRPr="00397EC7">
              <w:rPr>
                <w:rFonts w:eastAsia="Calibri" w:cs="Arial"/>
                <w:sz w:val="18"/>
                <w:lang w:val="en-GB" w:eastAsia="fr-FR"/>
              </w:rPr>
              <w:t xml:space="preserve"> </w:t>
            </w:r>
            <w:r w:rsidR="00966E2C" w:rsidRPr="00397EC7">
              <w:rPr>
                <w:rFonts w:eastAsia="Calibri" w:cs="Arial"/>
                <w:sz w:val="18"/>
                <w:lang w:val="en-GB" w:eastAsia="fr-FR"/>
              </w:rPr>
              <w:t>of a polyp larger than 1 cm in diameter or 4 or more polyps from the colon and/or rectum, by recto-sigmoidoscopy or incomplete colonoscopy</w:t>
            </w:r>
          </w:p>
        </w:tc>
      </w:tr>
      <w:tr w:rsidR="00966E2C" w:rsidRPr="00397EC7" w14:paraId="391E1306" w14:textId="77777777" w:rsidTr="00643360">
        <w:trPr>
          <w:trHeight w:val="170"/>
          <w:jc w:val="center"/>
        </w:trPr>
        <w:tc>
          <w:tcPr>
            <w:tcW w:w="8222" w:type="dxa"/>
            <w:gridSpan w:val="2"/>
            <w:tcBorders>
              <w:top w:val="single" w:sz="4" w:space="0" w:color="auto"/>
              <w:left w:val="nil"/>
              <w:bottom w:val="single" w:sz="4" w:space="0" w:color="auto"/>
              <w:right w:val="nil"/>
            </w:tcBorders>
            <w:vAlign w:val="center"/>
          </w:tcPr>
          <w:p w14:paraId="6BA8785A" w14:textId="77777777" w:rsidR="00966E2C" w:rsidRPr="00397EC7" w:rsidRDefault="00966E2C" w:rsidP="00643360">
            <w:pPr>
              <w:spacing w:after="0" w:line="240" w:lineRule="auto"/>
              <w:rPr>
                <w:rFonts w:eastAsia="Calibri" w:cs="Arial"/>
                <w:b/>
                <w:i/>
                <w:sz w:val="18"/>
                <w:lang w:val="en-GB" w:eastAsia="fr-FR"/>
              </w:rPr>
            </w:pPr>
            <w:r w:rsidRPr="00397EC7">
              <w:rPr>
                <w:rFonts w:eastAsia="Calibri" w:cs="Arial"/>
                <w:b/>
                <w:i/>
                <w:sz w:val="18"/>
                <w:lang w:val="en-GB" w:eastAsia="fr-FR"/>
              </w:rPr>
              <w:t>Complete colonoscopies</w:t>
            </w:r>
          </w:p>
        </w:tc>
      </w:tr>
      <w:tr w:rsidR="00966E2C" w:rsidRPr="00397EC7" w14:paraId="34A02BF0" w14:textId="77777777" w:rsidTr="00643360">
        <w:trPr>
          <w:trHeight w:val="170"/>
          <w:jc w:val="center"/>
        </w:trPr>
        <w:tc>
          <w:tcPr>
            <w:tcW w:w="8222" w:type="dxa"/>
            <w:gridSpan w:val="2"/>
            <w:tcBorders>
              <w:top w:val="single" w:sz="4" w:space="0" w:color="auto"/>
              <w:left w:val="nil"/>
              <w:bottom w:val="dotted" w:sz="4" w:space="0" w:color="auto"/>
              <w:right w:val="nil"/>
            </w:tcBorders>
            <w:vAlign w:val="center"/>
          </w:tcPr>
          <w:p w14:paraId="51CCB09C"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Without polypectomy</w:t>
            </w:r>
          </w:p>
        </w:tc>
      </w:tr>
      <w:tr w:rsidR="00966E2C" w:rsidRPr="00397EC7" w14:paraId="6B275C02" w14:textId="77777777" w:rsidTr="00643360">
        <w:trPr>
          <w:trHeight w:val="170"/>
          <w:jc w:val="center"/>
        </w:trPr>
        <w:tc>
          <w:tcPr>
            <w:tcW w:w="851" w:type="dxa"/>
            <w:tcBorders>
              <w:top w:val="dotted" w:sz="4" w:space="0" w:color="auto"/>
            </w:tcBorders>
            <w:vAlign w:val="center"/>
          </w:tcPr>
          <w:p w14:paraId="7FC252CD"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HHQE002</w:t>
            </w:r>
          </w:p>
        </w:tc>
        <w:tc>
          <w:tcPr>
            <w:tcW w:w="7371" w:type="dxa"/>
            <w:tcBorders>
              <w:top w:val="dotted" w:sz="4" w:space="0" w:color="auto"/>
            </w:tcBorders>
            <w:shd w:val="clear" w:color="auto" w:fill="auto"/>
            <w:noWrap/>
            <w:vAlign w:val="center"/>
          </w:tcPr>
          <w:p w14:paraId="5CEF80A7" w14:textId="47D99F3F"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 xml:space="preserve">Complete colonoscopy, beyond the </w:t>
            </w:r>
            <w:r w:rsidR="00643360" w:rsidRPr="00397EC7">
              <w:rPr>
                <w:rFonts w:eastAsia="Calibri" w:cs="Arial"/>
                <w:sz w:val="18"/>
                <w:lang w:val="en-GB" w:eastAsia="fr-FR"/>
              </w:rPr>
              <w:t>ileocecal</w:t>
            </w:r>
            <w:r w:rsidRPr="00397EC7">
              <w:rPr>
                <w:rFonts w:eastAsia="Calibri" w:cs="Arial"/>
                <w:sz w:val="18"/>
                <w:lang w:val="en-GB" w:eastAsia="fr-FR"/>
              </w:rPr>
              <w:t xml:space="preserve"> valve</w:t>
            </w:r>
          </w:p>
        </w:tc>
      </w:tr>
      <w:tr w:rsidR="00966E2C" w:rsidRPr="00397EC7" w14:paraId="0EA0A1B8" w14:textId="77777777" w:rsidTr="00643360">
        <w:trPr>
          <w:trHeight w:val="170"/>
          <w:jc w:val="center"/>
        </w:trPr>
        <w:tc>
          <w:tcPr>
            <w:tcW w:w="851" w:type="dxa"/>
            <w:tcBorders>
              <w:left w:val="nil"/>
              <w:bottom w:val="dotted" w:sz="4" w:space="0" w:color="auto"/>
              <w:right w:val="nil"/>
            </w:tcBorders>
            <w:vAlign w:val="center"/>
          </w:tcPr>
          <w:p w14:paraId="6001B4A8"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HHQE005</w:t>
            </w:r>
          </w:p>
        </w:tc>
        <w:tc>
          <w:tcPr>
            <w:tcW w:w="7371" w:type="dxa"/>
            <w:tcBorders>
              <w:left w:val="nil"/>
              <w:bottom w:val="dotted" w:sz="4" w:space="0" w:color="auto"/>
              <w:right w:val="nil"/>
            </w:tcBorders>
            <w:shd w:val="clear" w:color="auto" w:fill="auto"/>
            <w:noWrap/>
            <w:vAlign w:val="center"/>
          </w:tcPr>
          <w:p w14:paraId="3C7C7BA8" w14:textId="74E07CDD"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 xml:space="preserve">Complete colonoscopy with visualization of the base of the caecum, without crossing the </w:t>
            </w:r>
            <w:r w:rsidR="00643360" w:rsidRPr="00397EC7">
              <w:rPr>
                <w:rFonts w:eastAsia="Calibri" w:cs="Arial"/>
                <w:sz w:val="18"/>
                <w:lang w:val="en-GB" w:eastAsia="fr-FR"/>
              </w:rPr>
              <w:t>ileocecal</w:t>
            </w:r>
            <w:r w:rsidRPr="00397EC7">
              <w:rPr>
                <w:rFonts w:eastAsia="Calibri" w:cs="Arial"/>
                <w:sz w:val="18"/>
                <w:lang w:val="en-GB" w:eastAsia="fr-FR"/>
              </w:rPr>
              <w:t xml:space="preserve"> valve</w:t>
            </w:r>
          </w:p>
        </w:tc>
      </w:tr>
      <w:tr w:rsidR="00966E2C" w:rsidRPr="00397EC7" w14:paraId="24ACB761" w14:textId="77777777" w:rsidTr="00643360">
        <w:trPr>
          <w:trHeight w:val="170"/>
          <w:jc w:val="center"/>
        </w:trPr>
        <w:tc>
          <w:tcPr>
            <w:tcW w:w="8222" w:type="dxa"/>
            <w:gridSpan w:val="2"/>
            <w:tcBorders>
              <w:top w:val="dotted" w:sz="4" w:space="0" w:color="auto"/>
              <w:left w:val="nil"/>
              <w:bottom w:val="dotted" w:sz="4" w:space="0" w:color="auto"/>
              <w:right w:val="nil"/>
            </w:tcBorders>
            <w:vAlign w:val="center"/>
          </w:tcPr>
          <w:p w14:paraId="4368C079"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With polypectomy</w:t>
            </w:r>
          </w:p>
        </w:tc>
      </w:tr>
      <w:tr w:rsidR="00966E2C" w:rsidRPr="00397EC7" w14:paraId="16D1CAA0" w14:textId="77777777" w:rsidTr="00643360">
        <w:trPr>
          <w:trHeight w:val="170"/>
          <w:jc w:val="center"/>
        </w:trPr>
        <w:tc>
          <w:tcPr>
            <w:tcW w:w="851" w:type="dxa"/>
            <w:tcBorders>
              <w:top w:val="dotted" w:sz="4" w:space="0" w:color="auto"/>
            </w:tcBorders>
            <w:vAlign w:val="center"/>
          </w:tcPr>
          <w:p w14:paraId="1103BA6A"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HHFE002</w:t>
            </w:r>
          </w:p>
        </w:tc>
        <w:tc>
          <w:tcPr>
            <w:tcW w:w="7371" w:type="dxa"/>
            <w:tcBorders>
              <w:top w:val="dotted" w:sz="4" w:space="0" w:color="auto"/>
            </w:tcBorders>
            <w:shd w:val="clear" w:color="auto" w:fill="auto"/>
            <w:noWrap/>
            <w:vAlign w:val="center"/>
          </w:tcPr>
          <w:p w14:paraId="5713347F" w14:textId="40F804FB" w:rsidR="00966E2C" w:rsidRPr="00397EC7" w:rsidRDefault="00AE2DF3" w:rsidP="00643360">
            <w:pPr>
              <w:spacing w:after="0" w:line="240" w:lineRule="auto"/>
              <w:rPr>
                <w:rFonts w:eastAsia="Calibri" w:cs="Arial"/>
                <w:sz w:val="18"/>
                <w:lang w:val="en-GB" w:eastAsia="fr-FR"/>
              </w:rPr>
            </w:pPr>
            <w:r>
              <w:rPr>
                <w:rFonts w:eastAsia="Calibri" w:cs="Arial"/>
                <w:sz w:val="18"/>
                <w:lang w:val="en-GB" w:eastAsia="fr-FR"/>
              </w:rPr>
              <w:t>Resection</w:t>
            </w:r>
            <w:r w:rsidRPr="00397EC7">
              <w:rPr>
                <w:rFonts w:eastAsia="Calibri" w:cs="Arial"/>
                <w:sz w:val="18"/>
                <w:lang w:val="en-GB" w:eastAsia="fr-FR"/>
              </w:rPr>
              <w:t xml:space="preserve"> </w:t>
            </w:r>
            <w:r w:rsidR="00966E2C" w:rsidRPr="00397EC7">
              <w:rPr>
                <w:rFonts w:eastAsia="Calibri" w:cs="Arial"/>
                <w:sz w:val="18"/>
                <w:lang w:val="en-GB" w:eastAsia="fr-FR"/>
              </w:rPr>
              <w:t>of 1 to 3 polyps less than 1 cm in diameter from the colon and/or rectum, by complete colonoscopy</w:t>
            </w:r>
          </w:p>
        </w:tc>
      </w:tr>
      <w:tr w:rsidR="00966E2C" w:rsidRPr="00397EC7" w14:paraId="5C7AD60E" w14:textId="77777777" w:rsidTr="00643360">
        <w:trPr>
          <w:trHeight w:val="170"/>
          <w:jc w:val="center"/>
        </w:trPr>
        <w:tc>
          <w:tcPr>
            <w:tcW w:w="851" w:type="dxa"/>
            <w:tcBorders>
              <w:left w:val="nil"/>
              <w:bottom w:val="single" w:sz="4" w:space="0" w:color="auto"/>
              <w:right w:val="nil"/>
            </w:tcBorders>
            <w:vAlign w:val="center"/>
          </w:tcPr>
          <w:p w14:paraId="0957117A"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HHFE004</w:t>
            </w:r>
          </w:p>
        </w:tc>
        <w:tc>
          <w:tcPr>
            <w:tcW w:w="7371" w:type="dxa"/>
            <w:tcBorders>
              <w:left w:val="nil"/>
              <w:bottom w:val="single" w:sz="4" w:space="0" w:color="auto"/>
              <w:right w:val="nil"/>
            </w:tcBorders>
            <w:shd w:val="clear" w:color="auto" w:fill="auto"/>
            <w:noWrap/>
            <w:vAlign w:val="center"/>
          </w:tcPr>
          <w:p w14:paraId="6C463562" w14:textId="05E3E1E3" w:rsidR="00966E2C" w:rsidRPr="00397EC7" w:rsidRDefault="00AE2DF3" w:rsidP="00643360">
            <w:pPr>
              <w:spacing w:after="0" w:line="240" w:lineRule="auto"/>
              <w:rPr>
                <w:rFonts w:eastAsia="Calibri" w:cs="Arial"/>
                <w:sz w:val="18"/>
                <w:lang w:val="en-GB" w:eastAsia="fr-FR"/>
              </w:rPr>
            </w:pPr>
            <w:r>
              <w:rPr>
                <w:rFonts w:eastAsia="Calibri" w:cs="Arial"/>
                <w:sz w:val="18"/>
                <w:lang w:val="en-GB" w:eastAsia="fr-FR"/>
              </w:rPr>
              <w:t>Resection</w:t>
            </w:r>
            <w:r w:rsidRPr="00397EC7">
              <w:rPr>
                <w:rFonts w:eastAsia="Calibri" w:cs="Arial"/>
                <w:sz w:val="18"/>
                <w:lang w:val="en-GB" w:eastAsia="fr-FR"/>
              </w:rPr>
              <w:t xml:space="preserve"> </w:t>
            </w:r>
            <w:r w:rsidR="00966E2C" w:rsidRPr="00397EC7">
              <w:rPr>
                <w:rFonts w:eastAsia="Calibri" w:cs="Arial"/>
                <w:sz w:val="18"/>
                <w:lang w:val="en-GB" w:eastAsia="fr-FR"/>
              </w:rPr>
              <w:t>of a polyp larger than 1 cm in diameter or 4 or more polyps from the colon and/or rectum, by complete colonoscopy</w:t>
            </w:r>
          </w:p>
        </w:tc>
      </w:tr>
    </w:tbl>
    <w:p w14:paraId="6F72AED3" w14:textId="77777777" w:rsidR="00966E2C" w:rsidRPr="009E4972" w:rsidRDefault="00966E2C" w:rsidP="00966E2C">
      <w:pPr>
        <w:pStyle w:val="Citationintense"/>
        <w:rPr>
          <w:rFonts w:cs="Arial"/>
          <w:b w:val="0"/>
          <w:sz w:val="16"/>
          <w:szCs w:val="18"/>
        </w:rPr>
      </w:pPr>
      <w:r w:rsidRPr="009E4972">
        <w:rPr>
          <w:rFonts w:cs="Arial"/>
          <w:b w:val="0"/>
          <w:sz w:val="16"/>
          <w:szCs w:val="18"/>
        </w:rPr>
        <w:t>CCAM (</w:t>
      </w:r>
      <w:r w:rsidRPr="009E4972">
        <w:rPr>
          <w:rFonts w:cs="Arial"/>
          <w:b w:val="0"/>
          <w:i/>
          <w:sz w:val="16"/>
          <w:szCs w:val="18"/>
        </w:rPr>
        <w:t>Classification Commune des Actes Médicaux</w:t>
      </w:r>
      <w:r w:rsidRPr="009E4972">
        <w:rPr>
          <w:rFonts w:cs="Arial"/>
          <w:b w:val="0"/>
          <w:sz w:val="16"/>
          <w:szCs w:val="18"/>
        </w:rPr>
        <w:t>).</w:t>
      </w:r>
    </w:p>
    <w:p w14:paraId="1DA9C965" w14:textId="77777777" w:rsidR="00966E2C" w:rsidRPr="009E4972" w:rsidRDefault="00966E2C" w:rsidP="00966E2C">
      <w:pPr>
        <w:pStyle w:val="Lgende"/>
        <w:rPr>
          <w:rFonts w:cs="Arial"/>
          <w:lang w:val="fr-FR"/>
        </w:rPr>
      </w:pPr>
    </w:p>
    <w:p w14:paraId="159FDB2C" w14:textId="77777777" w:rsidR="00966E2C" w:rsidRPr="009E4972" w:rsidRDefault="00966E2C" w:rsidP="00966E2C">
      <w:pPr>
        <w:rPr>
          <w:rFonts w:cs="Arial"/>
          <w:b/>
          <w:bCs/>
          <w:szCs w:val="18"/>
          <w:lang w:val="fr-FR"/>
        </w:rPr>
      </w:pPr>
      <w:r w:rsidRPr="009E4972">
        <w:rPr>
          <w:rFonts w:cs="Arial"/>
          <w:lang w:val="fr-FR"/>
        </w:rPr>
        <w:br w:type="page"/>
      </w:r>
    </w:p>
    <w:p w14:paraId="30A7D24B" w14:textId="4812A832" w:rsidR="00966E2C" w:rsidRPr="00397EC7" w:rsidRDefault="00A6091F" w:rsidP="00966E2C">
      <w:pPr>
        <w:pStyle w:val="Lgende"/>
        <w:rPr>
          <w:rFonts w:cs="Arial"/>
          <w:sz w:val="20"/>
          <w:lang w:val="en-GB"/>
        </w:rPr>
      </w:pPr>
      <w:r w:rsidRPr="00397EC7">
        <w:rPr>
          <w:rStyle w:val="Titredulivre"/>
          <w:rFonts w:cs="Times New Roman"/>
          <w:lang w:val="en-GB"/>
        </w:rPr>
        <w:lastRenderedPageBreak/>
        <w:t xml:space="preserve">Supplemental Table </w:t>
      </w:r>
      <w:r w:rsidR="00966E2C" w:rsidRPr="00397EC7">
        <w:rPr>
          <w:rFonts w:cs="Arial"/>
          <w:sz w:val="20"/>
          <w:lang w:val="en-GB"/>
        </w:rPr>
        <w:fldChar w:fldCharType="begin"/>
      </w:r>
      <w:r w:rsidR="00966E2C" w:rsidRPr="00397EC7">
        <w:rPr>
          <w:rFonts w:cs="Arial"/>
          <w:sz w:val="20"/>
          <w:lang w:val="en-GB"/>
        </w:rPr>
        <w:instrText xml:space="preserve"> SEQ Supplementary_table \* ARABIC </w:instrText>
      </w:r>
      <w:r w:rsidR="00966E2C" w:rsidRPr="00397EC7">
        <w:rPr>
          <w:rFonts w:cs="Arial"/>
          <w:sz w:val="20"/>
          <w:lang w:val="en-GB"/>
        </w:rPr>
        <w:fldChar w:fldCharType="separate"/>
      </w:r>
      <w:r w:rsidR="00750E24" w:rsidRPr="00397EC7">
        <w:rPr>
          <w:rFonts w:cs="Arial"/>
          <w:sz w:val="20"/>
          <w:lang w:val="en-GB"/>
        </w:rPr>
        <w:t>2</w:t>
      </w:r>
      <w:r w:rsidR="00966E2C" w:rsidRPr="00397EC7">
        <w:rPr>
          <w:rFonts w:cs="Arial"/>
          <w:sz w:val="20"/>
          <w:lang w:val="en-GB"/>
        </w:rPr>
        <w:fldChar w:fldCharType="end"/>
      </w:r>
      <w:r w:rsidR="00966E2C" w:rsidRPr="00397EC7">
        <w:rPr>
          <w:rFonts w:cs="Arial"/>
          <w:sz w:val="20"/>
          <w:lang w:val="en-GB"/>
        </w:rPr>
        <w:t>: Procedure codes for major colic or rectal surgery procedures leading to exclusion, from French medical classification of medical procedures</w:t>
      </w:r>
      <w:r w:rsidR="00D54129" w:rsidRPr="00397EC7">
        <w:rPr>
          <w:rFonts w:cs="Arial"/>
          <w:sz w:val="20"/>
          <w:lang w:val="en-GB"/>
        </w:rPr>
        <w:t>.</w:t>
      </w:r>
    </w:p>
    <w:tbl>
      <w:tblPr>
        <w:tblW w:w="8285" w:type="dxa"/>
        <w:jc w:val="center"/>
        <w:tblCellMar>
          <w:left w:w="70" w:type="dxa"/>
          <w:right w:w="70" w:type="dxa"/>
        </w:tblCellMar>
        <w:tblLook w:val="0000" w:firstRow="0" w:lastRow="0" w:firstColumn="0" w:lastColumn="0" w:noHBand="0" w:noVBand="0"/>
      </w:tblPr>
      <w:tblGrid>
        <w:gridCol w:w="1056"/>
        <w:gridCol w:w="7229"/>
      </w:tblGrid>
      <w:tr w:rsidR="00966E2C" w:rsidRPr="00397EC7" w14:paraId="1BE489CE" w14:textId="77777777" w:rsidTr="00643360">
        <w:trPr>
          <w:trHeight w:val="170"/>
          <w:jc w:val="center"/>
        </w:trPr>
        <w:tc>
          <w:tcPr>
            <w:tcW w:w="1056" w:type="dxa"/>
            <w:tcBorders>
              <w:top w:val="single" w:sz="4" w:space="0" w:color="auto"/>
              <w:left w:val="nil"/>
              <w:bottom w:val="single" w:sz="4" w:space="0" w:color="auto"/>
              <w:right w:val="nil"/>
            </w:tcBorders>
            <w:vAlign w:val="center"/>
          </w:tcPr>
          <w:p w14:paraId="313B60A3" w14:textId="77777777" w:rsidR="00966E2C" w:rsidRPr="00397EC7" w:rsidRDefault="00966E2C" w:rsidP="00643360">
            <w:pPr>
              <w:spacing w:after="0" w:line="240" w:lineRule="auto"/>
              <w:jc w:val="center"/>
              <w:rPr>
                <w:rFonts w:eastAsia="Calibri" w:cs="Arial"/>
                <w:b/>
                <w:sz w:val="18"/>
                <w:lang w:val="en-GB" w:eastAsia="fr-FR"/>
              </w:rPr>
            </w:pPr>
            <w:r w:rsidRPr="00397EC7">
              <w:rPr>
                <w:rFonts w:eastAsia="Calibri" w:cs="Arial"/>
                <w:b/>
                <w:sz w:val="18"/>
                <w:lang w:val="en-GB" w:eastAsia="fr-FR"/>
              </w:rPr>
              <w:t>Procedure code</w:t>
            </w:r>
          </w:p>
        </w:tc>
        <w:tc>
          <w:tcPr>
            <w:tcW w:w="7226" w:type="dxa"/>
            <w:tcBorders>
              <w:top w:val="single" w:sz="4" w:space="0" w:color="auto"/>
              <w:left w:val="nil"/>
              <w:bottom w:val="single" w:sz="4" w:space="0" w:color="auto"/>
              <w:right w:val="nil"/>
            </w:tcBorders>
            <w:shd w:val="clear" w:color="auto" w:fill="auto"/>
            <w:noWrap/>
            <w:vAlign w:val="center"/>
          </w:tcPr>
          <w:p w14:paraId="4DF71B71" w14:textId="77777777" w:rsidR="00966E2C" w:rsidRPr="00397EC7" w:rsidRDefault="00966E2C" w:rsidP="00643360">
            <w:pPr>
              <w:spacing w:after="0" w:line="240" w:lineRule="auto"/>
              <w:rPr>
                <w:rFonts w:eastAsia="Calibri" w:cs="Arial"/>
                <w:b/>
                <w:sz w:val="18"/>
                <w:lang w:val="en-GB" w:eastAsia="fr-FR"/>
              </w:rPr>
            </w:pPr>
            <w:r w:rsidRPr="00397EC7">
              <w:rPr>
                <w:rFonts w:eastAsia="Calibri" w:cs="Arial"/>
                <w:b/>
                <w:sz w:val="18"/>
                <w:lang w:val="en-GB" w:eastAsia="fr-FR"/>
              </w:rPr>
              <w:t>Wording</w:t>
            </w:r>
          </w:p>
        </w:tc>
      </w:tr>
      <w:tr w:rsidR="00966E2C" w:rsidRPr="00397EC7" w14:paraId="6D2F6CEE" w14:textId="77777777" w:rsidTr="00643360">
        <w:trPr>
          <w:trHeight w:val="170"/>
          <w:jc w:val="center"/>
        </w:trPr>
        <w:tc>
          <w:tcPr>
            <w:tcW w:w="1056" w:type="dxa"/>
            <w:tcBorders>
              <w:top w:val="single" w:sz="4" w:space="0" w:color="auto"/>
              <w:left w:val="nil"/>
              <w:right w:val="nil"/>
            </w:tcBorders>
            <w:vAlign w:val="center"/>
          </w:tcPr>
          <w:p w14:paraId="29876FD1"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HHCC007</w:t>
            </w:r>
          </w:p>
        </w:tc>
        <w:tc>
          <w:tcPr>
            <w:tcW w:w="7229" w:type="dxa"/>
            <w:tcBorders>
              <w:top w:val="single" w:sz="4" w:space="0" w:color="auto"/>
              <w:left w:val="nil"/>
              <w:right w:val="nil"/>
            </w:tcBorders>
            <w:shd w:val="clear" w:color="auto" w:fill="auto"/>
            <w:noWrap/>
          </w:tcPr>
          <w:p w14:paraId="4BD95F72" w14:textId="77777777" w:rsidR="00966E2C" w:rsidRPr="00397EC7" w:rsidRDefault="00966E2C" w:rsidP="00643360">
            <w:pPr>
              <w:spacing w:after="0" w:line="240" w:lineRule="auto"/>
              <w:jc w:val="left"/>
              <w:rPr>
                <w:rFonts w:eastAsia="Calibri" w:cs="Arial"/>
                <w:sz w:val="18"/>
                <w:lang w:val="en-GB" w:eastAsia="fr-FR"/>
              </w:rPr>
            </w:pPr>
            <w:r w:rsidRPr="00397EC7">
              <w:rPr>
                <w:rFonts w:eastAsia="Calibri" w:cs="Arial"/>
                <w:sz w:val="18"/>
                <w:lang w:val="en-GB" w:eastAsia="fr-FR"/>
              </w:rPr>
              <w:t>Cutaneous colostomy, by laparoscopy</w:t>
            </w:r>
          </w:p>
        </w:tc>
      </w:tr>
      <w:tr w:rsidR="00966E2C" w:rsidRPr="00397EC7" w14:paraId="56C8E058" w14:textId="77777777" w:rsidTr="00643360">
        <w:trPr>
          <w:trHeight w:val="170"/>
          <w:jc w:val="center"/>
        </w:trPr>
        <w:tc>
          <w:tcPr>
            <w:tcW w:w="1056" w:type="dxa"/>
            <w:tcBorders>
              <w:left w:val="nil"/>
              <w:right w:val="nil"/>
            </w:tcBorders>
            <w:vAlign w:val="center"/>
          </w:tcPr>
          <w:p w14:paraId="4F72E277"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HHCA002</w:t>
            </w:r>
          </w:p>
        </w:tc>
        <w:tc>
          <w:tcPr>
            <w:tcW w:w="7229" w:type="dxa"/>
            <w:tcBorders>
              <w:left w:val="nil"/>
              <w:right w:val="nil"/>
            </w:tcBorders>
            <w:shd w:val="clear" w:color="auto" w:fill="auto"/>
            <w:noWrap/>
          </w:tcPr>
          <w:p w14:paraId="0566E0C0" w14:textId="77777777" w:rsidR="00966E2C" w:rsidRPr="00397EC7" w:rsidRDefault="00966E2C" w:rsidP="00643360">
            <w:pPr>
              <w:spacing w:after="0" w:line="240" w:lineRule="auto"/>
              <w:jc w:val="left"/>
              <w:rPr>
                <w:rFonts w:eastAsia="Calibri" w:cs="Arial"/>
                <w:sz w:val="18"/>
                <w:lang w:val="en-GB" w:eastAsia="fr-FR"/>
              </w:rPr>
            </w:pPr>
            <w:r w:rsidRPr="00397EC7">
              <w:rPr>
                <w:rFonts w:eastAsia="Calibri" w:cs="Arial"/>
                <w:sz w:val="18"/>
                <w:lang w:val="en-GB" w:eastAsia="fr-FR"/>
              </w:rPr>
              <w:t>Cutaneous colostomy, by laparotomy</w:t>
            </w:r>
          </w:p>
        </w:tc>
      </w:tr>
      <w:tr w:rsidR="00966E2C" w:rsidRPr="00397EC7" w14:paraId="6DEE8CFE" w14:textId="77777777" w:rsidTr="00643360">
        <w:trPr>
          <w:trHeight w:val="170"/>
          <w:jc w:val="center"/>
        </w:trPr>
        <w:tc>
          <w:tcPr>
            <w:tcW w:w="1056" w:type="dxa"/>
            <w:tcBorders>
              <w:left w:val="nil"/>
              <w:right w:val="nil"/>
            </w:tcBorders>
            <w:vAlign w:val="center"/>
          </w:tcPr>
          <w:p w14:paraId="73536B74"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HHCC011</w:t>
            </w:r>
          </w:p>
        </w:tc>
        <w:tc>
          <w:tcPr>
            <w:tcW w:w="7229" w:type="dxa"/>
            <w:tcBorders>
              <w:left w:val="nil"/>
              <w:right w:val="nil"/>
            </w:tcBorders>
            <w:shd w:val="clear" w:color="auto" w:fill="auto"/>
            <w:noWrap/>
          </w:tcPr>
          <w:p w14:paraId="624E3906" w14:textId="77777777" w:rsidR="00966E2C" w:rsidRPr="00397EC7" w:rsidRDefault="00966E2C" w:rsidP="00643360">
            <w:pPr>
              <w:spacing w:after="0" w:line="240" w:lineRule="auto"/>
              <w:rPr>
                <w:rFonts w:eastAsia="Calibri" w:cs="Arial"/>
                <w:sz w:val="18"/>
                <w:lang w:val="en-GB" w:eastAsia="fr-FR"/>
              </w:rPr>
            </w:pPr>
            <w:proofErr w:type="spellStart"/>
            <w:r w:rsidRPr="00397EC7">
              <w:rPr>
                <w:rFonts w:eastAsia="Calibri" w:cs="Arial"/>
                <w:sz w:val="18"/>
                <w:lang w:val="en-GB" w:eastAsia="fr-FR"/>
              </w:rPr>
              <w:t>Colocolostomy</w:t>
            </w:r>
            <w:proofErr w:type="spellEnd"/>
            <w:r w:rsidRPr="00397EC7">
              <w:rPr>
                <w:rFonts w:eastAsia="Calibri" w:cs="Arial"/>
                <w:sz w:val="18"/>
                <w:lang w:val="en-GB" w:eastAsia="fr-FR"/>
              </w:rPr>
              <w:t xml:space="preserve"> diversion [</w:t>
            </w:r>
            <w:proofErr w:type="spellStart"/>
            <w:r w:rsidRPr="00397EC7">
              <w:rPr>
                <w:rFonts w:eastAsia="Calibri" w:cs="Arial"/>
                <w:sz w:val="18"/>
                <w:lang w:val="en-GB" w:eastAsia="fr-FR"/>
              </w:rPr>
              <w:t>Colocolic</w:t>
            </w:r>
            <w:proofErr w:type="spellEnd"/>
            <w:r w:rsidRPr="00397EC7">
              <w:rPr>
                <w:rFonts w:eastAsia="Calibri" w:cs="Arial"/>
                <w:sz w:val="18"/>
                <w:lang w:val="en-GB" w:eastAsia="fr-FR"/>
              </w:rPr>
              <w:t xml:space="preserve"> anastomosis without colonic resection], by laparoscopy</w:t>
            </w:r>
          </w:p>
        </w:tc>
      </w:tr>
      <w:tr w:rsidR="00966E2C" w:rsidRPr="00397EC7" w14:paraId="15CA6D67" w14:textId="77777777" w:rsidTr="00643360">
        <w:trPr>
          <w:trHeight w:val="170"/>
          <w:jc w:val="center"/>
        </w:trPr>
        <w:tc>
          <w:tcPr>
            <w:tcW w:w="1056" w:type="dxa"/>
            <w:tcBorders>
              <w:left w:val="nil"/>
              <w:right w:val="nil"/>
            </w:tcBorders>
            <w:vAlign w:val="center"/>
          </w:tcPr>
          <w:p w14:paraId="73A3E91A"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HHCA003</w:t>
            </w:r>
          </w:p>
        </w:tc>
        <w:tc>
          <w:tcPr>
            <w:tcW w:w="7229" w:type="dxa"/>
            <w:tcBorders>
              <w:left w:val="nil"/>
              <w:right w:val="nil"/>
            </w:tcBorders>
            <w:shd w:val="clear" w:color="auto" w:fill="auto"/>
            <w:noWrap/>
          </w:tcPr>
          <w:p w14:paraId="72327BF5" w14:textId="77777777" w:rsidR="00966E2C" w:rsidRPr="00397EC7" w:rsidRDefault="00966E2C" w:rsidP="00643360">
            <w:pPr>
              <w:spacing w:after="0" w:line="240" w:lineRule="auto"/>
              <w:rPr>
                <w:rFonts w:eastAsia="Calibri" w:cs="Arial"/>
                <w:sz w:val="18"/>
                <w:lang w:val="en-GB" w:eastAsia="fr-FR"/>
              </w:rPr>
            </w:pPr>
            <w:proofErr w:type="spellStart"/>
            <w:r w:rsidRPr="00397EC7">
              <w:rPr>
                <w:rFonts w:eastAsia="Calibri" w:cs="Arial"/>
                <w:sz w:val="18"/>
                <w:lang w:val="en-GB" w:eastAsia="fr-FR"/>
              </w:rPr>
              <w:t>Colocolostomy</w:t>
            </w:r>
            <w:proofErr w:type="spellEnd"/>
            <w:r w:rsidRPr="00397EC7">
              <w:rPr>
                <w:rFonts w:eastAsia="Calibri" w:cs="Arial"/>
                <w:sz w:val="18"/>
                <w:lang w:val="en-GB" w:eastAsia="fr-FR"/>
              </w:rPr>
              <w:t xml:space="preserve"> diversion [</w:t>
            </w:r>
            <w:proofErr w:type="spellStart"/>
            <w:r w:rsidRPr="00397EC7">
              <w:rPr>
                <w:rFonts w:eastAsia="Calibri" w:cs="Arial"/>
                <w:sz w:val="18"/>
                <w:lang w:val="en-GB" w:eastAsia="fr-FR"/>
              </w:rPr>
              <w:t>Colocolic</w:t>
            </w:r>
            <w:proofErr w:type="spellEnd"/>
            <w:r w:rsidRPr="00397EC7">
              <w:rPr>
                <w:rFonts w:eastAsia="Calibri" w:cs="Arial"/>
                <w:sz w:val="18"/>
                <w:lang w:val="en-GB" w:eastAsia="fr-FR"/>
              </w:rPr>
              <w:t xml:space="preserve"> anastomosis without colonic resection], by laparotomy</w:t>
            </w:r>
          </w:p>
        </w:tc>
      </w:tr>
      <w:tr w:rsidR="00966E2C" w:rsidRPr="00397EC7" w14:paraId="478E1FFE" w14:textId="77777777" w:rsidTr="00643360">
        <w:trPr>
          <w:trHeight w:val="170"/>
          <w:jc w:val="center"/>
        </w:trPr>
        <w:tc>
          <w:tcPr>
            <w:tcW w:w="1056" w:type="dxa"/>
            <w:tcBorders>
              <w:left w:val="nil"/>
              <w:right w:val="nil"/>
            </w:tcBorders>
            <w:vAlign w:val="center"/>
          </w:tcPr>
          <w:p w14:paraId="11D3C497"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HHFA026</w:t>
            </w:r>
          </w:p>
        </w:tc>
        <w:tc>
          <w:tcPr>
            <w:tcW w:w="7229" w:type="dxa"/>
            <w:tcBorders>
              <w:left w:val="nil"/>
              <w:right w:val="nil"/>
            </w:tcBorders>
            <w:shd w:val="clear" w:color="auto" w:fill="auto"/>
            <w:noWrap/>
          </w:tcPr>
          <w:p w14:paraId="042982DE" w14:textId="77777777" w:rsidR="00966E2C" w:rsidRPr="00397EC7" w:rsidRDefault="00966E2C" w:rsidP="00643360">
            <w:pPr>
              <w:spacing w:after="0" w:line="240" w:lineRule="auto"/>
              <w:jc w:val="left"/>
              <w:rPr>
                <w:rFonts w:eastAsia="Calibri" w:cs="Arial"/>
                <w:sz w:val="18"/>
                <w:lang w:val="en-GB" w:eastAsia="fr-FR"/>
              </w:rPr>
            </w:pPr>
            <w:r w:rsidRPr="00397EC7">
              <w:rPr>
                <w:rFonts w:eastAsia="Calibri" w:cs="Arial"/>
                <w:sz w:val="18"/>
                <w:lang w:val="en-GB" w:eastAsia="fr-FR"/>
              </w:rPr>
              <w:t>Right colectomy without restoration of continuity, by laparotomy</w:t>
            </w:r>
          </w:p>
        </w:tc>
      </w:tr>
      <w:tr w:rsidR="00966E2C" w:rsidRPr="00397EC7" w14:paraId="05596529" w14:textId="77777777" w:rsidTr="00643360">
        <w:trPr>
          <w:trHeight w:val="170"/>
          <w:jc w:val="center"/>
        </w:trPr>
        <w:tc>
          <w:tcPr>
            <w:tcW w:w="1056" w:type="dxa"/>
            <w:tcBorders>
              <w:left w:val="nil"/>
              <w:right w:val="nil"/>
            </w:tcBorders>
            <w:vAlign w:val="center"/>
          </w:tcPr>
          <w:p w14:paraId="326E2698"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HHFA009</w:t>
            </w:r>
          </w:p>
        </w:tc>
        <w:tc>
          <w:tcPr>
            <w:tcW w:w="7229" w:type="dxa"/>
            <w:tcBorders>
              <w:left w:val="nil"/>
              <w:right w:val="nil"/>
            </w:tcBorders>
            <w:shd w:val="clear" w:color="auto" w:fill="auto"/>
            <w:noWrap/>
          </w:tcPr>
          <w:p w14:paraId="46CB6E75" w14:textId="77777777" w:rsidR="00966E2C" w:rsidRPr="00397EC7" w:rsidRDefault="00966E2C" w:rsidP="00643360">
            <w:pPr>
              <w:spacing w:after="0" w:line="240" w:lineRule="auto"/>
              <w:jc w:val="left"/>
              <w:rPr>
                <w:rFonts w:eastAsia="Calibri" w:cs="Arial"/>
                <w:sz w:val="18"/>
                <w:lang w:val="en-GB" w:eastAsia="fr-FR"/>
              </w:rPr>
            </w:pPr>
            <w:r w:rsidRPr="00397EC7">
              <w:rPr>
                <w:rFonts w:eastAsia="Calibri" w:cs="Arial"/>
                <w:sz w:val="18"/>
                <w:lang w:val="en-GB" w:eastAsia="fr-FR"/>
              </w:rPr>
              <w:t>Right colectomy with restoration of continuity, by laparotomy</w:t>
            </w:r>
          </w:p>
        </w:tc>
      </w:tr>
      <w:tr w:rsidR="00966E2C" w:rsidRPr="00397EC7" w14:paraId="627247FD" w14:textId="77777777" w:rsidTr="00643360">
        <w:trPr>
          <w:trHeight w:val="170"/>
          <w:jc w:val="center"/>
        </w:trPr>
        <w:tc>
          <w:tcPr>
            <w:tcW w:w="1056" w:type="dxa"/>
            <w:tcBorders>
              <w:left w:val="nil"/>
              <w:right w:val="nil"/>
            </w:tcBorders>
            <w:vAlign w:val="center"/>
          </w:tcPr>
          <w:p w14:paraId="518A8386"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HHFA008</w:t>
            </w:r>
          </w:p>
        </w:tc>
        <w:tc>
          <w:tcPr>
            <w:tcW w:w="7229" w:type="dxa"/>
            <w:tcBorders>
              <w:left w:val="nil"/>
              <w:right w:val="nil"/>
            </w:tcBorders>
            <w:shd w:val="clear" w:color="auto" w:fill="auto"/>
            <w:noWrap/>
          </w:tcPr>
          <w:p w14:paraId="49E49D45"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Right colectomy with restoration of continuity, by laparoscopy, or laparotomy with laparoscopic preparation</w:t>
            </w:r>
          </w:p>
        </w:tc>
      </w:tr>
      <w:tr w:rsidR="00966E2C" w:rsidRPr="00397EC7" w14:paraId="05E88341" w14:textId="77777777" w:rsidTr="00643360">
        <w:trPr>
          <w:trHeight w:val="170"/>
          <w:jc w:val="center"/>
        </w:trPr>
        <w:tc>
          <w:tcPr>
            <w:tcW w:w="1056" w:type="dxa"/>
            <w:tcBorders>
              <w:left w:val="nil"/>
              <w:right w:val="nil"/>
            </w:tcBorders>
            <w:vAlign w:val="center"/>
          </w:tcPr>
          <w:p w14:paraId="5540B2A4"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HHFA018</w:t>
            </w:r>
          </w:p>
        </w:tc>
        <w:tc>
          <w:tcPr>
            <w:tcW w:w="7229" w:type="dxa"/>
            <w:tcBorders>
              <w:left w:val="nil"/>
              <w:right w:val="nil"/>
            </w:tcBorders>
            <w:shd w:val="clear" w:color="auto" w:fill="auto"/>
            <w:noWrap/>
          </w:tcPr>
          <w:p w14:paraId="2E120F7A" w14:textId="77777777" w:rsidR="00966E2C" w:rsidRPr="00397EC7" w:rsidRDefault="00966E2C" w:rsidP="00643360">
            <w:pPr>
              <w:spacing w:after="0" w:line="240" w:lineRule="auto"/>
              <w:jc w:val="left"/>
              <w:rPr>
                <w:rFonts w:eastAsia="Calibri" w:cs="Arial"/>
                <w:sz w:val="18"/>
                <w:lang w:val="en-GB" w:eastAsia="fr-FR"/>
              </w:rPr>
            </w:pPr>
            <w:r w:rsidRPr="00397EC7">
              <w:rPr>
                <w:rFonts w:eastAsia="Calibri" w:cs="Arial"/>
                <w:sz w:val="18"/>
                <w:lang w:val="en-GB" w:eastAsia="fr-FR"/>
              </w:rPr>
              <w:t>Transverse colectomy, by laparotomy</w:t>
            </w:r>
          </w:p>
        </w:tc>
      </w:tr>
      <w:tr w:rsidR="00966E2C" w:rsidRPr="00397EC7" w14:paraId="70CC4CF0" w14:textId="77777777" w:rsidTr="00643360">
        <w:trPr>
          <w:trHeight w:val="170"/>
          <w:jc w:val="center"/>
        </w:trPr>
        <w:tc>
          <w:tcPr>
            <w:tcW w:w="1056" w:type="dxa"/>
            <w:tcBorders>
              <w:left w:val="nil"/>
              <w:right w:val="nil"/>
            </w:tcBorders>
            <w:vAlign w:val="center"/>
          </w:tcPr>
          <w:p w14:paraId="4400167A"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HHFA023</w:t>
            </w:r>
          </w:p>
        </w:tc>
        <w:tc>
          <w:tcPr>
            <w:tcW w:w="7229" w:type="dxa"/>
            <w:tcBorders>
              <w:left w:val="nil"/>
              <w:right w:val="nil"/>
            </w:tcBorders>
            <w:shd w:val="clear" w:color="auto" w:fill="auto"/>
            <w:noWrap/>
          </w:tcPr>
          <w:p w14:paraId="526B1332"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Transverse colectomy, by laparoscopy, or laparotomy with laparoscopic preparation</w:t>
            </w:r>
          </w:p>
        </w:tc>
      </w:tr>
      <w:tr w:rsidR="00966E2C" w:rsidRPr="00397EC7" w14:paraId="7AA88455" w14:textId="77777777" w:rsidTr="00643360">
        <w:trPr>
          <w:trHeight w:val="170"/>
          <w:jc w:val="center"/>
        </w:trPr>
        <w:tc>
          <w:tcPr>
            <w:tcW w:w="1056" w:type="dxa"/>
            <w:tcBorders>
              <w:left w:val="nil"/>
              <w:right w:val="nil"/>
            </w:tcBorders>
            <w:vAlign w:val="center"/>
          </w:tcPr>
          <w:p w14:paraId="68B082FA"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HHFA014</w:t>
            </w:r>
          </w:p>
        </w:tc>
        <w:tc>
          <w:tcPr>
            <w:tcW w:w="7229" w:type="dxa"/>
            <w:tcBorders>
              <w:left w:val="nil"/>
              <w:right w:val="nil"/>
            </w:tcBorders>
            <w:shd w:val="clear" w:color="auto" w:fill="auto"/>
            <w:noWrap/>
          </w:tcPr>
          <w:p w14:paraId="569DB152" w14:textId="77777777" w:rsidR="00966E2C" w:rsidRPr="00397EC7" w:rsidRDefault="00966E2C" w:rsidP="00643360">
            <w:pPr>
              <w:spacing w:after="0" w:line="240" w:lineRule="auto"/>
              <w:jc w:val="left"/>
              <w:rPr>
                <w:rFonts w:eastAsia="Calibri" w:cs="Arial"/>
                <w:sz w:val="18"/>
                <w:lang w:val="en-GB" w:eastAsia="fr-FR"/>
              </w:rPr>
            </w:pPr>
            <w:r w:rsidRPr="00397EC7">
              <w:rPr>
                <w:rFonts w:eastAsia="Calibri" w:cs="Arial"/>
                <w:sz w:val="18"/>
                <w:lang w:val="en-GB" w:eastAsia="fr-FR"/>
              </w:rPr>
              <w:t>Left hemicolectomy without release of splenic flexure, without restoration of continuity, by laparotomy</w:t>
            </w:r>
          </w:p>
        </w:tc>
      </w:tr>
      <w:tr w:rsidR="00966E2C" w:rsidRPr="00397EC7" w14:paraId="17917BF2" w14:textId="77777777" w:rsidTr="00643360">
        <w:trPr>
          <w:trHeight w:val="170"/>
          <w:jc w:val="center"/>
        </w:trPr>
        <w:tc>
          <w:tcPr>
            <w:tcW w:w="1056" w:type="dxa"/>
            <w:tcBorders>
              <w:left w:val="nil"/>
              <w:right w:val="nil"/>
            </w:tcBorders>
            <w:vAlign w:val="center"/>
          </w:tcPr>
          <w:p w14:paraId="2DE9A026"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HHFA017</w:t>
            </w:r>
          </w:p>
        </w:tc>
        <w:tc>
          <w:tcPr>
            <w:tcW w:w="7229" w:type="dxa"/>
            <w:tcBorders>
              <w:left w:val="nil"/>
              <w:right w:val="nil"/>
            </w:tcBorders>
            <w:shd w:val="clear" w:color="auto" w:fill="auto"/>
            <w:noWrap/>
          </w:tcPr>
          <w:p w14:paraId="76B1A19A"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Left hemicolectomy without release of splenic flexure, with restoration of continuity, by laparotomy</w:t>
            </w:r>
          </w:p>
        </w:tc>
      </w:tr>
      <w:tr w:rsidR="00966E2C" w:rsidRPr="00397EC7" w14:paraId="4A6017F6" w14:textId="77777777" w:rsidTr="00643360">
        <w:trPr>
          <w:trHeight w:val="170"/>
          <w:jc w:val="center"/>
        </w:trPr>
        <w:tc>
          <w:tcPr>
            <w:tcW w:w="1056" w:type="dxa"/>
            <w:tcBorders>
              <w:left w:val="nil"/>
              <w:right w:val="nil"/>
            </w:tcBorders>
            <w:vAlign w:val="center"/>
          </w:tcPr>
          <w:p w14:paraId="434CB513"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HHFA010</w:t>
            </w:r>
          </w:p>
        </w:tc>
        <w:tc>
          <w:tcPr>
            <w:tcW w:w="7229" w:type="dxa"/>
            <w:tcBorders>
              <w:left w:val="nil"/>
              <w:right w:val="nil"/>
            </w:tcBorders>
            <w:shd w:val="clear" w:color="auto" w:fill="auto"/>
            <w:noWrap/>
          </w:tcPr>
          <w:p w14:paraId="70CB82A6" w14:textId="77777777" w:rsidR="00966E2C" w:rsidRPr="00397EC7" w:rsidRDefault="00966E2C" w:rsidP="00643360">
            <w:pPr>
              <w:spacing w:after="0" w:line="240" w:lineRule="auto"/>
              <w:jc w:val="left"/>
              <w:rPr>
                <w:rFonts w:eastAsia="Calibri" w:cs="Arial"/>
                <w:sz w:val="18"/>
                <w:lang w:val="en-GB" w:eastAsia="fr-FR"/>
              </w:rPr>
            </w:pPr>
            <w:r w:rsidRPr="00397EC7">
              <w:rPr>
                <w:rFonts w:eastAsia="Calibri" w:cs="Arial"/>
                <w:sz w:val="18"/>
                <w:lang w:val="en-GB" w:eastAsia="fr-FR"/>
              </w:rPr>
              <w:t>Left hemicolectomy without release of splenic flexure, with restoration of continuity, by laparoscopy, or laparotomy with laparoscopic preparation</w:t>
            </w:r>
          </w:p>
        </w:tc>
      </w:tr>
      <w:tr w:rsidR="00966E2C" w:rsidRPr="00397EC7" w14:paraId="4E0D1323" w14:textId="77777777" w:rsidTr="00643360">
        <w:trPr>
          <w:trHeight w:val="170"/>
          <w:jc w:val="center"/>
        </w:trPr>
        <w:tc>
          <w:tcPr>
            <w:tcW w:w="1056" w:type="dxa"/>
            <w:tcBorders>
              <w:left w:val="nil"/>
              <w:right w:val="nil"/>
            </w:tcBorders>
            <w:vAlign w:val="center"/>
          </w:tcPr>
          <w:p w14:paraId="6384035E"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HHFA024</w:t>
            </w:r>
          </w:p>
        </w:tc>
        <w:tc>
          <w:tcPr>
            <w:tcW w:w="7229" w:type="dxa"/>
            <w:tcBorders>
              <w:left w:val="nil"/>
              <w:right w:val="nil"/>
            </w:tcBorders>
            <w:shd w:val="clear" w:color="auto" w:fill="auto"/>
            <w:noWrap/>
          </w:tcPr>
          <w:p w14:paraId="5A822688" w14:textId="77777777" w:rsidR="00966E2C" w:rsidRPr="00397EC7" w:rsidRDefault="00966E2C" w:rsidP="00643360">
            <w:pPr>
              <w:spacing w:after="0" w:line="240" w:lineRule="auto"/>
              <w:jc w:val="left"/>
              <w:rPr>
                <w:rFonts w:eastAsia="Calibri" w:cs="Arial"/>
                <w:sz w:val="18"/>
                <w:lang w:val="en-GB" w:eastAsia="fr-FR"/>
              </w:rPr>
            </w:pPr>
            <w:r w:rsidRPr="00397EC7">
              <w:rPr>
                <w:rFonts w:eastAsia="Calibri" w:cs="Arial"/>
                <w:sz w:val="18"/>
                <w:lang w:val="en-GB" w:eastAsia="fr-FR"/>
              </w:rPr>
              <w:t>Left hemicolectomy with release of splenic flexure, without restoration of continuity, by laparotomy</w:t>
            </w:r>
          </w:p>
        </w:tc>
      </w:tr>
      <w:tr w:rsidR="00966E2C" w:rsidRPr="00397EC7" w14:paraId="51EDFC98" w14:textId="77777777" w:rsidTr="00643360">
        <w:trPr>
          <w:trHeight w:val="170"/>
          <w:jc w:val="center"/>
        </w:trPr>
        <w:tc>
          <w:tcPr>
            <w:tcW w:w="1056" w:type="dxa"/>
            <w:tcBorders>
              <w:left w:val="nil"/>
              <w:right w:val="nil"/>
            </w:tcBorders>
            <w:vAlign w:val="center"/>
          </w:tcPr>
          <w:p w14:paraId="66A3F67C"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HHFA006</w:t>
            </w:r>
          </w:p>
        </w:tc>
        <w:tc>
          <w:tcPr>
            <w:tcW w:w="7229" w:type="dxa"/>
            <w:tcBorders>
              <w:left w:val="nil"/>
              <w:right w:val="nil"/>
            </w:tcBorders>
            <w:shd w:val="clear" w:color="auto" w:fill="auto"/>
            <w:noWrap/>
          </w:tcPr>
          <w:p w14:paraId="3B33EBE8" w14:textId="77777777" w:rsidR="00966E2C" w:rsidRPr="00397EC7" w:rsidRDefault="00966E2C" w:rsidP="00643360">
            <w:pPr>
              <w:spacing w:after="0" w:line="240" w:lineRule="auto"/>
              <w:jc w:val="left"/>
              <w:rPr>
                <w:rFonts w:eastAsia="Calibri" w:cs="Arial"/>
                <w:sz w:val="18"/>
                <w:lang w:val="en-GB" w:eastAsia="fr-FR"/>
              </w:rPr>
            </w:pPr>
            <w:r w:rsidRPr="00397EC7">
              <w:rPr>
                <w:rFonts w:eastAsia="Calibri" w:cs="Arial"/>
                <w:sz w:val="18"/>
                <w:lang w:val="en-GB" w:eastAsia="fr-FR"/>
              </w:rPr>
              <w:t>Left hemicolectomy with release of splenic flexure, with restoration of continuity, by laparotomy</w:t>
            </w:r>
          </w:p>
        </w:tc>
      </w:tr>
      <w:tr w:rsidR="00966E2C" w:rsidRPr="00397EC7" w14:paraId="5B0A33C9" w14:textId="77777777" w:rsidTr="00643360">
        <w:trPr>
          <w:trHeight w:val="170"/>
          <w:jc w:val="center"/>
        </w:trPr>
        <w:tc>
          <w:tcPr>
            <w:tcW w:w="1056" w:type="dxa"/>
            <w:tcBorders>
              <w:left w:val="nil"/>
              <w:right w:val="nil"/>
            </w:tcBorders>
            <w:vAlign w:val="center"/>
          </w:tcPr>
          <w:p w14:paraId="320040D7"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HHFA002</w:t>
            </w:r>
          </w:p>
        </w:tc>
        <w:tc>
          <w:tcPr>
            <w:tcW w:w="7229" w:type="dxa"/>
            <w:tcBorders>
              <w:left w:val="nil"/>
              <w:right w:val="nil"/>
            </w:tcBorders>
            <w:shd w:val="clear" w:color="auto" w:fill="auto"/>
            <w:noWrap/>
          </w:tcPr>
          <w:p w14:paraId="4EC447FA"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Left hemicolectomy with release of splenic flexure, with restoration of continuity, by laparoscopy, or laparotomy with laparoscopic preparation</w:t>
            </w:r>
          </w:p>
        </w:tc>
      </w:tr>
      <w:tr w:rsidR="00966E2C" w:rsidRPr="00397EC7" w14:paraId="6143AF31" w14:textId="77777777" w:rsidTr="00643360">
        <w:trPr>
          <w:trHeight w:val="170"/>
          <w:jc w:val="center"/>
        </w:trPr>
        <w:tc>
          <w:tcPr>
            <w:tcW w:w="1056" w:type="dxa"/>
            <w:tcBorders>
              <w:left w:val="nil"/>
              <w:right w:val="nil"/>
            </w:tcBorders>
            <w:vAlign w:val="center"/>
          </w:tcPr>
          <w:p w14:paraId="31718A6D"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HHFA021</w:t>
            </w:r>
          </w:p>
        </w:tc>
        <w:tc>
          <w:tcPr>
            <w:tcW w:w="7229" w:type="dxa"/>
            <w:tcBorders>
              <w:left w:val="nil"/>
              <w:right w:val="nil"/>
            </w:tcBorders>
            <w:shd w:val="clear" w:color="auto" w:fill="auto"/>
            <w:noWrap/>
          </w:tcPr>
          <w:p w14:paraId="6BD83A5B" w14:textId="77777777" w:rsidR="00966E2C" w:rsidRPr="00397EC7" w:rsidRDefault="00966E2C" w:rsidP="00643360">
            <w:pPr>
              <w:spacing w:after="0" w:line="240" w:lineRule="auto"/>
              <w:jc w:val="left"/>
              <w:rPr>
                <w:rFonts w:eastAsia="Calibri" w:cs="Arial"/>
                <w:sz w:val="18"/>
                <w:lang w:val="en-GB" w:eastAsia="fr-FR"/>
              </w:rPr>
            </w:pPr>
            <w:r w:rsidRPr="00397EC7">
              <w:rPr>
                <w:rFonts w:eastAsia="Calibri" w:cs="Arial"/>
                <w:sz w:val="18"/>
                <w:lang w:val="en-GB" w:eastAsia="fr-FR"/>
              </w:rPr>
              <w:t>Complete colectomy with preservation of the rectum, without restoration of continuity, by laparotomy</w:t>
            </w:r>
          </w:p>
        </w:tc>
      </w:tr>
      <w:tr w:rsidR="00966E2C" w:rsidRPr="00397EC7" w14:paraId="7DBC916A" w14:textId="77777777" w:rsidTr="00643360">
        <w:trPr>
          <w:trHeight w:val="170"/>
          <w:jc w:val="center"/>
        </w:trPr>
        <w:tc>
          <w:tcPr>
            <w:tcW w:w="1056" w:type="dxa"/>
            <w:tcBorders>
              <w:left w:val="nil"/>
              <w:right w:val="nil"/>
            </w:tcBorders>
            <w:vAlign w:val="center"/>
          </w:tcPr>
          <w:p w14:paraId="7CA4C7A2"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HHFA005</w:t>
            </w:r>
          </w:p>
        </w:tc>
        <w:tc>
          <w:tcPr>
            <w:tcW w:w="7229" w:type="dxa"/>
            <w:tcBorders>
              <w:left w:val="nil"/>
              <w:right w:val="nil"/>
            </w:tcBorders>
            <w:shd w:val="clear" w:color="auto" w:fill="auto"/>
            <w:noWrap/>
          </w:tcPr>
          <w:p w14:paraId="588B9413"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Complete colectomy with preservation of the rectum, without restoration of continuity, by laparoscopy, or laparotomy with laparoscopic preparation</w:t>
            </w:r>
          </w:p>
        </w:tc>
      </w:tr>
      <w:tr w:rsidR="00966E2C" w:rsidRPr="00397EC7" w14:paraId="645F453C" w14:textId="77777777" w:rsidTr="00643360">
        <w:trPr>
          <w:trHeight w:val="170"/>
          <w:jc w:val="center"/>
        </w:trPr>
        <w:tc>
          <w:tcPr>
            <w:tcW w:w="1056" w:type="dxa"/>
            <w:tcBorders>
              <w:left w:val="nil"/>
              <w:right w:val="nil"/>
            </w:tcBorders>
            <w:vAlign w:val="center"/>
          </w:tcPr>
          <w:p w14:paraId="46237AA8"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HHFA022</w:t>
            </w:r>
          </w:p>
        </w:tc>
        <w:tc>
          <w:tcPr>
            <w:tcW w:w="7229" w:type="dxa"/>
            <w:tcBorders>
              <w:left w:val="nil"/>
              <w:right w:val="nil"/>
            </w:tcBorders>
            <w:shd w:val="clear" w:color="auto" w:fill="auto"/>
            <w:noWrap/>
          </w:tcPr>
          <w:p w14:paraId="5A254F47" w14:textId="77777777" w:rsidR="00966E2C" w:rsidRPr="00397EC7" w:rsidRDefault="00966E2C" w:rsidP="00643360">
            <w:pPr>
              <w:spacing w:after="0" w:line="240" w:lineRule="auto"/>
              <w:jc w:val="left"/>
              <w:rPr>
                <w:rFonts w:eastAsia="Calibri" w:cs="Arial"/>
                <w:sz w:val="18"/>
                <w:lang w:val="en-GB" w:eastAsia="fr-FR"/>
              </w:rPr>
            </w:pPr>
            <w:r w:rsidRPr="00397EC7">
              <w:rPr>
                <w:rFonts w:eastAsia="Calibri" w:cs="Arial"/>
                <w:sz w:val="18"/>
                <w:lang w:val="en-GB" w:eastAsia="fr-FR"/>
              </w:rPr>
              <w:t xml:space="preserve">Complete colectomy with preservation of the rectum, with </w:t>
            </w:r>
            <w:proofErr w:type="spellStart"/>
            <w:r w:rsidRPr="00397EC7">
              <w:rPr>
                <w:rFonts w:eastAsia="Calibri" w:cs="Arial"/>
                <w:sz w:val="18"/>
                <w:lang w:val="en-GB" w:eastAsia="fr-FR"/>
              </w:rPr>
              <w:t>ileorectal</w:t>
            </w:r>
            <w:proofErr w:type="spellEnd"/>
            <w:r w:rsidRPr="00397EC7">
              <w:rPr>
                <w:rFonts w:eastAsia="Calibri" w:cs="Arial"/>
                <w:sz w:val="18"/>
                <w:lang w:val="en-GB" w:eastAsia="fr-FR"/>
              </w:rPr>
              <w:t xml:space="preserve"> anastomosis, by laparotomy</w:t>
            </w:r>
          </w:p>
        </w:tc>
      </w:tr>
      <w:tr w:rsidR="00966E2C" w:rsidRPr="00397EC7" w14:paraId="6287E686" w14:textId="77777777" w:rsidTr="00643360">
        <w:trPr>
          <w:trHeight w:val="170"/>
          <w:jc w:val="center"/>
        </w:trPr>
        <w:tc>
          <w:tcPr>
            <w:tcW w:w="1056" w:type="dxa"/>
            <w:tcBorders>
              <w:left w:val="nil"/>
              <w:right w:val="nil"/>
            </w:tcBorders>
            <w:vAlign w:val="center"/>
          </w:tcPr>
          <w:p w14:paraId="35F004F6"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HHFA004</w:t>
            </w:r>
          </w:p>
        </w:tc>
        <w:tc>
          <w:tcPr>
            <w:tcW w:w="7229" w:type="dxa"/>
            <w:tcBorders>
              <w:left w:val="nil"/>
              <w:right w:val="nil"/>
            </w:tcBorders>
            <w:shd w:val="clear" w:color="auto" w:fill="auto"/>
            <w:noWrap/>
          </w:tcPr>
          <w:p w14:paraId="53FB1600"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 xml:space="preserve">Complete colectomy with preservation of the rectum, with </w:t>
            </w:r>
            <w:proofErr w:type="spellStart"/>
            <w:r w:rsidRPr="00397EC7">
              <w:rPr>
                <w:rFonts w:eastAsia="Calibri" w:cs="Arial"/>
                <w:sz w:val="18"/>
                <w:lang w:val="en-GB" w:eastAsia="fr-FR"/>
              </w:rPr>
              <w:t>ileorectal</w:t>
            </w:r>
            <w:proofErr w:type="spellEnd"/>
            <w:r w:rsidRPr="00397EC7">
              <w:rPr>
                <w:rFonts w:eastAsia="Calibri" w:cs="Arial"/>
                <w:sz w:val="18"/>
                <w:lang w:val="en-GB" w:eastAsia="fr-FR"/>
              </w:rPr>
              <w:t xml:space="preserve"> anastomosis, by laparoscopy, or laparotomy with laparoscopic preparation</w:t>
            </w:r>
          </w:p>
        </w:tc>
      </w:tr>
      <w:tr w:rsidR="00966E2C" w:rsidRPr="00397EC7" w14:paraId="6416D28A" w14:textId="77777777" w:rsidTr="00643360">
        <w:trPr>
          <w:trHeight w:val="170"/>
          <w:jc w:val="center"/>
        </w:trPr>
        <w:tc>
          <w:tcPr>
            <w:tcW w:w="1056" w:type="dxa"/>
            <w:tcBorders>
              <w:left w:val="nil"/>
              <w:right w:val="nil"/>
            </w:tcBorders>
            <w:vAlign w:val="center"/>
          </w:tcPr>
          <w:p w14:paraId="12A38B6F"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HJFC031</w:t>
            </w:r>
          </w:p>
        </w:tc>
        <w:tc>
          <w:tcPr>
            <w:tcW w:w="7229" w:type="dxa"/>
            <w:tcBorders>
              <w:left w:val="nil"/>
              <w:right w:val="nil"/>
            </w:tcBorders>
            <w:shd w:val="clear" w:color="auto" w:fill="auto"/>
            <w:noWrap/>
          </w:tcPr>
          <w:p w14:paraId="2728D241"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Recto-sigmoid resection extending beyond the pouch of Douglas, without restoration of continuity, by laparoscopy</w:t>
            </w:r>
          </w:p>
        </w:tc>
      </w:tr>
      <w:tr w:rsidR="00966E2C" w:rsidRPr="00397EC7" w14:paraId="5D0BEA84" w14:textId="77777777" w:rsidTr="00643360">
        <w:trPr>
          <w:trHeight w:val="170"/>
          <w:jc w:val="center"/>
        </w:trPr>
        <w:tc>
          <w:tcPr>
            <w:tcW w:w="1056" w:type="dxa"/>
            <w:tcBorders>
              <w:left w:val="nil"/>
              <w:right w:val="nil"/>
            </w:tcBorders>
            <w:vAlign w:val="center"/>
          </w:tcPr>
          <w:p w14:paraId="5A97EA8C"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HJFA011</w:t>
            </w:r>
          </w:p>
        </w:tc>
        <w:tc>
          <w:tcPr>
            <w:tcW w:w="7229" w:type="dxa"/>
            <w:tcBorders>
              <w:left w:val="nil"/>
              <w:right w:val="nil"/>
            </w:tcBorders>
            <w:shd w:val="clear" w:color="auto" w:fill="auto"/>
            <w:noWrap/>
          </w:tcPr>
          <w:p w14:paraId="110DE4B7"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Recto-sigmoid resection extending beyond the pouch of Douglas, without restoration of continuity, by laparotomy</w:t>
            </w:r>
          </w:p>
        </w:tc>
      </w:tr>
      <w:tr w:rsidR="00966E2C" w:rsidRPr="00397EC7" w14:paraId="6D5FEDD6" w14:textId="77777777" w:rsidTr="00643360">
        <w:trPr>
          <w:trHeight w:val="170"/>
          <w:jc w:val="center"/>
        </w:trPr>
        <w:tc>
          <w:tcPr>
            <w:tcW w:w="1056" w:type="dxa"/>
            <w:tcBorders>
              <w:left w:val="nil"/>
              <w:right w:val="nil"/>
            </w:tcBorders>
            <w:vAlign w:val="center"/>
          </w:tcPr>
          <w:p w14:paraId="2D309FF9"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HJFA002</w:t>
            </w:r>
          </w:p>
        </w:tc>
        <w:tc>
          <w:tcPr>
            <w:tcW w:w="7229" w:type="dxa"/>
            <w:tcBorders>
              <w:left w:val="nil"/>
              <w:right w:val="nil"/>
            </w:tcBorders>
            <w:shd w:val="clear" w:color="auto" w:fill="auto"/>
            <w:noWrap/>
          </w:tcPr>
          <w:p w14:paraId="3D75DB04" w14:textId="77777777" w:rsidR="00966E2C" w:rsidRPr="00397EC7" w:rsidRDefault="00966E2C" w:rsidP="00643360">
            <w:pPr>
              <w:spacing w:after="0" w:line="240" w:lineRule="auto"/>
              <w:jc w:val="left"/>
              <w:rPr>
                <w:rFonts w:eastAsia="Calibri" w:cs="Arial"/>
                <w:sz w:val="18"/>
                <w:lang w:val="en-GB" w:eastAsia="fr-FR"/>
              </w:rPr>
            </w:pPr>
            <w:r w:rsidRPr="00397EC7">
              <w:rPr>
                <w:rFonts w:eastAsia="Calibri" w:cs="Arial"/>
                <w:sz w:val="18"/>
                <w:lang w:val="en-GB" w:eastAsia="fr-FR"/>
              </w:rPr>
              <w:t xml:space="preserve">Recto-sigmoid resection with </w:t>
            </w:r>
            <w:proofErr w:type="spellStart"/>
            <w:r w:rsidRPr="00397EC7">
              <w:rPr>
                <w:rFonts w:eastAsia="Calibri" w:cs="Arial"/>
                <w:sz w:val="18"/>
                <w:lang w:val="en-GB" w:eastAsia="fr-FR"/>
              </w:rPr>
              <w:t>infraperitoneal</w:t>
            </w:r>
            <w:proofErr w:type="spellEnd"/>
            <w:r w:rsidRPr="00397EC7">
              <w:rPr>
                <w:rFonts w:eastAsia="Calibri" w:cs="Arial"/>
                <w:sz w:val="18"/>
                <w:lang w:val="en-GB" w:eastAsia="fr-FR"/>
              </w:rPr>
              <w:t xml:space="preserve"> colorectal anastomosis, by laparotomy</w:t>
            </w:r>
          </w:p>
        </w:tc>
      </w:tr>
      <w:tr w:rsidR="00966E2C" w:rsidRPr="00397EC7" w14:paraId="5E4A3794" w14:textId="77777777" w:rsidTr="00643360">
        <w:trPr>
          <w:trHeight w:val="170"/>
          <w:jc w:val="center"/>
        </w:trPr>
        <w:tc>
          <w:tcPr>
            <w:tcW w:w="1056" w:type="dxa"/>
            <w:tcBorders>
              <w:left w:val="nil"/>
              <w:right w:val="nil"/>
            </w:tcBorders>
            <w:vAlign w:val="center"/>
          </w:tcPr>
          <w:p w14:paraId="14340C3A"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HJFA004</w:t>
            </w:r>
          </w:p>
        </w:tc>
        <w:tc>
          <w:tcPr>
            <w:tcW w:w="7229" w:type="dxa"/>
            <w:tcBorders>
              <w:left w:val="nil"/>
              <w:right w:val="nil"/>
            </w:tcBorders>
            <w:shd w:val="clear" w:color="auto" w:fill="auto"/>
            <w:noWrap/>
          </w:tcPr>
          <w:p w14:paraId="2BC5CCB0"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 xml:space="preserve">Recto-sigmoid resection with </w:t>
            </w:r>
            <w:proofErr w:type="spellStart"/>
            <w:r w:rsidRPr="00397EC7">
              <w:rPr>
                <w:rFonts w:eastAsia="Calibri" w:cs="Arial"/>
                <w:sz w:val="18"/>
                <w:lang w:val="en-GB" w:eastAsia="fr-FR"/>
              </w:rPr>
              <w:t>infraperitoneal</w:t>
            </w:r>
            <w:proofErr w:type="spellEnd"/>
            <w:r w:rsidRPr="00397EC7">
              <w:rPr>
                <w:rFonts w:eastAsia="Calibri" w:cs="Arial"/>
                <w:sz w:val="18"/>
                <w:lang w:val="en-GB" w:eastAsia="fr-FR"/>
              </w:rPr>
              <w:t xml:space="preserve"> colorectal anastomosis, by laparoscopy, or by laparotomy with laparoscopic preparation</w:t>
            </w:r>
          </w:p>
        </w:tc>
      </w:tr>
      <w:tr w:rsidR="00966E2C" w:rsidRPr="00397EC7" w14:paraId="16871EC6" w14:textId="77777777" w:rsidTr="00643360">
        <w:trPr>
          <w:trHeight w:val="170"/>
          <w:jc w:val="center"/>
        </w:trPr>
        <w:tc>
          <w:tcPr>
            <w:tcW w:w="1056" w:type="dxa"/>
            <w:tcBorders>
              <w:left w:val="nil"/>
              <w:right w:val="nil"/>
            </w:tcBorders>
            <w:vAlign w:val="center"/>
          </w:tcPr>
          <w:p w14:paraId="60431915"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HJFA006</w:t>
            </w:r>
          </w:p>
        </w:tc>
        <w:tc>
          <w:tcPr>
            <w:tcW w:w="7229" w:type="dxa"/>
            <w:tcBorders>
              <w:left w:val="nil"/>
              <w:right w:val="nil"/>
            </w:tcBorders>
            <w:shd w:val="clear" w:color="auto" w:fill="auto"/>
            <w:noWrap/>
          </w:tcPr>
          <w:p w14:paraId="09261F30"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 xml:space="preserve">Recto-sigmoid resection by laparotomy, with </w:t>
            </w:r>
            <w:proofErr w:type="spellStart"/>
            <w:r w:rsidRPr="00397EC7">
              <w:rPr>
                <w:rFonts w:eastAsia="Calibri" w:cs="Arial"/>
                <w:sz w:val="18"/>
                <w:lang w:val="en-GB" w:eastAsia="fr-FR"/>
              </w:rPr>
              <w:t>coloanal</w:t>
            </w:r>
            <w:proofErr w:type="spellEnd"/>
            <w:r w:rsidRPr="00397EC7">
              <w:rPr>
                <w:rFonts w:eastAsia="Calibri" w:cs="Arial"/>
                <w:sz w:val="18"/>
                <w:lang w:val="en-GB" w:eastAsia="fr-FR"/>
              </w:rPr>
              <w:t xml:space="preserve"> anastomosis by anal or trans-sphincter approach</w:t>
            </w:r>
          </w:p>
        </w:tc>
      </w:tr>
      <w:tr w:rsidR="00966E2C" w:rsidRPr="00397EC7" w14:paraId="297F9A6F" w14:textId="77777777" w:rsidTr="00643360">
        <w:trPr>
          <w:trHeight w:val="170"/>
          <w:jc w:val="center"/>
        </w:trPr>
        <w:tc>
          <w:tcPr>
            <w:tcW w:w="1056" w:type="dxa"/>
            <w:tcBorders>
              <w:left w:val="nil"/>
              <w:right w:val="nil"/>
            </w:tcBorders>
          </w:tcPr>
          <w:p w14:paraId="58B45D75"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HJFA017</w:t>
            </w:r>
          </w:p>
        </w:tc>
        <w:tc>
          <w:tcPr>
            <w:tcW w:w="7229" w:type="dxa"/>
            <w:tcBorders>
              <w:left w:val="nil"/>
              <w:right w:val="nil"/>
            </w:tcBorders>
            <w:shd w:val="clear" w:color="auto" w:fill="auto"/>
            <w:noWrap/>
          </w:tcPr>
          <w:p w14:paraId="1A722EF1"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 xml:space="preserve">Laparoscopic or open recto-sigmoid resection with laparoscopic preparation, with </w:t>
            </w:r>
            <w:proofErr w:type="spellStart"/>
            <w:r w:rsidRPr="00397EC7">
              <w:rPr>
                <w:rFonts w:eastAsia="Calibri" w:cs="Arial"/>
                <w:sz w:val="18"/>
                <w:lang w:val="en-GB" w:eastAsia="fr-FR"/>
              </w:rPr>
              <w:t>coloanal</w:t>
            </w:r>
            <w:proofErr w:type="spellEnd"/>
            <w:r w:rsidRPr="00397EC7">
              <w:rPr>
                <w:rFonts w:eastAsia="Calibri" w:cs="Arial"/>
                <w:sz w:val="18"/>
                <w:lang w:val="en-GB" w:eastAsia="fr-FR"/>
              </w:rPr>
              <w:t xml:space="preserve"> anastomosis by anal approach</w:t>
            </w:r>
          </w:p>
        </w:tc>
      </w:tr>
      <w:tr w:rsidR="00966E2C" w:rsidRPr="00397EC7" w14:paraId="3C227B41" w14:textId="77777777" w:rsidTr="00643360">
        <w:trPr>
          <w:trHeight w:val="170"/>
          <w:jc w:val="center"/>
        </w:trPr>
        <w:tc>
          <w:tcPr>
            <w:tcW w:w="1056" w:type="dxa"/>
            <w:tcBorders>
              <w:left w:val="nil"/>
              <w:right w:val="nil"/>
            </w:tcBorders>
            <w:vAlign w:val="center"/>
          </w:tcPr>
          <w:p w14:paraId="1F5467B9"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HJFA001</w:t>
            </w:r>
          </w:p>
        </w:tc>
        <w:tc>
          <w:tcPr>
            <w:tcW w:w="7229" w:type="dxa"/>
            <w:tcBorders>
              <w:left w:val="nil"/>
              <w:right w:val="nil"/>
            </w:tcBorders>
            <w:shd w:val="clear" w:color="auto" w:fill="auto"/>
            <w:noWrap/>
          </w:tcPr>
          <w:p w14:paraId="041BDE0E" w14:textId="77777777" w:rsidR="00966E2C" w:rsidRPr="00397EC7" w:rsidRDefault="00966E2C" w:rsidP="00643360">
            <w:pPr>
              <w:spacing w:after="0" w:line="240" w:lineRule="auto"/>
              <w:rPr>
                <w:rFonts w:eastAsia="Calibri" w:cs="Arial"/>
                <w:sz w:val="18"/>
                <w:lang w:val="en-GB" w:eastAsia="fr-FR"/>
              </w:rPr>
            </w:pPr>
            <w:proofErr w:type="spellStart"/>
            <w:r w:rsidRPr="00397EC7">
              <w:rPr>
                <w:rFonts w:eastAsia="Calibri" w:cs="Arial"/>
                <w:sz w:val="18"/>
                <w:lang w:val="en-GB" w:eastAsia="fr-FR"/>
              </w:rPr>
              <w:t>Retrocolic</w:t>
            </w:r>
            <w:proofErr w:type="spellEnd"/>
            <w:r w:rsidRPr="00397EC7">
              <w:rPr>
                <w:rFonts w:eastAsia="Calibri" w:cs="Arial"/>
                <w:sz w:val="18"/>
                <w:lang w:val="en-GB" w:eastAsia="fr-FR"/>
              </w:rPr>
              <w:t xml:space="preserve"> resection with </w:t>
            </w:r>
            <w:proofErr w:type="spellStart"/>
            <w:r w:rsidRPr="00397EC7">
              <w:rPr>
                <w:rFonts w:eastAsia="Calibri" w:cs="Arial"/>
                <w:sz w:val="18"/>
                <w:lang w:val="en-GB" w:eastAsia="fr-FR"/>
              </w:rPr>
              <w:t>retrorectal</w:t>
            </w:r>
            <w:proofErr w:type="spellEnd"/>
            <w:r w:rsidRPr="00397EC7">
              <w:rPr>
                <w:rFonts w:eastAsia="Calibri" w:cs="Arial"/>
                <w:sz w:val="18"/>
                <w:lang w:val="en-GB" w:eastAsia="fr-FR"/>
              </w:rPr>
              <w:t xml:space="preserve"> lowering of the colon by laparotomy, with colorectal anastomosis</w:t>
            </w:r>
            <w:r w:rsidRPr="00397EC7">
              <w:rPr>
                <w:rFonts w:cs="Arial"/>
                <w:lang w:val="en-GB"/>
              </w:rPr>
              <w:t xml:space="preserve"> </w:t>
            </w:r>
            <w:r w:rsidRPr="00397EC7">
              <w:rPr>
                <w:rFonts w:eastAsia="Calibri" w:cs="Arial"/>
                <w:sz w:val="18"/>
                <w:lang w:val="en-GB" w:eastAsia="fr-FR"/>
              </w:rPr>
              <w:t>by anal approach</w:t>
            </w:r>
          </w:p>
        </w:tc>
      </w:tr>
      <w:tr w:rsidR="00966E2C" w:rsidRPr="00397EC7" w14:paraId="179E4FF0" w14:textId="77777777" w:rsidTr="00643360">
        <w:trPr>
          <w:trHeight w:val="170"/>
          <w:jc w:val="center"/>
        </w:trPr>
        <w:tc>
          <w:tcPr>
            <w:tcW w:w="1056" w:type="dxa"/>
            <w:tcBorders>
              <w:left w:val="nil"/>
              <w:right w:val="nil"/>
            </w:tcBorders>
            <w:vAlign w:val="center"/>
          </w:tcPr>
          <w:p w14:paraId="11DF40FC"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HJFA005</w:t>
            </w:r>
          </w:p>
        </w:tc>
        <w:tc>
          <w:tcPr>
            <w:tcW w:w="7229" w:type="dxa"/>
            <w:tcBorders>
              <w:left w:val="nil"/>
              <w:right w:val="nil"/>
            </w:tcBorders>
            <w:shd w:val="clear" w:color="auto" w:fill="auto"/>
            <w:noWrap/>
          </w:tcPr>
          <w:p w14:paraId="3CCCCB41"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Amputation of the rectum, by perineal approach</w:t>
            </w:r>
          </w:p>
        </w:tc>
      </w:tr>
      <w:tr w:rsidR="00966E2C" w:rsidRPr="00397EC7" w14:paraId="127C4A3A" w14:textId="77777777" w:rsidTr="00643360">
        <w:trPr>
          <w:trHeight w:val="170"/>
          <w:jc w:val="center"/>
        </w:trPr>
        <w:tc>
          <w:tcPr>
            <w:tcW w:w="1056" w:type="dxa"/>
            <w:tcBorders>
              <w:left w:val="nil"/>
              <w:right w:val="nil"/>
            </w:tcBorders>
            <w:vAlign w:val="center"/>
          </w:tcPr>
          <w:p w14:paraId="2F6D5D11"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HJFA007</w:t>
            </w:r>
          </w:p>
        </w:tc>
        <w:tc>
          <w:tcPr>
            <w:tcW w:w="7229" w:type="dxa"/>
            <w:tcBorders>
              <w:left w:val="nil"/>
              <w:right w:val="nil"/>
            </w:tcBorders>
            <w:shd w:val="clear" w:color="auto" w:fill="auto"/>
            <w:noWrap/>
          </w:tcPr>
          <w:p w14:paraId="11981578"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Amputation of the rectum, by laparotomy and perineal approach</w:t>
            </w:r>
          </w:p>
        </w:tc>
      </w:tr>
      <w:tr w:rsidR="00966E2C" w:rsidRPr="00397EC7" w14:paraId="26BE6C23" w14:textId="77777777" w:rsidTr="00643360">
        <w:trPr>
          <w:trHeight w:val="170"/>
          <w:jc w:val="center"/>
        </w:trPr>
        <w:tc>
          <w:tcPr>
            <w:tcW w:w="1056" w:type="dxa"/>
            <w:tcBorders>
              <w:left w:val="nil"/>
              <w:bottom w:val="single" w:sz="4" w:space="0" w:color="auto"/>
              <w:right w:val="nil"/>
            </w:tcBorders>
            <w:vAlign w:val="center"/>
          </w:tcPr>
          <w:p w14:paraId="45385E4C"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HJFA019</w:t>
            </w:r>
          </w:p>
        </w:tc>
        <w:tc>
          <w:tcPr>
            <w:tcW w:w="7229" w:type="dxa"/>
            <w:tcBorders>
              <w:left w:val="nil"/>
              <w:bottom w:val="single" w:sz="4" w:space="0" w:color="auto"/>
              <w:right w:val="nil"/>
            </w:tcBorders>
            <w:shd w:val="clear" w:color="auto" w:fill="auto"/>
            <w:noWrap/>
          </w:tcPr>
          <w:p w14:paraId="1E86718A"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Amputation of the rectum, by laparoscopy, or laparotomy with preparation by laparoscopy and perineal approach</w:t>
            </w:r>
          </w:p>
        </w:tc>
      </w:tr>
    </w:tbl>
    <w:p w14:paraId="72474C9C" w14:textId="77777777" w:rsidR="00966E2C" w:rsidRPr="00D06E0F" w:rsidRDefault="00966E2C" w:rsidP="00966E2C">
      <w:pPr>
        <w:pStyle w:val="Citationintense"/>
        <w:rPr>
          <w:rFonts w:cs="Arial"/>
          <w:sz w:val="16"/>
          <w:szCs w:val="18"/>
        </w:rPr>
      </w:pPr>
      <w:r w:rsidRPr="00D06E0F">
        <w:rPr>
          <w:rFonts w:cs="Arial"/>
          <w:b w:val="0"/>
          <w:sz w:val="16"/>
          <w:szCs w:val="18"/>
        </w:rPr>
        <w:t>CCAM (</w:t>
      </w:r>
      <w:r w:rsidRPr="00D06E0F">
        <w:rPr>
          <w:rFonts w:cs="Arial"/>
          <w:b w:val="0"/>
          <w:i/>
          <w:sz w:val="16"/>
          <w:szCs w:val="18"/>
        </w:rPr>
        <w:t>Classification Commune des Actes Médicaux</w:t>
      </w:r>
      <w:r w:rsidRPr="00D06E0F">
        <w:rPr>
          <w:rFonts w:cs="Arial"/>
          <w:b w:val="0"/>
          <w:sz w:val="16"/>
          <w:szCs w:val="18"/>
        </w:rPr>
        <w:t>).</w:t>
      </w:r>
    </w:p>
    <w:p w14:paraId="3452EAF8" w14:textId="77777777" w:rsidR="00966E2C" w:rsidRPr="00D06E0F" w:rsidRDefault="00966E2C" w:rsidP="00966E2C">
      <w:pPr>
        <w:spacing w:line="276" w:lineRule="auto"/>
        <w:jc w:val="left"/>
        <w:rPr>
          <w:rFonts w:cs="Arial"/>
          <w:lang w:val="fr-FR" w:eastAsia="fr-FR"/>
        </w:rPr>
      </w:pPr>
      <w:r w:rsidRPr="00D06E0F">
        <w:rPr>
          <w:rFonts w:cs="Arial"/>
          <w:lang w:val="fr-FR" w:eastAsia="fr-FR"/>
        </w:rPr>
        <w:br w:type="page"/>
      </w:r>
    </w:p>
    <w:p w14:paraId="6C0CEDF4" w14:textId="2D879D02" w:rsidR="00966E2C" w:rsidRPr="00397EC7" w:rsidRDefault="00A6091F" w:rsidP="00966E2C">
      <w:pPr>
        <w:pStyle w:val="Lgende"/>
        <w:spacing w:before="240"/>
        <w:rPr>
          <w:rFonts w:cs="Arial"/>
          <w:sz w:val="20"/>
          <w:lang w:val="en-GB"/>
        </w:rPr>
      </w:pPr>
      <w:r w:rsidRPr="00397EC7">
        <w:rPr>
          <w:rStyle w:val="Titredulivre"/>
          <w:rFonts w:cs="Times New Roman"/>
          <w:lang w:val="en-GB"/>
        </w:rPr>
        <w:lastRenderedPageBreak/>
        <w:t xml:space="preserve">Supplemental Table </w:t>
      </w:r>
      <w:r w:rsidR="00966E2C" w:rsidRPr="00397EC7">
        <w:rPr>
          <w:rFonts w:cs="Arial"/>
          <w:sz w:val="20"/>
          <w:lang w:val="en-GB"/>
        </w:rPr>
        <w:fldChar w:fldCharType="begin"/>
      </w:r>
      <w:r w:rsidR="00966E2C" w:rsidRPr="00397EC7">
        <w:rPr>
          <w:rFonts w:cs="Arial"/>
          <w:sz w:val="20"/>
          <w:lang w:val="en-GB"/>
        </w:rPr>
        <w:instrText xml:space="preserve"> SEQ Supplementary_table \* ARABIC </w:instrText>
      </w:r>
      <w:r w:rsidR="00966E2C" w:rsidRPr="00397EC7">
        <w:rPr>
          <w:rFonts w:cs="Arial"/>
          <w:sz w:val="20"/>
          <w:lang w:val="en-GB"/>
        </w:rPr>
        <w:fldChar w:fldCharType="separate"/>
      </w:r>
      <w:r w:rsidR="00750E24" w:rsidRPr="00397EC7">
        <w:rPr>
          <w:rFonts w:cs="Arial"/>
          <w:sz w:val="20"/>
          <w:lang w:val="en-GB"/>
        </w:rPr>
        <w:t>3</w:t>
      </w:r>
      <w:r w:rsidR="00966E2C" w:rsidRPr="00397EC7">
        <w:rPr>
          <w:rFonts w:cs="Arial"/>
          <w:sz w:val="20"/>
          <w:lang w:val="en-GB"/>
        </w:rPr>
        <w:fldChar w:fldCharType="end"/>
      </w:r>
      <w:r w:rsidR="00966E2C" w:rsidRPr="00397EC7">
        <w:rPr>
          <w:rFonts w:cs="Arial"/>
          <w:sz w:val="20"/>
          <w:lang w:val="en-GB"/>
        </w:rPr>
        <w:t>: ICD10 codes for definition of adverse events</w:t>
      </w:r>
      <w:r w:rsidR="00D54129" w:rsidRPr="00397EC7">
        <w:rPr>
          <w:rFonts w:cs="Arial"/>
          <w:sz w:val="20"/>
          <w:lang w:val="en-GB"/>
        </w:rPr>
        <w:t>.</w:t>
      </w:r>
    </w:p>
    <w:tbl>
      <w:tblPr>
        <w:tblW w:w="8285" w:type="dxa"/>
        <w:jc w:val="center"/>
        <w:tblCellMar>
          <w:left w:w="70" w:type="dxa"/>
          <w:right w:w="70" w:type="dxa"/>
        </w:tblCellMar>
        <w:tblLook w:val="0000" w:firstRow="0" w:lastRow="0" w:firstColumn="0" w:lastColumn="0" w:noHBand="0" w:noVBand="0"/>
      </w:tblPr>
      <w:tblGrid>
        <w:gridCol w:w="1025"/>
        <w:gridCol w:w="7260"/>
      </w:tblGrid>
      <w:tr w:rsidR="00966E2C" w:rsidRPr="00397EC7" w14:paraId="17AF9021" w14:textId="77777777" w:rsidTr="00643360">
        <w:trPr>
          <w:trHeight w:val="170"/>
          <w:jc w:val="center"/>
        </w:trPr>
        <w:tc>
          <w:tcPr>
            <w:tcW w:w="1025" w:type="dxa"/>
            <w:tcBorders>
              <w:top w:val="single" w:sz="4" w:space="0" w:color="auto"/>
              <w:left w:val="nil"/>
              <w:bottom w:val="single" w:sz="4" w:space="0" w:color="auto"/>
              <w:right w:val="nil"/>
            </w:tcBorders>
            <w:vAlign w:val="center"/>
          </w:tcPr>
          <w:p w14:paraId="47119CE1" w14:textId="77777777" w:rsidR="00966E2C" w:rsidRPr="00397EC7" w:rsidRDefault="00966E2C" w:rsidP="00643360">
            <w:pPr>
              <w:spacing w:after="0" w:line="240" w:lineRule="auto"/>
              <w:jc w:val="center"/>
              <w:rPr>
                <w:rFonts w:eastAsia="Calibri" w:cs="Arial"/>
                <w:b/>
                <w:sz w:val="18"/>
                <w:lang w:val="en-GB" w:eastAsia="fr-FR"/>
              </w:rPr>
            </w:pPr>
            <w:r w:rsidRPr="00397EC7">
              <w:rPr>
                <w:rFonts w:eastAsia="Calibri" w:cs="Arial"/>
                <w:b/>
                <w:sz w:val="18"/>
                <w:lang w:val="en-GB" w:eastAsia="fr-FR"/>
              </w:rPr>
              <w:t>ICD10 code</w:t>
            </w:r>
          </w:p>
        </w:tc>
        <w:tc>
          <w:tcPr>
            <w:tcW w:w="7260" w:type="dxa"/>
            <w:tcBorders>
              <w:top w:val="single" w:sz="4" w:space="0" w:color="auto"/>
              <w:left w:val="nil"/>
              <w:bottom w:val="single" w:sz="4" w:space="0" w:color="auto"/>
              <w:right w:val="nil"/>
            </w:tcBorders>
            <w:shd w:val="clear" w:color="auto" w:fill="auto"/>
            <w:noWrap/>
            <w:vAlign w:val="center"/>
          </w:tcPr>
          <w:p w14:paraId="09BC4BAB" w14:textId="77777777" w:rsidR="00966E2C" w:rsidRPr="00397EC7" w:rsidRDefault="00966E2C" w:rsidP="00643360">
            <w:pPr>
              <w:spacing w:after="0" w:line="240" w:lineRule="auto"/>
              <w:rPr>
                <w:rFonts w:eastAsia="Calibri" w:cs="Arial"/>
                <w:b/>
                <w:sz w:val="18"/>
                <w:lang w:val="en-GB" w:eastAsia="fr-FR"/>
              </w:rPr>
            </w:pPr>
            <w:r w:rsidRPr="00397EC7">
              <w:rPr>
                <w:rFonts w:eastAsia="Calibri" w:cs="Arial"/>
                <w:b/>
                <w:sz w:val="18"/>
                <w:lang w:val="en-GB" w:eastAsia="fr-FR"/>
              </w:rPr>
              <w:t>Wording</w:t>
            </w:r>
          </w:p>
        </w:tc>
      </w:tr>
      <w:tr w:rsidR="00966E2C" w:rsidRPr="00397EC7" w14:paraId="33FCF59D" w14:textId="77777777" w:rsidTr="00643360">
        <w:trPr>
          <w:trHeight w:val="170"/>
          <w:jc w:val="center"/>
        </w:trPr>
        <w:tc>
          <w:tcPr>
            <w:tcW w:w="8285" w:type="dxa"/>
            <w:gridSpan w:val="2"/>
            <w:tcBorders>
              <w:top w:val="dotted" w:sz="4" w:space="0" w:color="auto"/>
              <w:left w:val="nil"/>
              <w:right w:val="nil"/>
            </w:tcBorders>
            <w:vAlign w:val="center"/>
          </w:tcPr>
          <w:p w14:paraId="4538ED86" w14:textId="77777777" w:rsidR="00966E2C" w:rsidRPr="00397EC7" w:rsidRDefault="00966E2C" w:rsidP="00643360">
            <w:pPr>
              <w:spacing w:after="0" w:line="240" w:lineRule="auto"/>
              <w:jc w:val="left"/>
              <w:rPr>
                <w:rFonts w:eastAsia="Calibri" w:cs="Arial"/>
                <w:b/>
                <w:i/>
                <w:sz w:val="18"/>
                <w:lang w:val="en-GB" w:eastAsia="fr-FR"/>
              </w:rPr>
            </w:pPr>
            <w:r w:rsidRPr="00397EC7">
              <w:rPr>
                <w:rFonts w:eastAsia="Calibri" w:cs="Arial"/>
                <w:b/>
                <w:i/>
                <w:sz w:val="18"/>
                <w:lang w:val="en-GB" w:eastAsia="fr-FR"/>
              </w:rPr>
              <w:t>Cardiovascular adverse events</w:t>
            </w:r>
          </w:p>
        </w:tc>
      </w:tr>
      <w:tr w:rsidR="00966E2C" w:rsidRPr="00397EC7" w14:paraId="378AC96F" w14:textId="77777777" w:rsidTr="00643360">
        <w:trPr>
          <w:trHeight w:val="170"/>
          <w:jc w:val="center"/>
        </w:trPr>
        <w:tc>
          <w:tcPr>
            <w:tcW w:w="8285" w:type="dxa"/>
            <w:gridSpan w:val="2"/>
            <w:tcBorders>
              <w:left w:val="nil"/>
              <w:right w:val="nil"/>
            </w:tcBorders>
            <w:vAlign w:val="center"/>
          </w:tcPr>
          <w:p w14:paraId="0A6749E7" w14:textId="77777777" w:rsidR="00966E2C" w:rsidRPr="00397EC7" w:rsidRDefault="00966E2C" w:rsidP="00643360">
            <w:pPr>
              <w:spacing w:after="0" w:line="240" w:lineRule="auto"/>
              <w:jc w:val="left"/>
              <w:rPr>
                <w:rFonts w:eastAsia="Calibri" w:cs="Arial"/>
                <w:sz w:val="18"/>
                <w:u w:val="single"/>
                <w:lang w:val="en-GB" w:eastAsia="fr-FR"/>
              </w:rPr>
            </w:pPr>
            <w:r w:rsidRPr="00397EC7">
              <w:rPr>
                <w:rFonts w:eastAsia="Calibri" w:cs="Arial"/>
                <w:sz w:val="18"/>
                <w:u w:val="single"/>
                <w:lang w:val="en-GB" w:eastAsia="fr-FR"/>
              </w:rPr>
              <w:t>Shock</w:t>
            </w:r>
          </w:p>
        </w:tc>
      </w:tr>
      <w:tr w:rsidR="00966E2C" w:rsidRPr="00397EC7" w14:paraId="1A0F207F" w14:textId="77777777" w:rsidTr="00643360">
        <w:trPr>
          <w:trHeight w:val="170"/>
          <w:jc w:val="center"/>
        </w:trPr>
        <w:tc>
          <w:tcPr>
            <w:tcW w:w="1025" w:type="dxa"/>
          </w:tcPr>
          <w:p w14:paraId="625E68BC"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R57.0</w:t>
            </w:r>
          </w:p>
        </w:tc>
        <w:tc>
          <w:tcPr>
            <w:tcW w:w="7260" w:type="dxa"/>
            <w:tcBorders>
              <w:right w:val="nil"/>
            </w:tcBorders>
            <w:shd w:val="clear" w:color="auto" w:fill="auto"/>
            <w:noWrap/>
          </w:tcPr>
          <w:p w14:paraId="5AE4E417"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Cardiogenic shock</w:t>
            </w:r>
          </w:p>
        </w:tc>
      </w:tr>
      <w:tr w:rsidR="00966E2C" w:rsidRPr="00397EC7" w14:paraId="18072D64" w14:textId="77777777" w:rsidTr="00643360">
        <w:trPr>
          <w:trHeight w:val="170"/>
          <w:jc w:val="center"/>
        </w:trPr>
        <w:tc>
          <w:tcPr>
            <w:tcW w:w="1025" w:type="dxa"/>
          </w:tcPr>
          <w:p w14:paraId="515E6F51"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R57.1</w:t>
            </w:r>
          </w:p>
        </w:tc>
        <w:tc>
          <w:tcPr>
            <w:tcW w:w="7260" w:type="dxa"/>
            <w:tcBorders>
              <w:right w:val="nil"/>
            </w:tcBorders>
            <w:shd w:val="clear" w:color="auto" w:fill="auto"/>
            <w:noWrap/>
          </w:tcPr>
          <w:p w14:paraId="2EE165B2" w14:textId="77777777" w:rsidR="00966E2C" w:rsidRPr="00397EC7" w:rsidRDefault="00966E2C" w:rsidP="00643360">
            <w:pPr>
              <w:spacing w:after="0" w:line="240" w:lineRule="auto"/>
              <w:jc w:val="left"/>
              <w:rPr>
                <w:rFonts w:eastAsia="Calibri" w:cs="Arial"/>
                <w:sz w:val="18"/>
                <w:lang w:val="en-GB" w:eastAsia="fr-FR"/>
              </w:rPr>
            </w:pPr>
            <w:r w:rsidRPr="00397EC7">
              <w:rPr>
                <w:rFonts w:eastAsia="Calibri" w:cs="Arial"/>
                <w:sz w:val="18"/>
                <w:lang w:val="en-GB" w:eastAsia="fr-FR"/>
              </w:rPr>
              <w:t>Hypovolemic shock</w:t>
            </w:r>
          </w:p>
        </w:tc>
      </w:tr>
      <w:tr w:rsidR="00966E2C" w:rsidRPr="00397EC7" w14:paraId="7FC2CDBE" w14:textId="77777777" w:rsidTr="00643360">
        <w:trPr>
          <w:trHeight w:val="170"/>
          <w:jc w:val="center"/>
        </w:trPr>
        <w:tc>
          <w:tcPr>
            <w:tcW w:w="1025" w:type="dxa"/>
          </w:tcPr>
          <w:p w14:paraId="666512FE"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R57.9</w:t>
            </w:r>
          </w:p>
        </w:tc>
        <w:tc>
          <w:tcPr>
            <w:tcW w:w="7260" w:type="dxa"/>
            <w:tcBorders>
              <w:right w:val="nil"/>
            </w:tcBorders>
            <w:shd w:val="clear" w:color="auto" w:fill="auto"/>
            <w:noWrap/>
          </w:tcPr>
          <w:p w14:paraId="4E9686EB"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Shock, unspecified</w:t>
            </w:r>
          </w:p>
        </w:tc>
      </w:tr>
      <w:tr w:rsidR="00966E2C" w:rsidRPr="00397EC7" w14:paraId="358DCB10" w14:textId="77777777" w:rsidTr="00643360">
        <w:trPr>
          <w:trHeight w:val="170"/>
          <w:jc w:val="center"/>
        </w:trPr>
        <w:tc>
          <w:tcPr>
            <w:tcW w:w="8285" w:type="dxa"/>
            <w:gridSpan w:val="2"/>
            <w:tcBorders>
              <w:left w:val="nil"/>
              <w:right w:val="nil"/>
            </w:tcBorders>
            <w:vAlign w:val="bottom"/>
          </w:tcPr>
          <w:p w14:paraId="6F5BF332" w14:textId="77777777" w:rsidR="00966E2C" w:rsidRPr="00397EC7" w:rsidRDefault="00966E2C" w:rsidP="00643360">
            <w:pPr>
              <w:spacing w:after="0" w:line="240" w:lineRule="auto"/>
              <w:rPr>
                <w:rFonts w:eastAsia="Calibri" w:cs="Arial"/>
                <w:sz w:val="18"/>
                <w:u w:val="single"/>
                <w:lang w:val="en-GB" w:eastAsia="fr-FR"/>
              </w:rPr>
            </w:pPr>
            <w:r w:rsidRPr="00397EC7">
              <w:rPr>
                <w:rFonts w:eastAsia="Calibri" w:cs="Arial"/>
                <w:sz w:val="18"/>
                <w:u w:val="single"/>
                <w:lang w:val="en-GB" w:eastAsia="fr-FR"/>
              </w:rPr>
              <w:t>Myocardial infarction</w:t>
            </w:r>
          </w:p>
        </w:tc>
      </w:tr>
      <w:tr w:rsidR="00966E2C" w:rsidRPr="00397EC7" w14:paraId="218BBFBD" w14:textId="77777777" w:rsidTr="00643360">
        <w:trPr>
          <w:trHeight w:val="170"/>
          <w:jc w:val="center"/>
        </w:trPr>
        <w:tc>
          <w:tcPr>
            <w:tcW w:w="1025" w:type="dxa"/>
          </w:tcPr>
          <w:p w14:paraId="1BB3EF12"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I21</w:t>
            </w:r>
          </w:p>
        </w:tc>
        <w:tc>
          <w:tcPr>
            <w:tcW w:w="7260" w:type="dxa"/>
            <w:tcBorders>
              <w:right w:val="nil"/>
            </w:tcBorders>
            <w:shd w:val="clear" w:color="auto" w:fill="auto"/>
            <w:noWrap/>
          </w:tcPr>
          <w:p w14:paraId="60E7393D"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Acute myocardial infarction</w:t>
            </w:r>
          </w:p>
        </w:tc>
      </w:tr>
      <w:tr w:rsidR="00966E2C" w:rsidRPr="00397EC7" w14:paraId="5B6CFD12" w14:textId="77777777" w:rsidTr="00643360">
        <w:trPr>
          <w:trHeight w:val="170"/>
          <w:jc w:val="center"/>
        </w:trPr>
        <w:tc>
          <w:tcPr>
            <w:tcW w:w="1025" w:type="dxa"/>
          </w:tcPr>
          <w:p w14:paraId="094782B1"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I22</w:t>
            </w:r>
          </w:p>
        </w:tc>
        <w:tc>
          <w:tcPr>
            <w:tcW w:w="7260" w:type="dxa"/>
            <w:tcBorders>
              <w:right w:val="nil"/>
            </w:tcBorders>
            <w:shd w:val="clear" w:color="auto" w:fill="auto"/>
            <w:noWrap/>
          </w:tcPr>
          <w:p w14:paraId="176D694A"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Subsequent myocardial infarction</w:t>
            </w:r>
          </w:p>
        </w:tc>
      </w:tr>
      <w:tr w:rsidR="00966E2C" w:rsidRPr="00397EC7" w14:paraId="410D1A1A" w14:textId="77777777" w:rsidTr="00643360">
        <w:trPr>
          <w:trHeight w:val="170"/>
          <w:jc w:val="center"/>
        </w:trPr>
        <w:tc>
          <w:tcPr>
            <w:tcW w:w="8285" w:type="dxa"/>
            <w:gridSpan w:val="2"/>
            <w:tcBorders>
              <w:left w:val="nil"/>
              <w:right w:val="nil"/>
            </w:tcBorders>
            <w:vAlign w:val="center"/>
          </w:tcPr>
          <w:p w14:paraId="7F35766C" w14:textId="77777777" w:rsidR="00966E2C" w:rsidRPr="00397EC7" w:rsidRDefault="00966E2C" w:rsidP="00643360">
            <w:pPr>
              <w:spacing w:after="0" w:line="240" w:lineRule="auto"/>
              <w:rPr>
                <w:rFonts w:eastAsia="Calibri" w:cs="Arial"/>
                <w:sz w:val="18"/>
                <w:u w:val="single"/>
                <w:lang w:val="en-GB" w:eastAsia="fr-FR"/>
              </w:rPr>
            </w:pPr>
            <w:r w:rsidRPr="00397EC7">
              <w:rPr>
                <w:rFonts w:eastAsia="Calibri" w:cs="Arial"/>
                <w:sz w:val="18"/>
                <w:u w:val="single"/>
                <w:lang w:val="en-GB" w:eastAsia="fr-FR"/>
              </w:rPr>
              <w:t>Stroke</w:t>
            </w:r>
          </w:p>
        </w:tc>
      </w:tr>
      <w:tr w:rsidR="00966E2C" w:rsidRPr="00397EC7" w14:paraId="4E9EF10E" w14:textId="77777777" w:rsidTr="00643360">
        <w:trPr>
          <w:trHeight w:val="170"/>
          <w:jc w:val="center"/>
        </w:trPr>
        <w:tc>
          <w:tcPr>
            <w:tcW w:w="1025" w:type="dxa"/>
            <w:tcBorders>
              <w:left w:val="nil"/>
              <w:right w:val="nil"/>
            </w:tcBorders>
            <w:vAlign w:val="center"/>
          </w:tcPr>
          <w:p w14:paraId="2EAF1D81"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I63</w:t>
            </w:r>
          </w:p>
        </w:tc>
        <w:tc>
          <w:tcPr>
            <w:tcW w:w="7260" w:type="dxa"/>
            <w:tcBorders>
              <w:left w:val="nil"/>
              <w:right w:val="nil"/>
            </w:tcBorders>
            <w:shd w:val="clear" w:color="auto" w:fill="auto"/>
            <w:noWrap/>
          </w:tcPr>
          <w:p w14:paraId="0F0BB156"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Cerebral infarction</w:t>
            </w:r>
          </w:p>
        </w:tc>
      </w:tr>
      <w:tr w:rsidR="00966E2C" w:rsidRPr="00397EC7" w14:paraId="1CE7324A" w14:textId="77777777" w:rsidTr="00643360">
        <w:trPr>
          <w:trHeight w:val="170"/>
          <w:jc w:val="center"/>
        </w:trPr>
        <w:tc>
          <w:tcPr>
            <w:tcW w:w="1025" w:type="dxa"/>
            <w:tcBorders>
              <w:left w:val="nil"/>
              <w:right w:val="nil"/>
            </w:tcBorders>
            <w:vAlign w:val="center"/>
          </w:tcPr>
          <w:p w14:paraId="4292847F"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I64</w:t>
            </w:r>
          </w:p>
        </w:tc>
        <w:tc>
          <w:tcPr>
            <w:tcW w:w="7260" w:type="dxa"/>
            <w:tcBorders>
              <w:left w:val="nil"/>
              <w:right w:val="nil"/>
            </w:tcBorders>
            <w:shd w:val="clear" w:color="auto" w:fill="auto"/>
            <w:noWrap/>
          </w:tcPr>
          <w:p w14:paraId="09F1D0E2"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 xml:space="preserve">Stroke, not specified as </w:t>
            </w:r>
            <w:proofErr w:type="spellStart"/>
            <w:r w:rsidRPr="00397EC7">
              <w:rPr>
                <w:rFonts w:eastAsia="Calibri" w:cs="Arial"/>
                <w:sz w:val="18"/>
                <w:lang w:val="en-GB" w:eastAsia="fr-FR"/>
              </w:rPr>
              <w:t>hemorrhage</w:t>
            </w:r>
            <w:proofErr w:type="spellEnd"/>
            <w:r w:rsidRPr="00397EC7">
              <w:rPr>
                <w:rFonts w:eastAsia="Calibri" w:cs="Arial"/>
                <w:sz w:val="18"/>
                <w:lang w:val="en-GB" w:eastAsia="fr-FR"/>
              </w:rPr>
              <w:t xml:space="preserve"> or infarction</w:t>
            </w:r>
          </w:p>
        </w:tc>
      </w:tr>
      <w:tr w:rsidR="00966E2C" w:rsidRPr="00397EC7" w14:paraId="2BDA6BB2" w14:textId="77777777" w:rsidTr="00643360">
        <w:trPr>
          <w:trHeight w:val="170"/>
          <w:jc w:val="center"/>
        </w:trPr>
        <w:tc>
          <w:tcPr>
            <w:tcW w:w="8285" w:type="dxa"/>
            <w:gridSpan w:val="2"/>
            <w:tcBorders>
              <w:left w:val="nil"/>
              <w:right w:val="nil"/>
            </w:tcBorders>
            <w:vAlign w:val="center"/>
          </w:tcPr>
          <w:p w14:paraId="6C80FF98" w14:textId="77777777" w:rsidR="00966E2C" w:rsidRPr="00397EC7" w:rsidRDefault="00966E2C" w:rsidP="00643360">
            <w:pPr>
              <w:spacing w:after="0" w:line="240" w:lineRule="auto"/>
              <w:rPr>
                <w:rFonts w:eastAsia="Calibri" w:cs="Arial"/>
                <w:sz w:val="18"/>
                <w:u w:val="single"/>
                <w:lang w:val="en-GB" w:eastAsia="fr-FR"/>
              </w:rPr>
            </w:pPr>
            <w:r w:rsidRPr="00397EC7">
              <w:rPr>
                <w:rFonts w:eastAsia="Calibri" w:cs="Arial"/>
                <w:sz w:val="18"/>
                <w:u w:val="single"/>
                <w:lang w:val="en-GB" w:eastAsia="fr-FR"/>
              </w:rPr>
              <w:t>Pulmonary embolism</w:t>
            </w:r>
          </w:p>
        </w:tc>
      </w:tr>
      <w:tr w:rsidR="00966E2C" w:rsidRPr="00397EC7" w14:paraId="53AB034E" w14:textId="77777777" w:rsidTr="00643360">
        <w:trPr>
          <w:trHeight w:val="170"/>
          <w:jc w:val="center"/>
        </w:trPr>
        <w:tc>
          <w:tcPr>
            <w:tcW w:w="1025" w:type="dxa"/>
            <w:tcBorders>
              <w:left w:val="nil"/>
              <w:bottom w:val="dotted" w:sz="4" w:space="0" w:color="auto"/>
              <w:right w:val="nil"/>
            </w:tcBorders>
            <w:vAlign w:val="center"/>
          </w:tcPr>
          <w:p w14:paraId="756260B4"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I26</w:t>
            </w:r>
          </w:p>
        </w:tc>
        <w:tc>
          <w:tcPr>
            <w:tcW w:w="7260" w:type="dxa"/>
            <w:tcBorders>
              <w:left w:val="nil"/>
              <w:bottom w:val="dotted" w:sz="4" w:space="0" w:color="auto"/>
              <w:right w:val="nil"/>
            </w:tcBorders>
            <w:shd w:val="clear" w:color="auto" w:fill="auto"/>
            <w:noWrap/>
          </w:tcPr>
          <w:p w14:paraId="5A24DFD0"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Pulmonary embolism</w:t>
            </w:r>
          </w:p>
        </w:tc>
      </w:tr>
      <w:tr w:rsidR="00966E2C" w:rsidRPr="00397EC7" w14:paraId="4977102E" w14:textId="77777777" w:rsidTr="00643360">
        <w:trPr>
          <w:trHeight w:val="170"/>
          <w:jc w:val="center"/>
        </w:trPr>
        <w:tc>
          <w:tcPr>
            <w:tcW w:w="8285" w:type="dxa"/>
            <w:gridSpan w:val="2"/>
            <w:tcBorders>
              <w:top w:val="dotted" w:sz="4" w:space="0" w:color="auto"/>
              <w:left w:val="nil"/>
              <w:right w:val="nil"/>
            </w:tcBorders>
            <w:vAlign w:val="center"/>
          </w:tcPr>
          <w:p w14:paraId="62AAB1E2" w14:textId="77777777" w:rsidR="00966E2C" w:rsidRPr="00397EC7" w:rsidRDefault="00966E2C" w:rsidP="00643360">
            <w:pPr>
              <w:spacing w:after="0" w:line="240" w:lineRule="auto"/>
              <w:rPr>
                <w:rFonts w:eastAsia="Calibri" w:cs="Arial"/>
                <w:b/>
                <w:i/>
                <w:sz w:val="18"/>
                <w:lang w:val="en-GB" w:eastAsia="fr-FR"/>
              </w:rPr>
            </w:pPr>
            <w:r w:rsidRPr="00397EC7">
              <w:rPr>
                <w:rFonts w:eastAsia="Calibri" w:cs="Arial"/>
                <w:b/>
                <w:i/>
                <w:sz w:val="18"/>
                <w:lang w:val="en-GB" w:eastAsia="fr-FR"/>
              </w:rPr>
              <w:t>Acute renal failure</w:t>
            </w:r>
          </w:p>
        </w:tc>
      </w:tr>
      <w:tr w:rsidR="00966E2C" w:rsidRPr="00397EC7" w14:paraId="0EB69ACD" w14:textId="77777777" w:rsidTr="00643360">
        <w:trPr>
          <w:trHeight w:val="170"/>
          <w:jc w:val="center"/>
        </w:trPr>
        <w:tc>
          <w:tcPr>
            <w:tcW w:w="1025" w:type="dxa"/>
            <w:tcBorders>
              <w:left w:val="nil"/>
              <w:bottom w:val="dotted" w:sz="4" w:space="0" w:color="auto"/>
              <w:right w:val="nil"/>
            </w:tcBorders>
            <w:vAlign w:val="center"/>
          </w:tcPr>
          <w:p w14:paraId="77B48FD2"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N17</w:t>
            </w:r>
          </w:p>
        </w:tc>
        <w:tc>
          <w:tcPr>
            <w:tcW w:w="7260" w:type="dxa"/>
            <w:tcBorders>
              <w:left w:val="nil"/>
              <w:bottom w:val="dotted" w:sz="4" w:space="0" w:color="auto"/>
              <w:right w:val="nil"/>
            </w:tcBorders>
            <w:shd w:val="clear" w:color="auto" w:fill="auto"/>
            <w:noWrap/>
          </w:tcPr>
          <w:p w14:paraId="64FE66B2"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Acute renal failure</w:t>
            </w:r>
          </w:p>
        </w:tc>
      </w:tr>
      <w:tr w:rsidR="00966E2C" w:rsidRPr="00397EC7" w14:paraId="2F2C21FA" w14:textId="77777777" w:rsidTr="00643360">
        <w:trPr>
          <w:trHeight w:val="170"/>
          <w:jc w:val="center"/>
        </w:trPr>
        <w:tc>
          <w:tcPr>
            <w:tcW w:w="8285" w:type="dxa"/>
            <w:gridSpan w:val="2"/>
            <w:tcBorders>
              <w:top w:val="dotted" w:sz="4" w:space="0" w:color="auto"/>
              <w:left w:val="nil"/>
              <w:right w:val="nil"/>
            </w:tcBorders>
            <w:vAlign w:val="center"/>
          </w:tcPr>
          <w:p w14:paraId="0E5D5FAD" w14:textId="77777777" w:rsidR="00966E2C" w:rsidRPr="00397EC7" w:rsidRDefault="00966E2C" w:rsidP="00643360">
            <w:pPr>
              <w:spacing w:after="0" w:line="240" w:lineRule="auto"/>
              <w:rPr>
                <w:rFonts w:eastAsia="Calibri" w:cs="Arial"/>
                <w:b/>
                <w:i/>
                <w:sz w:val="18"/>
                <w:lang w:val="en-GB" w:eastAsia="fr-FR"/>
              </w:rPr>
            </w:pPr>
            <w:r w:rsidRPr="00397EC7">
              <w:rPr>
                <w:rFonts w:eastAsia="Calibri" w:cs="Arial"/>
                <w:b/>
                <w:i/>
                <w:sz w:val="18"/>
                <w:lang w:val="en-GB" w:eastAsia="fr-FR"/>
              </w:rPr>
              <w:t>Urolithiasis</w:t>
            </w:r>
          </w:p>
        </w:tc>
      </w:tr>
      <w:tr w:rsidR="00966E2C" w:rsidRPr="00397EC7" w14:paraId="03AE2093" w14:textId="77777777" w:rsidTr="00643360">
        <w:trPr>
          <w:trHeight w:val="170"/>
          <w:jc w:val="center"/>
        </w:trPr>
        <w:tc>
          <w:tcPr>
            <w:tcW w:w="1025" w:type="dxa"/>
            <w:tcBorders>
              <w:left w:val="nil"/>
              <w:right w:val="nil"/>
            </w:tcBorders>
            <w:vAlign w:val="center"/>
          </w:tcPr>
          <w:p w14:paraId="4B203B27"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N20</w:t>
            </w:r>
          </w:p>
        </w:tc>
        <w:tc>
          <w:tcPr>
            <w:tcW w:w="7260" w:type="dxa"/>
            <w:tcBorders>
              <w:left w:val="nil"/>
              <w:right w:val="nil"/>
            </w:tcBorders>
            <w:shd w:val="clear" w:color="auto" w:fill="auto"/>
            <w:noWrap/>
          </w:tcPr>
          <w:p w14:paraId="2E8A1E03"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Calculus of kidney and ureter</w:t>
            </w:r>
          </w:p>
        </w:tc>
      </w:tr>
      <w:tr w:rsidR="00966E2C" w:rsidRPr="00397EC7" w14:paraId="7A7F6891" w14:textId="77777777" w:rsidTr="00643360">
        <w:trPr>
          <w:trHeight w:val="170"/>
          <w:jc w:val="center"/>
        </w:trPr>
        <w:tc>
          <w:tcPr>
            <w:tcW w:w="1025" w:type="dxa"/>
            <w:tcBorders>
              <w:left w:val="nil"/>
              <w:right w:val="nil"/>
            </w:tcBorders>
            <w:vAlign w:val="center"/>
          </w:tcPr>
          <w:p w14:paraId="4A2465D1"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N21</w:t>
            </w:r>
          </w:p>
        </w:tc>
        <w:tc>
          <w:tcPr>
            <w:tcW w:w="7260" w:type="dxa"/>
            <w:tcBorders>
              <w:left w:val="nil"/>
              <w:right w:val="nil"/>
            </w:tcBorders>
            <w:shd w:val="clear" w:color="auto" w:fill="auto"/>
            <w:noWrap/>
          </w:tcPr>
          <w:p w14:paraId="7162E887"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Calculus of lower urinary tract</w:t>
            </w:r>
          </w:p>
        </w:tc>
      </w:tr>
      <w:tr w:rsidR="00966E2C" w:rsidRPr="00397EC7" w14:paraId="524AC568" w14:textId="77777777" w:rsidTr="00643360">
        <w:trPr>
          <w:trHeight w:val="170"/>
          <w:jc w:val="center"/>
        </w:trPr>
        <w:tc>
          <w:tcPr>
            <w:tcW w:w="1025" w:type="dxa"/>
            <w:tcBorders>
              <w:left w:val="nil"/>
              <w:right w:val="nil"/>
            </w:tcBorders>
            <w:vAlign w:val="center"/>
          </w:tcPr>
          <w:p w14:paraId="04DB87AD"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N22</w:t>
            </w:r>
          </w:p>
        </w:tc>
        <w:tc>
          <w:tcPr>
            <w:tcW w:w="7260" w:type="dxa"/>
            <w:tcBorders>
              <w:left w:val="nil"/>
              <w:right w:val="nil"/>
            </w:tcBorders>
            <w:shd w:val="clear" w:color="auto" w:fill="auto"/>
            <w:noWrap/>
          </w:tcPr>
          <w:p w14:paraId="74F0BB35"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Calculus of urinary tract in diseases classified elsewhere</w:t>
            </w:r>
          </w:p>
        </w:tc>
      </w:tr>
      <w:tr w:rsidR="00966E2C" w:rsidRPr="00397EC7" w14:paraId="235DC078" w14:textId="77777777" w:rsidTr="00643360">
        <w:trPr>
          <w:trHeight w:val="170"/>
          <w:jc w:val="center"/>
        </w:trPr>
        <w:tc>
          <w:tcPr>
            <w:tcW w:w="1025" w:type="dxa"/>
            <w:tcBorders>
              <w:left w:val="nil"/>
              <w:bottom w:val="single" w:sz="4" w:space="0" w:color="auto"/>
              <w:right w:val="nil"/>
            </w:tcBorders>
            <w:vAlign w:val="center"/>
          </w:tcPr>
          <w:p w14:paraId="19840904" w14:textId="77777777" w:rsidR="00966E2C" w:rsidRPr="00397EC7" w:rsidRDefault="00966E2C" w:rsidP="00643360">
            <w:pPr>
              <w:spacing w:after="0" w:line="240" w:lineRule="auto"/>
              <w:jc w:val="center"/>
              <w:rPr>
                <w:rFonts w:eastAsia="Calibri" w:cs="Arial"/>
                <w:sz w:val="18"/>
                <w:lang w:val="en-GB" w:eastAsia="fr-FR"/>
              </w:rPr>
            </w:pPr>
            <w:r w:rsidRPr="00397EC7">
              <w:rPr>
                <w:rFonts w:eastAsia="Calibri" w:cs="Arial"/>
                <w:sz w:val="18"/>
                <w:lang w:val="en-GB" w:eastAsia="fr-FR"/>
              </w:rPr>
              <w:t>N23</w:t>
            </w:r>
          </w:p>
        </w:tc>
        <w:tc>
          <w:tcPr>
            <w:tcW w:w="7260" w:type="dxa"/>
            <w:tcBorders>
              <w:left w:val="nil"/>
              <w:bottom w:val="single" w:sz="4" w:space="0" w:color="auto"/>
              <w:right w:val="nil"/>
            </w:tcBorders>
            <w:shd w:val="clear" w:color="auto" w:fill="auto"/>
            <w:noWrap/>
          </w:tcPr>
          <w:p w14:paraId="795A96F2" w14:textId="77777777" w:rsidR="00966E2C" w:rsidRPr="00397EC7" w:rsidRDefault="00966E2C" w:rsidP="00643360">
            <w:pPr>
              <w:spacing w:after="0" w:line="240" w:lineRule="auto"/>
              <w:rPr>
                <w:rFonts w:eastAsia="Calibri" w:cs="Arial"/>
                <w:sz w:val="18"/>
                <w:lang w:val="en-GB" w:eastAsia="fr-FR"/>
              </w:rPr>
            </w:pPr>
            <w:r w:rsidRPr="00397EC7">
              <w:rPr>
                <w:rFonts w:eastAsia="Calibri" w:cs="Arial"/>
                <w:sz w:val="18"/>
                <w:lang w:val="en-GB" w:eastAsia="fr-FR"/>
              </w:rPr>
              <w:t>Unspecified renal colic</w:t>
            </w:r>
          </w:p>
        </w:tc>
      </w:tr>
    </w:tbl>
    <w:p w14:paraId="5EAD8D7D" w14:textId="77777777" w:rsidR="00966E2C" w:rsidRPr="00397EC7" w:rsidRDefault="00966E2C" w:rsidP="00966E2C">
      <w:pPr>
        <w:spacing w:after="0" w:line="240" w:lineRule="auto"/>
        <w:rPr>
          <w:rFonts w:cs="Arial"/>
          <w:sz w:val="16"/>
          <w:szCs w:val="20"/>
          <w:lang w:val="en-GB" w:eastAsia="fr-FR"/>
        </w:rPr>
      </w:pPr>
      <w:r w:rsidRPr="00397EC7">
        <w:rPr>
          <w:rFonts w:cs="Arial"/>
          <w:sz w:val="16"/>
          <w:szCs w:val="20"/>
          <w:lang w:val="en-GB" w:eastAsia="fr-FR"/>
        </w:rPr>
        <w:t xml:space="preserve">ICD10: International Statistical Classification of Diseases and Related Health Problems, Tenth Revision. </w:t>
      </w:r>
    </w:p>
    <w:p w14:paraId="34210D6D" w14:textId="77777777" w:rsidR="00814A7A" w:rsidRPr="00397EC7" w:rsidRDefault="00814A7A">
      <w:pPr>
        <w:spacing w:line="276" w:lineRule="auto"/>
        <w:jc w:val="left"/>
        <w:rPr>
          <w:rStyle w:val="Titredulivre"/>
          <w:rFonts w:cs="Arial"/>
          <w:b/>
          <w:bCs/>
          <w:lang w:val="en-GB"/>
        </w:rPr>
      </w:pPr>
      <w:r w:rsidRPr="00397EC7">
        <w:rPr>
          <w:rStyle w:val="Titredulivre"/>
          <w:rFonts w:cs="Arial"/>
          <w:b/>
          <w:bCs/>
          <w:lang w:val="en-GB"/>
        </w:rPr>
        <w:br w:type="page"/>
      </w:r>
    </w:p>
    <w:p w14:paraId="16CFDC49" w14:textId="51AB308C" w:rsidR="00814A7A" w:rsidRPr="00397EC7" w:rsidRDefault="00A6091F" w:rsidP="00814A7A">
      <w:pPr>
        <w:pStyle w:val="Lgende"/>
        <w:spacing w:before="240"/>
        <w:rPr>
          <w:rFonts w:cs="Arial"/>
          <w:sz w:val="20"/>
          <w:lang w:val="en-GB"/>
        </w:rPr>
      </w:pPr>
      <w:r w:rsidRPr="00397EC7">
        <w:rPr>
          <w:rStyle w:val="Titredulivre"/>
          <w:rFonts w:cs="Times New Roman"/>
          <w:lang w:val="en-GB"/>
        </w:rPr>
        <w:lastRenderedPageBreak/>
        <w:t xml:space="preserve">Supplemental Table </w:t>
      </w:r>
      <w:r w:rsidR="00814A7A" w:rsidRPr="00397EC7">
        <w:rPr>
          <w:rFonts w:cs="Arial"/>
          <w:sz w:val="20"/>
          <w:lang w:val="en-GB"/>
        </w:rPr>
        <w:fldChar w:fldCharType="begin"/>
      </w:r>
      <w:r w:rsidR="00814A7A" w:rsidRPr="00397EC7">
        <w:rPr>
          <w:rFonts w:cs="Arial"/>
          <w:sz w:val="20"/>
          <w:lang w:val="en-GB"/>
        </w:rPr>
        <w:instrText xml:space="preserve"> SEQ Supplementary_table \* ARABIC </w:instrText>
      </w:r>
      <w:r w:rsidR="00814A7A" w:rsidRPr="00397EC7">
        <w:rPr>
          <w:rFonts w:cs="Arial"/>
          <w:sz w:val="20"/>
          <w:lang w:val="en-GB"/>
        </w:rPr>
        <w:fldChar w:fldCharType="separate"/>
      </w:r>
      <w:r w:rsidR="00750E24" w:rsidRPr="00397EC7">
        <w:rPr>
          <w:rFonts w:cs="Arial"/>
          <w:sz w:val="20"/>
          <w:lang w:val="en-GB"/>
        </w:rPr>
        <w:t>4</w:t>
      </w:r>
      <w:r w:rsidR="00814A7A" w:rsidRPr="00397EC7">
        <w:rPr>
          <w:rFonts w:cs="Arial"/>
          <w:sz w:val="20"/>
          <w:lang w:val="en-GB"/>
        </w:rPr>
        <w:fldChar w:fldCharType="end"/>
      </w:r>
      <w:r w:rsidR="004725C8" w:rsidRPr="00397EC7">
        <w:rPr>
          <w:rFonts w:cs="Arial"/>
          <w:sz w:val="20"/>
          <w:lang w:val="en-GB"/>
        </w:rPr>
        <w:t>a</w:t>
      </w:r>
      <w:r w:rsidR="00814A7A" w:rsidRPr="00397EC7">
        <w:rPr>
          <w:rFonts w:cs="Arial"/>
          <w:sz w:val="20"/>
          <w:lang w:val="en-GB"/>
        </w:rPr>
        <w:t>: Standardized incidence ratios (SIRs) of serious adverse events after colonoscopy</w:t>
      </w:r>
      <w:r w:rsidR="00DC3416">
        <w:rPr>
          <w:rFonts w:cs="Arial"/>
          <w:sz w:val="20"/>
          <w:lang w:val="en-GB"/>
        </w:rPr>
        <w:t xml:space="preserve"> </w:t>
      </w:r>
      <w:r w:rsidR="00DC3416" w:rsidRPr="00DC3416">
        <w:rPr>
          <w:rFonts w:cs="Arial"/>
          <w:sz w:val="20"/>
          <w:lang w:val="en-GB"/>
        </w:rPr>
        <w:t>(n=4,088,799)</w:t>
      </w:r>
      <w:r w:rsidR="00814A7A" w:rsidRPr="00397EC7">
        <w:rPr>
          <w:rFonts w:cs="Arial"/>
          <w:sz w:val="20"/>
          <w:lang w:val="en-GB"/>
        </w:rPr>
        <w:t>.</w:t>
      </w:r>
    </w:p>
    <w:tbl>
      <w:tblPr>
        <w:tblW w:w="5189" w:type="dxa"/>
        <w:jc w:val="center"/>
        <w:tblCellMar>
          <w:left w:w="70" w:type="dxa"/>
          <w:right w:w="70" w:type="dxa"/>
        </w:tblCellMar>
        <w:tblLook w:val="04A0" w:firstRow="1" w:lastRow="0" w:firstColumn="1" w:lastColumn="0" w:noHBand="0" w:noVBand="1"/>
      </w:tblPr>
      <w:tblGrid>
        <w:gridCol w:w="3261"/>
        <w:gridCol w:w="851"/>
        <w:gridCol w:w="1077"/>
      </w:tblGrid>
      <w:tr w:rsidR="00814A7A" w:rsidRPr="00397EC7" w14:paraId="109E618A" w14:textId="77777777" w:rsidTr="00814A7A">
        <w:trPr>
          <w:trHeight w:val="227"/>
          <w:jc w:val="center"/>
        </w:trPr>
        <w:tc>
          <w:tcPr>
            <w:tcW w:w="3261" w:type="dxa"/>
            <w:tcBorders>
              <w:top w:val="single" w:sz="4" w:space="0" w:color="auto"/>
              <w:left w:val="nil"/>
              <w:bottom w:val="single" w:sz="4" w:space="0" w:color="auto"/>
              <w:right w:val="nil"/>
            </w:tcBorders>
            <w:shd w:val="clear" w:color="auto" w:fill="auto"/>
            <w:noWrap/>
            <w:vAlign w:val="bottom"/>
            <w:hideMark/>
          </w:tcPr>
          <w:p w14:paraId="3F428954" w14:textId="77777777" w:rsidR="00814A7A" w:rsidRPr="00397EC7" w:rsidRDefault="00814A7A" w:rsidP="00DB5008">
            <w:pPr>
              <w:spacing w:after="0" w:line="240" w:lineRule="auto"/>
              <w:jc w:val="left"/>
              <w:rPr>
                <w:rFonts w:eastAsia="Calibri" w:cs="Arial"/>
                <w:sz w:val="18"/>
                <w:lang w:val="en-GB" w:eastAsia="fr-FR"/>
              </w:rPr>
            </w:pPr>
            <w:r w:rsidRPr="00397EC7">
              <w:rPr>
                <w:rFonts w:eastAsia="Calibri" w:cs="Arial"/>
                <w:sz w:val="18"/>
                <w:lang w:val="en-GB" w:eastAsia="fr-FR"/>
              </w:rPr>
              <w:t> </w:t>
            </w:r>
          </w:p>
        </w:tc>
        <w:tc>
          <w:tcPr>
            <w:tcW w:w="851" w:type="dxa"/>
            <w:tcBorders>
              <w:top w:val="single" w:sz="4" w:space="0" w:color="auto"/>
              <w:left w:val="nil"/>
              <w:bottom w:val="single" w:sz="4" w:space="0" w:color="auto"/>
              <w:right w:val="nil"/>
            </w:tcBorders>
            <w:shd w:val="clear" w:color="auto" w:fill="auto"/>
            <w:noWrap/>
            <w:vAlign w:val="bottom"/>
            <w:hideMark/>
          </w:tcPr>
          <w:p w14:paraId="769B26D1" w14:textId="77777777" w:rsidR="00814A7A" w:rsidRPr="00397EC7" w:rsidRDefault="00814A7A" w:rsidP="00DB5008">
            <w:pPr>
              <w:spacing w:after="0" w:line="240" w:lineRule="auto"/>
              <w:jc w:val="center"/>
              <w:rPr>
                <w:rFonts w:eastAsia="Calibri" w:cs="Arial"/>
                <w:b/>
                <w:sz w:val="18"/>
                <w:lang w:val="en-GB" w:eastAsia="fr-FR"/>
              </w:rPr>
            </w:pPr>
            <w:r w:rsidRPr="00397EC7">
              <w:rPr>
                <w:rFonts w:eastAsia="Calibri" w:cs="Arial"/>
                <w:b/>
                <w:sz w:val="18"/>
                <w:lang w:val="en-GB" w:eastAsia="fr-FR"/>
              </w:rPr>
              <w:t>SIR</w:t>
            </w:r>
          </w:p>
        </w:tc>
        <w:tc>
          <w:tcPr>
            <w:tcW w:w="1077" w:type="dxa"/>
            <w:tcBorders>
              <w:top w:val="single" w:sz="4" w:space="0" w:color="auto"/>
              <w:left w:val="nil"/>
              <w:bottom w:val="single" w:sz="4" w:space="0" w:color="auto"/>
            </w:tcBorders>
            <w:shd w:val="clear" w:color="auto" w:fill="auto"/>
            <w:noWrap/>
            <w:vAlign w:val="bottom"/>
            <w:hideMark/>
          </w:tcPr>
          <w:p w14:paraId="392D0ED2" w14:textId="77777777" w:rsidR="00814A7A" w:rsidRPr="00397EC7" w:rsidRDefault="00814A7A" w:rsidP="00DB5008">
            <w:pPr>
              <w:spacing w:after="0" w:line="240" w:lineRule="auto"/>
              <w:jc w:val="center"/>
              <w:rPr>
                <w:rFonts w:eastAsia="Calibri" w:cs="Arial"/>
                <w:b/>
                <w:sz w:val="18"/>
                <w:lang w:val="en-GB" w:eastAsia="fr-FR"/>
              </w:rPr>
            </w:pPr>
            <w:r w:rsidRPr="00397EC7">
              <w:rPr>
                <w:rFonts w:eastAsia="Calibri" w:cs="Arial"/>
                <w:b/>
                <w:sz w:val="18"/>
                <w:lang w:val="en-GB" w:eastAsia="fr-FR"/>
              </w:rPr>
              <w:t>95% CI</w:t>
            </w:r>
          </w:p>
        </w:tc>
      </w:tr>
      <w:tr w:rsidR="00814A7A" w:rsidRPr="00397EC7" w14:paraId="52E2902B" w14:textId="77777777" w:rsidTr="00814A7A">
        <w:trPr>
          <w:trHeight w:val="227"/>
          <w:jc w:val="center"/>
        </w:trPr>
        <w:tc>
          <w:tcPr>
            <w:tcW w:w="3261" w:type="dxa"/>
            <w:tcBorders>
              <w:top w:val="nil"/>
              <w:left w:val="nil"/>
              <w:bottom w:val="nil"/>
              <w:right w:val="nil"/>
            </w:tcBorders>
            <w:shd w:val="clear" w:color="auto" w:fill="auto"/>
            <w:noWrap/>
            <w:vAlign w:val="bottom"/>
            <w:hideMark/>
          </w:tcPr>
          <w:p w14:paraId="2710970B" w14:textId="77777777" w:rsidR="00814A7A" w:rsidRPr="00397EC7" w:rsidRDefault="00814A7A" w:rsidP="00DB5008">
            <w:pPr>
              <w:spacing w:after="0" w:line="240" w:lineRule="auto"/>
              <w:jc w:val="left"/>
              <w:rPr>
                <w:rFonts w:eastAsia="Calibri" w:cs="Arial"/>
                <w:b/>
                <w:sz w:val="18"/>
                <w:lang w:val="en-GB" w:eastAsia="fr-FR"/>
              </w:rPr>
            </w:pPr>
            <w:r w:rsidRPr="00397EC7">
              <w:rPr>
                <w:rFonts w:eastAsia="Calibri" w:cs="Arial"/>
                <w:b/>
                <w:sz w:val="18"/>
                <w:lang w:val="en-GB" w:eastAsia="fr-FR"/>
              </w:rPr>
              <w:t>Cardiovascular adverse events</w:t>
            </w:r>
          </w:p>
        </w:tc>
        <w:tc>
          <w:tcPr>
            <w:tcW w:w="851" w:type="dxa"/>
            <w:tcBorders>
              <w:top w:val="nil"/>
              <w:left w:val="nil"/>
              <w:bottom w:val="nil"/>
              <w:right w:val="nil"/>
            </w:tcBorders>
            <w:shd w:val="clear" w:color="auto" w:fill="auto"/>
            <w:noWrap/>
            <w:vAlign w:val="bottom"/>
          </w:tcPr>
          <w:p w14:paraId="427F4568" w14:textId="77777777" w:rsidR="00814A7A" w:rsidRPr="00397EC7" w:rsidRDefault="00814A7A" w:rsidP="00DB5008">
            <w:pPr>
              <w:spacing w:after="0" w:line="240" w:lineRule="auto"/>
              <w:jc w:val="center"/>
              <w:rPr>
                <w:rFonts w:eastAsia="Calibri" w:cs="Arial"/>
                <w:sz w:val="18"/>
                <w:lang w:val="en-GB" w:eastAsia="fr-FR"/>
              </w:rPr>
            </w:pPr>
          </w:p>
        </w:tc>
        <w:tc>
          <w:tcPr>
            <w:tcW w:w="1077" w:type="dxa"/>
            <w:tcBorders>
              <w:top w:val="nil"/>
              <w:left w:val="nil"/>
              <w:bottom w:val="nil"/>
            </w:tcBorders>
            <w:shd w:val="clear" w:color="auto" w:fill="auto"/>
            <w:noWrap/>
            <w:vAlign w:val="bottom"/>
          </w:tcPr>
          <w:p w14:paraId="27967A67" w14:textId="77777777" w:rsidR="00814A7A" w:rsidRPr="00397EC7" w:rsidRDefault="00814A7A" w:rsidP="00DB5008">
            <w:pPr>
              <w:spacing w:after="0" w:line="240" w:lineRule="auto"/>
              <w:jc w:val="center"/>
              <w:rPr>
                <w:rFonts w:eastAsia="Calibri" w:cs="Arial"/>
                <w:sz w:val="18"/>
                <w:lang w:val="en-GB" w:eastAsia="fr-FR"/>
              </w:rPr>
            </w:pPr>
          </w:p>
        </w:tc>
      </w:tr>
      <w:tr w:rsidR="00814A7A" w:rsidRPr="00397EC7" w14:paraId="5C101AF8" w14:textId="77777777" w:rsidTr="00814A7A">
        <w:trPr>
          <w:trHeight w:val="227"/>
          <w:jc w:val="center"/>
        </w:trPr>
        <w:tc>
          <w:tcPr>
            <w:tcW w:w="3261" w:type="dxa"/>
            <w:tcBorders>
              <w:top w:val="nil"/>
              <w:left w:val="nil"/>
              <w:bottom w:val="nil"/>
              <w:right w:val="nil"/>
            </w:tcBorders>
            <w:shd w:val="clear" w:color="auto" w:fill="auto"/>
            <w:noWrap/>
            <w:vAlign w:val="bottom"/>
            <w:hideMark/>
          </w:tcPr>
          <w:p w14:paraId="58C197CA" w14:textId="77777777" w:rsidR="00814A7A" w:rsidRPr="00397EC7" w:rsidRDefault="00814A7A" w:rsidP="00DB5008">
            <w:pPr>
              <w:spacing w:after="0" w:line="240" w:lineRule="auto"/>
              <w:jc w:val="left"/>
              <w:rPr>
                <w:rFonts w:eastAsia="Calibri" w:cs="Arial"/>
                <w:sz w:val="18"/>
                <w:lang w:val="en-GB" w:eastAsia="fr-FR"/>
              </w:rPr>
            </w:pPr>
            <w:r w:rsidRPr="00397EC7">
              <w:rPr>
                <w:rFonts w:eastAsia="Calibri" w:cs="Arial"/>
                <w:sz w:val="18"/>
                <w:lang w:val="en-GB" w:eastAsia="fr-FR"/>
              </w:rPr>
              <w:t xml:space="preserve">  shock</w:t>
            </w:r>
          </w:p>
        </w:tc>
        <w:tc>
          <w:tcPr>
            <w:tcW w:w="851" w:type="dxa"/>
            <w:tcBorders>
              <w:top w:val="nil"/>
              <w:left w:val="nil"/>
              <w:bottom w:val="nil"/>
              <w:right w:val="nil"/>
            </w:tcBorders>
            <w:shd w:val="clear" w:color="auto" w:fill="auto"/>
            <w:noWrap/>
            <w:vAlign w:val="bottom"/>
          </w:tcPr>
          <w:p w14:paraId="15E8F5E1" w14:textId="77777777" w:rsidR="00814A7A" w:rsidRPr="00397EC7" w:rsidRDefault="00814A7A" w:rsidP="00DB5008">
            <w:pPr>
              <w:spacing w:after="0" w:line="240" w:lineRule="auto"/>
              <w:jc w:val="center"/>
              <w:rPr>
                <w:rFonts w:eastAsia="Calibri" w:cs="Arial"/>
                <w:sz w:val="18"/>
                <w:lang w:val="en-GB" w:eastAsia="fr-FR"/>
              </w:rPr>
            </w:pPr>
            <w:r w:rsidRPr="00397EC7">
              <w:rPr>
                <w:rFonts w:eastAsia="Calibri" w:cs="Arial"/>
                <w:sz w:val="18"/>
                <w:lang w:val="en-GB" w:eastAsia="fr-FR"/>
              </w:rPr>
              <w:t>15.8</w:t>
            </w:r>
          </w:p>
        </w:tc>
        <w:tc>
          <w:tcPr>
            <w:tcW w:w="1077" w:type="dxa"/>
            <w:tcBorders>
              <w:top w:val="nil"/>
              <w:left w:val="nil"/>
              <w:bottom w:val="nil"/>
            </w:tcBorders>
            <w:shd w:val="clear" w:color="auto" w:fill="auto"/>
            <w:noWrap/>
            <w:vAlign w:val="bottom"/>
          </w:tcPr>
          <w:p w14:paraId="252D75E2" w14:textId="77777777" w:rsidR="00814A7A" w:rsidRPr="00397EC7" w:rsidRDefault="00814A7A" w:rsidP="00DB5008">
            <w:pPr>
              <w:spacing w:after="0" w:line="240" w:lineRule="auto"/>
              <w:jc w:val="center"/>
              <w:rPr>
                <w:rFonts w:eastAsia="Calibri" w:cs="Arial"/>
                <w:sz w:val="18"/>
                <w:lang w:val="en-GB" w:eastAsia="fr-FR"/>
              </w:rPr>
            </w:pPr>
            <w:r w:rsidRPr="00397EC7">
              <w:rPr>
                <w:rFonts w:eastAsia="Calibri" w:cs="Arial"/>
                <w:sz w:val="18"/>
                <w:lang w:val="en-GB" w:eastAsia="fr-FR"/>
              </w:rPr>
              <w:t>[14.9-16.7]</w:t>
            </w:r>
          </w:p>
        </w:tc>
      </w:tr>
      <w:tr w:rsidR="00814A7A" w:rsidRPr="00397EC7" w14:paraId="23CE1ECD" w14:textId="77777777" w:rsidTr="00814A7A">
        <w:trPr>
          <w:trHeight w:val="227"/>
          <w:jc w:val="center"/>
        </w:trPr>
        <w:tc>
          <w:tcPr>
            <w:tcW w:w="3261" w:type="dxa"/>
            <w:tcBorders>
              <w:top w:val="nil"/>
              <w:left w:val="nil"/>
              <w:bottom w:val="nil"/>
              <w:right w:val="nil"/>
            </w:tcBorders>
            <w:shd w:val="clear" w:color="auto" w:fill="auto"/>
            <w:noWrap/>
            <w:vAlign w:val="bottom"/>
            <w:hideMark/>
          </w:tcPr>
          <w:p w14:paraId="70E77AF3" w14:textId="77777777" w:rsidR="00814A7A" w:rsidRPr="00397EC7" w:rsidRDefault="00814A7A" w:rsidP="00DB5008">
            <w:pPr>
              <w:spacing w:after="0" w:line="240" w:lineRule="auto"/>
              <w:jc w:val="left"/>
              <w:rPr>
                <w:rFonts w:eastAsia="Calibri" w:cs="Arial"/>
                <w:sz w:val="18"/>
                <w:lang w:val="en-GB" w:eastAsia="fr-FR"/>
              </w:rPr>
            </w:pPr>
            <w:r w:rsidRPr="00397EC7">
              <w:rPr>
                <w:rFonts w:eastAsia="Calibri" w:cs="Arial"/>
                <w:sz w:val="18"/>
                <w:lang w:val="en-GB" w:eastAsia="fr-FR"/>
              </w:rPr>
              <w:t xml:space="preserve">  myocardial infarction</w:t>
            </w:r>
          </w:p>
        </w:tc>
        <w:tc>
          <w:tcPr>
            <w:tcW w:w="851" w:type="dxa"/>
            <w:tcBorders>
              <w:top w:val="nil"/>
              <w:left w:val="nil"/>
              <w:bottom w:val="nil"/>
              <w:right w:val="nil"/>
            </w:tcBorders>
            <w:shd w:val="clear" w:color="auto" w:fill="auto"/>
            <w:noWrap/>
            <w:vAlign w:val="bottom"/>
          </w:tcPr>
          <w:p w14:paraId="7B64BAD4" w14:textId="77777777" w:rsidR="00814A7A" w:rsidRPr="00397EC7" w:rsidRDefault="00814A7A" w:rsidP="00DB5008">
            <w:pPr>
              <w:spacing w:after="0" w:line="240" w:lineRule="auto"/>
              <w:jc w:val="center"/>
              <w:rPr>
                <w:rFonts w:eastAsia="Calibri" w:cs="Arial"/>
                <w:sz w:val="18"/>
                <w:lang w:val="en-GB" w:eastAsia="fr-FR"/>
              </w:rPr>
            </w:pPr>
            <w:r w:rsidRPr="00397EC7">
              <w:rPr>
                <w:rFonts w:eastAsia="Calibri" w:cs="Arial"/>
                <w:sz w:val="18"/>
                <w:lang w:val="en-GB" w:eastAsia="fr-FR"/>
              </w:rPr>
              <w:t>3.3</w:t>
            </w:r>
          </w:p>
        </w:tc>
        <w:tc>
          <w:tcPr>
            <w:tcW w:w="1077" w:type="dxa"/>
            <w:tcBorders>
              <w:top w:val="nil"/>
              <w:left w:val="nil"/>
              <w:bottom w:val="nil"/>
            </w:tcBorders>
            <w:shd w:val="clear" w:color="auto" w:fill="auto"/>
            <w:noWrap/>
            <w:vAlign w:val="bottom"/>
          </w:tcPr>
          <w:p w14:paraId="62604F46" w14:textId="77777777" w:rsidR="00814A7A" w:rsidRPr="00397EC7" w:rsidRDefault="00814A7A" w:rsidP="00DB5008">
            <w:pPr>
              <w:spacing w:after="0" w:line="240" w:lineRule="auto"/>
              <w:jc w:val="center"/>
              <w:rPr>
                <w:rFonts w:eastAsia="Calibri" w:cs="Arial"/>
                <w:sz w:val="18"/>
                <w:lang w:val="en-GB" w:eastAsia="fr-FR"/>
              </w:rPr>
            </w:pPr>
            <w:r w:rsidRPr="00397EC7">
              <w:rPr>
                <w:rFonts w:eastAsia="Calibri" w:cs="Arial"/>
                <w:sz w:val="18"/>
                <w:lang w:val="en-GB" w:eastAsia="fr-FR"/>
              </w:rPr>
              <w:t>[3.0-3.7]</w:t>
            </w:r>
          </w:p>
        </w:tc>
      </w:tr>
      <w:tr w:rsidR="00814A7A" w:rsidRPr="00397EC7" w14:paraId="3CF2F723" w14:textId="77777777" w:rsidTr="00814A7A">
        <w:trPr>
          <w:trHeight w:val="227"/>
          <w:jc w:val="center"/>
        </w:trPr>
        <w:tc>
          <w:tcPr>
            <w:tcW w:w="3261" w:type="dxa"/>
            <w:tcBorders>
              <w:top w:val="nil"/>
              <w:left w:val="nil"/>
              <w:bottom w:val="nil"/>
              <w:right w:val="nil"/>
            </w:tcBorders>
            <w:shd w:val="clear" w:color="auto" w:fill="auto"/>
            <w:noWrap/>
            <w:vAlign w:val="bottom"/>
            <w:hideMark/>
          </w:tcPr>
          <w:p w14:paraId="3580674E" w14:textId="77777777" w:rsidR="00814A7A" w:rsidRPr="00397EC7" w:rsidRDefault="00814A7A" w:rsidP="00DB5008">
            <w:pPr>
              <w:spacing w:after="0" w:line="240" w:lineRule="auto"/>
              <w:jc w:val="left"/>
              <w:rPr>
                <w:rFonts w:eastAsia="Calibri" w:cs="Arial"/>
                <w:sz w:val="18"/>
                <w:lang w:val="en-GB" w:eastAsia="fr-FR"/>
              </w:rPr>
            </w:pPr>
            <w:r w:rsidRPr="00397EC7">
              <w:rPr>
                <w:rFonts w:eastAsia="Calibri" w:cs="Arial"/>
                <w:sz w:val="18"/>
                <w:lang w:val="en-GB" w:eastAsia="fr-FR"/>
              </w:rPr>
              <w:t xml:space="preserve">  stroke</w:t>
            </w:r>
          </w:p>
        </w:tc>
        <w:tc>
          <w:tcPr>
            <w:tcW w:w="851" w:type="dxa"/>
            <w:tcBorders>
              <w:top w:val="nil"/>
              <w:left w:val="nil"/>
              <w:bottom w:val="nil"/>
              <w:right w:val="nil"/>
            </w:tcBorders>
            <w:shd w:val="clear" w:color="auto" w:fill="auto"/>
            <w:noWrap/>
            <w:vAlign w:val="bottom"/>
          </w:tcPr>
          <w:p w14:paraId="1A07E418" w14:textId="77777777" w:rsidR="00814A7A" w:rsidRPr="00397EC7" w:rsidRDefault="00814A7A" w:rsidP="00DB5008">
            <w:pPr>
              <w:spacing w:after="0" w:line="240" w:lineRule="auto"/>
              <w:jc w:val="center"/>
              <w:rPr>
                <w:rFonts w:eastAsia="Calibri" w:cs="Arial"/>
                <w:sz w:val="18"/>
                <w:lang w:val="en-GB" w:eastAsia="fr-FR"/>
              </w:rPr>
            </w:pPr>
            <w:r w:rsidRPr="00397EC7">
              <w:rPr>
                <w:rFonts w:eastAsia="Calibri" w:cs="Arial"/>
                <w:sz w:val="18"/>
                <w:lang w:val="en-GB" w:eastAsia="fr-FR"/>
              </w:rPr>
              <w:t>5.1</w:t>
            </w:r>
          </w:p>
        </w:tc>
        <w:tc>
          <w:tcPr>
            <w:tcW w:w="1077" w:type="dxa"/>
            <w:tcBorders>
              <w:top w:val="nil"/>
              <w:left w:val="nil"/>
              <w:bottom w:val="nil"/>
            </w:tcBorders>
            <w:shd w:val="clear" w:color="auto" w:fill="auto"/>
            <w:noWrap/>
            <w:vAlign w:val="bottom"/>
          </w:tcPr>
          <w:p w14:paraId="3BC62E82" w14:textId="77777777" w:rsidR="00814A7A" w:rsidRPr="00397EC7" w:rsidRDefault="00814A7A" w:rsidP="00DB5008">
            <w:pPr>
              <w:spacing w:after="0" w:line="240" w:lineRule="auto"/>
              <w:jc w:val="center"/>
              <w:rPr>
                <w:rFonts w:eastAsia="Calibri" w:cs="Arial"/>
                <w:sz w:val="18"/>
                <w:lang w:val="en-GB" w:eastAsia="fr-FR"/>
              </w:rPr>
            </w:pPr>
            <w:r w:rsidRPr="00397EC7">
              <w:rPr>
                <w:rFonts w:eastAsia="Calibri" w:cs="Arial"/>
                <w:sz w:val="18"/>
                <w:lang w:val="en-GB" w:eastAsia="fr-FR"/>
              </w:rPr>
              <w:t>[4.7-5.5]</w:t>
            </w:r>
          </w:p>
        </w:tc>
      </w:tr>
      <w:tr w:rsidR="00814A7A" w:rsidRPr="00397EC7" w14:paraId="4BB4666C" w14:textId="77777777" w:rsidTr="00814A7A">
        <w:trPr>
          <w:trHeight w:val="227"/>
          <w:jc w:val="center"/>
        </w:trPr>
        <w:tc>
          <w:tcPr>
            <w:tcW w:w="3261" w:type="dxa"/>
            <w:tcBorders>
              <w:top w:val="nil"/>
              <w:left w:val="nil"/>
              <w:bottom w:val="nil"/>
              <w:right w:val="nil"/>
            </w:tcBorders>
            <w:shd w:val="clear" w:color="auto" w:fill="auto"/>
            <w:noWrap/>
            <w:vAlign w:val="bottom"/>
            <w:hideMark/>
          </w:tcPr>
          <w:p w14:paraId="4FFFBF3F" w14:textId="77777777" w:rsidR="00814A7A" w:rsidRPr="00397EC7" w:rsidRDefault="00814A7A" w:rsidP="00DB5008">
            <w:pPr>
              <w:spacing w:after="0" w:line="240" w:lineRule="auto"/>
              <w:jc w:val="left"/>
              <w:rPr>
                <w:rFonts w:eastAsia="Calibri" w:cs="Arial"/>
                <w:sz w:val="18"/>
                <w:lang w:val="en-GB" w:eastAsia="fr-FR"/>
              </w:rPr>
            </w:pPr>
            <w:r w:rsidRPr="00397EC7">
              <w:rPr>
                <w:rFonts w:eastAsia="Calibri" w:cs="Arial"/>
                <w:sz w:val="18"/>
                <w:lang w:val="en-GB" w:eastAsia="fr-FR"/>
              </w:rPr>
              <w:t xml:space="preserve">  pulmonary embolism</w:t>
            </w:r>
          </w:p>
        </w:tc>
        <w:tc>
          <w:tcPr>
            <w:tcW w:w="851" w:type="dxa"/>
            <w:tcBorders>
              <w:top w:val="nil"/>
              <w:left w:val="nil"/>
              <w:bottom w:val="nil"/>
              <w:right w:val="nil"/>
            </w:tcBorders>
            <w:shd w:val="clear" w:color="auto" w:fill="auto"/>
            <w:noWrap/>
            <w:vAlign w:val="bottom"/>
          </w:tcPr>
          <w:p w14:paraId="2158C34F" w14:textId="77777777" w:rsidR="00814A7A" w:rsidRPr="00397EC7" w:rsidRDefault="00814A7A" w:rsidP="00DB5008">
            <w:pPr>
              <w:spacing w:after="0" w:line="240" w:lineRule="auto"/>
              <w:jc w:val="center"/>
              <w:rPr>
                <w:rFonts w:eastAsia="Calibri" w:cs="Arial"/>
                <w:sz w:val="18"/>
                <w:lang w:val="en-GB" w:eastAsia="fr-FR"/>
              </w:rPr>
            </w:pPr>
            <w:r w:rsidRPr="00397EC7">
              <w:rPr>
                <w:rFonts w:eastAsia="Calibri" w:cs="Arial"/>
                <w:sz w:val="18"/>
                <w:lang w:val="en-GB" w:eastAsia="fr-FR"/>
              </w:rPr>
              <w:t>12.8</w:t>
            </w:r>
          </w:p>
        </w:tc>
        <w:tc>
          <w:tcPr>
            <w:tcW w:w="1077" w:type="dxa"/>
            <w:tcBorders>
              <w:top w:val="nil"/>
              <w:left w:val="nil"/>
              <w:bottom w:val="nil"/>
            </w:tcBorders>
            <w:shd w:val="clear" w:color="auto" w:fill="auto"/>
            <w:noWrap/>
            <w:vAlign w:val="bottom"/>
          </w:tcPr>
          <w:p w14:paraId="654964FF" w14:textId="77777777" w:rsidR="00814A7A" w:rsidRPr="00397EC7" w:rsidRDefault="00814A7A" w:rsidP="00DB5008">
            <w:pPr>
              <w:spacing w:after="0" w:line="240" w:lineRule="auto"/>
              <w:jc w:val="center"/>
              <w:rPr>
                <w:rFonts w:eastAsia="Calibri" w:cs="Arial"/>
                <w:sz w:val="18"/>
                <w:lang w:val="en-GB" w:eastAsia="fr-FR"/>
              </w:rPr>
            </w:pPr>
            <w:r w:rsidRPr="00397EC7">
              <w:rPr>
                <w:rFonts w:eastAsia="Calibri" w:cs="Arial"/>
                <w:sz w:val="18"/>
                <w:lang w:val="en-GB" w:eastAsia="fr-FR"/>
              </w:rPr>
              <w:t>[12.1-13.6]</w:t>
            </w:r>
          </w:p>
        </w:tc>
      </w:tr>
      <w:tr w:rsidR="00814A7A" w:rsidRPr="00397EC7" w14:paraId="6B9D4BE4" w14:textId="77777777" w:rsidTr="00814A7A">
        <w:trPr>
          <w:trHeight w:val="227"/>
          <w:jc w:val="center"/>
        </w:trPr>
        <w:tc>
          <w:tcPr>
            <w:tcW w:w="3261" w:type="dxa"/>
            <w:tcBorders>
              <w:top w:val="nil"/>
              <w:left w:val="nil"/>
              <w:right w:val="nil"/>
            </w:tcBorders>
            <w:shd w:val="clear" w:color="auto" w:fill="auto"/>
            <w:noWrap/>
            <w:vAlign w:val="bottom"/>
          </w:tcPr>
          <w:p w14:paraId="62CA2AA1" w14:textId="77777777" w:rsidR="00814A7A" w:rsidRPr="00397EC7" w:rsidRDefault="00814A7A" w:rsidP="00DB5008">
            <w:pPr>
              <w:spacing w:after="0" w:line="240" w:lineRule="auto"/>
              <w:jc w:val="left"/>
              <w:rPr>
                <w:rFonts w:eastAsia="Calibri" w:cs="Arial"/>
                <w:b/>
                <w:sz w:val="18"/>
                <w:lang w:val="en-GB" w:eastAsia="fr-FR"/>
              </w:rPr>
            </w:pPr>
            <w:r w:rsidRPr="00397EC7">
              <w:rPr>
                <w:rFonts w:eastAsia="Calibri" w:cs="Arial"/>
                <w:b/>
                <w:sz w:val="18"/>
                <w:lang w:val="en-GB" w:eastAsia="fr-FR"/>
              </w:rPr>
              <w:t>Renal adverse events</w:t>
            </w:r>
          </w:p>
        </w:tc>
        <w:tc>
          <w:tcPr>
            <w:tcW w:w="851" w:type="dxa"/>
            <w:tcBorders>
              <w:top w:val="nil"/>
              <w:left w:val="nil"/>
              <w:right w:val="nil"/>
            </w:tcBorders>
            <w:shd w:val="clear" w:color="auto" w:fill="auto"/>
            <w:noWrap/>
            <w:vAlign w:val="bottom"/>
          </w:tcPr>
          <w:p w14:paraId="00D243D3" w14:textId="77777777" w:rsidR="00814A7A" w:rsidRPr="00397EC7" w:rsidRDefault="00814A7A" w:rsidP="00DB5008">
            <w:pPr>
              <w:spacing w:after="0" w:line="240" w:lineRule="auto"/>
              <w:jc w:val="center"/>
              <w:rPr>
                <w:rFonts w:eastAsia="Calibri" w:cs="Arial"/>
                <w:sz w:val="18"/>
                <w:lang w:val="en-GB" w:eastAsia="fr-FR"/>
              </w:rPr>
            </w:pPr>
          </w:p>
        </w:tc>
        <w:tc>
          <w:tcPr>
            <w:tcW w:w="1077" w:type="dxa"/>
            <w:tcBorders>
              <w:top w:val="nil"/>
              <w:left w:val="nil"/>
            </w:tcBorders>
            <w:shd w:val="clear" w:color="auto" w:fill="auto"/>
            <w:noWrap/>
            <w:vAlign w:val="bottom"/>
          </w:tcPr>
          <w:p w14:paraId="1D80A742" w14:textId="77777777" w:rsidR="00814A7A" w:rsidRPr="00397EC7" w:rsidRDefault="00814A7A" w:rsidP="00DB5008">
            <w:pPr>
              <w:spacing w:after="0" w:line="240" w:lineRule="auto"/>
              <w:jc w:val="center"/>
              <w:rPr>
                <w:rFonts w:eastAsia="Calibri" w:cs="Arial"/>
                <w:sz w:val="18"/>
                <w:lang w:val="en-GB" w:eastAsia="fr-FR"/>
              </w:rPr>
            </w:pPr>
          </w:p>
        </w:tc>
      </w:tr>
      <w:tr w:rsidR="00814A7A" w:rsidRPr="00397EC7" w14:paraId="5E8387F6" w14:textId="77777777" w:rsidTr="00814A7A">
        <w:trPr>
          <w:trHeight w:val="227"/>
          <w:jc w:val="center"/>
        </w:trPr>
        <w:tc>
          <w:tcPr>
            <w:tcW w:w="3261" w:type="dxa"/>
            <w:tcBorders>
              <w:top w:val="nil"/>
              <w:left w:val="nil"/>
              <w:right w:val="nil"/>
            </w:tcBorders>
            <w:shd w:val="clear" w:color="auto" w:fill="auto"/>
            <w:noWrap/>
            <w:vAlign w:val="bottom"/>
            <w:hideMark/>
          </w:tcPr>
          <w:p w14:paraId="0C756906" w14:textId="77777777" w:rsidR="00814A7A" w:rsidRPr="00397EC7" w:rsidRDefault="00814A7A" w:rsidP="00DB5008">
            <w:pPr>
              <w:spacing w:after="0" w:line="240" w:lineRule="auto"/>
              <w:jc w:val="left"/>
              <w:rPr>
                <w:rFonts w:eastAsia="Calibri" w:cs="Arial"/>
                <w:sz w:val="18"/>
                <w:lang w:val="en-GB" w:eastAsia="fr-FR"/>
              </w:rPr>
            </w:pPr>
            <w:r w:rsidRPr="00397EC7">
              <w:rPr>
                <w:rFonts w:eastAsia="Calibri" w:cs="Arial"/>
                <w:sz w:val="18"/>
                <w:lang w:val="en-GB" w:eastAsia="fr-FR"/>
              </w:rPr>
              <w:t xml:space="preserve">  acute renal failure</w:t>
            </w:r>
          </w:p>
        </w:tc>
        <w:tc>
          <w:tcPr>
            <w:tcW w:w="851" w:type="dxa"/>
            <w:tcBorders>
              <w:top w:val="nil"/>
              <w:left w:val="nil"/>
              <w:right w:val="nil"/>
            </w:tcBorders>
            <w:shd w:val="clear" w:color="auto" w:fill="auto"/>
            <w:noWrap/>
            <w:vAlign w:val="bottom"/>
          </w:tcPr>
          <w:p w14:paraId="0F4AB85D" w14:textId="77777777" w:rsidR="00814A7A" w:rsidRPr="00397EC7" w:rsidRDefault="00814A7A" w:rsidP="00DB5008">
            <w:pPr>
              <w:spacing w:after="0" w:line="240" w:lineRule="auto"/>
              <w:jc w:val="center"/>
              <w:rPr>
                <w:rFonts w:eastAsia="Calibri" w:cs="Arial"/>
                <w:sz w:val="18"/>
                <w:lang w:val="en-GB" w:eastAsia="fr-FR"/>
              </w:rPr>
            </w:pPr>
            <w:r w:rsidRPr="00397EC7">
              <w:rPr>
                <w:rFonts w:eastAsia="Calibri" w:cs="Arial"/>
                <w:sz w:val="18"/>
                <w:lang w:val="en-GB" w:eastAsia="fr-FR"/>
              </w:rPr>
              <w:t>11.8</w:t>
            </w:r>
          </w:p>
        </w:tc>
        <w:tc>
          <w:tcPr>
            <w:tcW w:w="1077" w:type="dxa"/>
            <w:tcBorders>
              <w:top w:val="nil"/>
              <w:left w:val="nil"/>
            </w:tcBorders>
            <w:shd w:val="clear" w:color="auto" w:fill="auto"/>
            <w:noWrap/>
            <w:vAlign w:val="bottom"/>
          </w:tcPr>
          <w:p w14:paraId="408F8F91" w14:textId="77777777" w:rsidR="00814A7A" w:rsidRPr="00397EC7" w:rsidRDefault="00814A7A" w:rsidP="00DB5008">
            <w:pPr>
              <w:spacing w:after="0" w:line="240" w:lineRule="auto"/>
              <w:jc w:val="center"/>
              <w:rPr>
                <w:rFonts w:eastAsia="Calibri" w:cs="Arial"/>
                <w:sz w:val="18"/>
                <w:lang w:val="en-GB" w:eastAsia="fr-FR"/>
              </w:rPr>
            </w:pPr>
            <w:r w:rsidRPr="00397EC7">
              <w:rPr>
                <w:rFonts w:eastAsia="Calibri" w:cs="Arial"/>
                <w:sz w:val="18"/>
                <w:lang w:val="en-GB" w:eastAsia="fr-FR"/>
              </w:rPr>
              <w:t>[11.4-12.3]</w:t>
            </w:r>
          </w:p>
        </w:tc>
      </w:tr>
      <w:tr w:rsidR="00814A7A" w:rsidRPr="00397EC7" w14:paraId="6F83F99F" w14:textId="77777777" w:rsidTr="00814A7A">
        <w:trPr>
          <w:trHeight w:val="227"/>
          <w:jc w:val="center"/>
        </w:trPr>
        <w:tc>
          <w:tcPr>
            <w:tcW w:w="3261" w:type="dxa"/>
            <w:tcBorders>
              <w:top w:val="nil"/>
              <w:left w:val="nil"/>
              <w:bottom w:val="single" w:sz="4" w:space="0" w:color="auto"/>
              <w:right w:val="nil"/>
            </w:tcBorders>
            <w:shd w:val="clear" w:color="auto" w:fill="auto"/>
            <w:noWrap/>
            <w:vAlign w:val="bottom"/>
            <w:hideMark/>
          </w:tcPr>
          <w:p w14:paraId="7703E3D9" w14:textId="77777777" w:rsidR="00814A7A" w:rsidRPr="00397EC7" w:rsidRDefault="00814A7A" w:rsidP="00DB5008">
            <w:pPr>
              <w:spacing w:after="0" w:line="240" w:lineRule="auto"/>
              <w:jc w:val="left"/>
              <w:rPr>
                <w:rFonts w:eastAsia="Calibri" w:cs="Arial"/>
                <w:sz w:val="18"/>
                <w:lang w:val="en-GB" w:eastAsia="fr-FR"/>
              </w:rPr>
            </w:pPr>
            <w:r w:rsidRPr="00397EC7">
              <w:rPr>
                <w:rFonts w:eastAsia="Calibri" w:cs="Arial"/>
                <w:sz w:val="18"/>
                <w:lang w:val="en-GB" w:eastAsia="fr-FR"/>
              </w:rPr>
              <w:t xml:space="preserve">  urolithiasis</w:t>
            </w:r>
          </w:p>
        </w:tc>
        <w:tc>
          <w:tcPr>
            <w:tcW w:w="851" w:type="dxa"/>
            <w:tcBorders>
              <w:top w:val="nil"/>
              <w:left w:val="nil"/>
              <w:bottom w:val="single" w:sz="4" w:space="0" w:color="auto"/>
              <w:right w:val="nil"/>
            </w:tcBorders>
            <w:shd w:val="clear" w:color="auto" w:fill="auto"/>
            <w:noWrap/>
            <w:vAlign w:val="bottom"/>
          </w:tcPr>
          <w:p w14:paraId="6B48E2DB" w14:textId="77777777" w:rsidR="00814A7A" w:rsidRPr="00397EC7" w:rsidRDefault="00814A7A" w:rsidP="00DB5008">
            <w:pPr>
              <w:spacing w:after="0" w:line="240" w:lineRule="auto"/>
              <w:jc w:val="center"/>
              <w:rPr>
                <w:rFonts w:eastAsia="Calibri" w:cs="Arial"/>
                <w:sz w:val="18"/>
                <w:lang w:val="en-GB" w:eastAsia="fr-FR"/>
              </w:rPr>
            </w:pPr>
            <w:r w:rsidRPr="00397EC7">
              <w:rPr>
                <w:rFonts w:eastAsia="Calibri" w:cs="Arial"/>
                <w:sz w:val="18"/>
                <w:lang w:val="en-GB" w:eastAsia="fr-FR"/>
              </w:rPr>
              <w:t>7.3</w:t>
            </w:r>
          </w:p>
        </w:tc>
        <w:tc>
          <w:tcPr>
            <w:tcW w:w="1077" w:type="dxa"/>
            <w:tcBorders>
              <w:top w:val="nil"/>
              <w:left w:val="nil"/>
              <w:bottom w:val="single" w:sz="4" w:space="0" w:color="auto"/>
            </w:tcBorders>
            <w:shd w:val="clear" w:color="auto" w:fill="auto"/>
            <w:noWrap/>
            <w:vAlign w:val="bottom"/>
          </w:tcPr>
          <w:p w14:paraId="6633E278" w14:textId="77777777" w:rsidR="00814A7A" w:rsidRPr="00397EC7" w:rsidRDefault="00814A7A" w:rsidP="00DB5008">
            <w:pPr>
              <w:spacing w:after="0" w:line="240" w:lineRule="auto"/>
              <w:jc w:val="center"/>
              <w:rPr>
                <w:rFonts w:eastAsia="Calibri" w:cs="Arial"/>
                <w:sz w:val="18"/>
                <w:lang w:val="en-GB" w:eastAsia="fr-FR"/>
              </w:rPr>
            </w:pPr>
            <w:r w:rsidRPr="00397EC7">
              <w:rPr>
                <w:rFonts w:eastAsia="Calibri" w:cs="Arial"/>
                <w:sz w:val="18"/>
                <w:lang w:val="en-GB" w:eastAsia="fr-FR"/>
              </w:rPr>
              <w:t>[6.9-7.7]</w:t>
            </w:r>
          </w:p>
        </w:tc>
      </w:tr>
    </w:tbl>
    <w:p w14:paraId="350C3569" w14:textId="77777777" w:rsidR="00814A7A" w:rsidRPr="00397EC7" w:rsidRDefault="00814A7A" w:rsidP="00814A7A">
      <w:pPr>
        <w:spacing w:after="0" w:line="240" w:lineRule="auto"/>
        <w:rPr>
          <w:rFonts w:cs="Arial"/>
          <w:sz w:val="16"/>
          <w:szCs w:val="20"/>
          <w:lang w:val="en-GB" w:eastAsia="fr-FR"/>
        </w:rPr>
      </w:pPr>
      <w:r w:rsidRPr="00397EC7">
        <w:rPr>
          <w:rFonts w:cs="Arial"/>
          <w:sz w:val="16"/>
          <w:szCs w:val="20"/>
          <w:lang w:val="en-GB" w:eastAsia="fr-FR"/>
        </w:rPr>
        <w:t>Standard population: general scheme beneficiaries aged 30 years and over.</w:t>
      </w:r>
    </w:p>
    <w:p w14:paraId="3069BF28" w14:textId="77777777" w:rsidR="00814A7A" w:rsidRPr="00397EC7" w:rsidRDefault="00814A7A" w:rsidP="00814A7A">
      <w:pPr>
        <w:spacing w:after="0" w:line="240" w:lineRule="auto"/>
        <w:rPr>
          <w:rFonts w:cs="Arial"/>
          <w:sz w:val="16"/>
          <w:szCs w:val="20"/>
          <w:lang w:val="en-GB" w:eastAsia="fr-FR"/>
        </w:rPr>
      </w:pPr>
      <w:r w:rsidRPr="00397EC7">
        <w:rPr>
          <w:rFonts w:cs="Arial"/>
          <w:sz w:val="16"/>
          <w:szCs w:val="20"/>
          <w:lang w:val="en-GB" w:eastAsia="fr-FR"/>
        </w:rPr>
        <w:t>CI: confidence interval.</w:t>
      </w:r>
    </w:p>
    <w:p w14:paraId="730CEFB4" w14:textId="77777777" w:rsidR="00814A7A" w:rsidRPr="00397EC7" w:rsidRDefault="00814A7A">
      <w:pPr>
        <w:spacing w:line="276" w:lineRule="auto"/>
        <w:jc w:val="left"/>
        <w:rPr>
          <w:rStyle w:val="Titredulivre"/>
          <w:rFonts w:cs="Arial"/>
          <w:b/>
          <w:bCs/>
          <w:lang w:val="en-GB"/>
        </w:rPr>
      </w:pPr>
    </w:p>
    <w:p w14:paraId="1A757E1C" w14:textId="77777777" w:rsidR="004725C8" w:rsidRPr="00397EC7" w:rsidRDefault="004725C8">
      <w:pPr>
        <w:spacing w:line="276" w:lineRule="auto"/>
        <w:jc w:val="left"/>
        <w:rPr>
          <w:rStyle w:val="Titredulivre"/>
          <w:rFonts w:cs="Arial"/>
          <w:b/>
          <w:bCs/>
          <w:lang w:val="en-GB"/>
        </w:rPr>
      </w:pPr>
    </w:p>
    <w:p w14:paraId="789290B7" w14:textId="77777777" w:rsidR="004725C8" w:rsidRPr="00397EC7" w:rsidRDefault="004725C8">
      <w:pPr>
        <w:spacing w:line="276" w:lineRule="auto"/>
        <w:jc w:val="left"/>
        <w:rPr>
          <w:rStyle w:val="Titredulivre"/>
          <w:rFonts w:cs="Arial"/>
          <w:b/>
          <w:bCs/>
          <w:lang w:val="en-GB"/>
        </w:rPr>
      </w:pPr>
    </w:p>
    <w:p w14:paraId="1870B110" w14:textId="57855C99" w:rsidR="004725C8" w:rsidRPr="00397EC7" w:rsidRDefault="004725C8" w:rsidP="004725C8">
      <w:pPr>
        <w:pStyle w:val="Lgende"/>
        <w:spacing w:before="240"/>
        <w:rPr>
          <w:rStyle w:val="Titredulivre"/>
          <w:rFonts w:cs="Times New Roman"/>
          <w:lang w:val="en-GB"/>
        </w:rPr>
      </w:pPr>
      <w:r w:rsidRPr="00397EC7">
        <w:rPr>
          <w:rStyle w:val="Titredulivre"/>
          <w:rFonts w:cs="Times New Roman"/>
          <w:lang w:val="en-GB"/>
        </w:rPr>
        <w:t xml:space="preserve">Supplemental Table 4b: </w:t>
      </w:r>
      <w:r w:rsidR="00DC3416">
        <w:rPr>
          <w:rStyle w:val="Titredulivre"/>
          <w:rFonts w:cs="Times New Roman"/>
          <w:lang w:val="en-GB"/>
        </w:rPr>
        <w:t>Rates and s</w:t>
      </w:r>
      <w:r w:rsidR="00DC3416" w:rsidRPr="00397EC7">
        <w:rPr>
          <w:rStyle w:val="Titredulivre"/>
          <w:rFonts w:cs="Times New Roman"/>
          <w:lang w:val="en-GB"/>
        </w:rPr>
        <w:t xml:space="preserve">tandardized </w:t>
      </w:r>
      <w:r w:rsidRPr="00397EC7">
        <w:rPr>
          <w:rStyle w:val="Titredulivre"/>
          <w:rFonts w:cs="Times New Roman"/>
          <w:lang w:val="en-GB"/>
        </w:rPr>
        <w:t>incidence ratios (SIRs) of serious adverse events after colonoscopy, in the further selected population excluding colonoscopies performed on day 2 of hospitalization or without identified bowel preparation</w:t>
      </w:r>
      <w:r w:rsidR="00DC3416">
        <w:rPr>
          <w:rStyle w:val="Titredulivre"/>
          <w:rFonts w:cs="Times New Roman"/>
          <w:lang w:val="en-GB"/>
        </w:rPr>
        <w:t xml:space="preserve"> </w:t>
      </w:r>
      <w:r w:rsidR="00DC3416" w:rsidRPr="00DC3416">
        <w:rPr>
          <w:rStyle w:val="Titredulivre"/>
          <w:rFonts w:cs="Times New Roman"/>
          <w:lang w:val="en-GB"/>
        </w:rPr>
        <w:t>(n=3</w:t>
      </w:r>
      <w:r w:rsidR="00DC3416">
        <w:rPr>
          <w:rStyle w:val="Titredulivre"/>
          <w:rFonts w:cs="Times New Roman"/>
          <w:lang w:val="en-GB"/>
        </w:rPr>
        <w:t>,</w:t>
      </w:r>
      <w:r w:rsidR="00DC3416" w:rsidRPr="00DC3416">
        <w:rPr>
          <w:rStyle w:val="Titredulivre"/>
          <w:rFonts w:cs="Times New Roman"/>
          <w:lang w:val="en-GB"/>
        </w:rPr>
        <w:t>549</w:t>
      </w:r>
      <w:r w:rsidR="00DC3416">
        <w:rPr>
          <w:rStyle w:val="Titredulivre"/>
          <w:rFonts w:cs="Times New Roman"/>
          <w:lang w:val="en-GB"/>
        </w:rPr>
        <w:t>,</w:t>
      </w:r>
      <w:r w:rsidR="00DC3416" w:rsidRPr="00DC3416">
        <w:rPr>
          <w:rStyle w:val="Titredulivre"/>
          <w:rFonts w:cs="Times New Roman"/>
          <w:lang w:val="en-GB"/>
        </w:rPr>
        <w:t>206)</w:t>
      </w:r>
      <w:r w:rsidRPr="00397EC7">
        <w:rPr>
          <w:rStyle w:val="Titredulivre"/>
          <w:rFonts w:cs="Times New Roman"/>
          <w:lang w:val="en-GB"/>
        </w:rPr>
        <w:t>.</w:t>
      </w:r>
    </w:p>
    <w:tbl>
      <w:tblPr>
        <w:tblW w:w="6891" w:type="dxa"/>
        <w:jc w:val="center"/>
        <w:tblCellMar>
          <w:left w:w="70" w:type="dxa"/>
          <w:right w:w="70" w:type="dxa"/>
        </w:tblCellMar>
        <w:tblLook w:val="04A0" w:firstRow="1" w:lastRow="0" w:firstColumn="1" w:lastColumn="0" w:noHBand="0" w:noVBand="1"/>
      </w:tblPr>
      <w:tblGrid>
        <w:gridCol w:w="3021"/>
        <w:gridCol w:w="959"/>
        <w:gridCol w:w="983"/>
        <w:gridCol w:w="851"/>
        <w:gridCol w:w="1077"/>
      </w:tblGrid>
      <w:tr w:rsidR="00DC3416" w:rsidRPr="00397EC7" w14:paraId="295C5CF8" w14:textId="77777777" w:rsidTr="00DC3416">
        <w:trPr>
          <w:trHeight w:val="227"/>
          <w:jc w:val="center"/>
        </w:trPr>
        <w:tc>
          <w:tcPr>
            <w:tcW w:w="3021" w:type="dxa"/>
            <w:tcBorders>
              <w:top w:val="single" w:sz="4" w:space="0" w:color="auto"/>
              <w:left w:val="nil"/>
              <w:bottom w:val="single" w:sz="4" w:space="0" w:color="auto"/>
              <w:right w:val="nil"/>
            </w:tcBorders>
            <w:shd w:val="clear" w:color="auto" w:fill="auto"/>
            <w:noWrap/>
            <w:vAlign w:val="bottom"/>
            <w:hideMark/>
          </w:tcPr>
          <w:p w14:paraId="32FDABB0" w14:textId="77777777" w:rsidR="00DC3416" w:rsidRPr="00397EC7" w:rsidRDefault="00DC3416" w:rsidP="00B82968">
            <w:pPr>
              <w:spacing w:after="0" w:line="240" w:lineRule="auto"/>
              <w:jc w:val="left"/>
              <w:rPr>
                <w:rFonts w:eastAsia="Calibri" w:cs="Arial"/>
                <w:sz w:val="18"/>
                <w:lang w:val="en-GB" w:eastAsia="fr-FR"/>
              </w:rPr>
            </w:pPr>
            <w:r w:rsidRPr="00397EC7">
              <w:rPr>
                <w:rFonts w:eastAsia="Calibri" w:cs="Arial"/>
                <w:sz w:val="18"/>
                <w:lang w:val="en-GB" w:eastAsia="fr-FR"/>
              </w:rPr>
              <w:t> </w:t>
            </w:r>
          </w:p>
        </w:tc>
        <w:tc>
          <w:tcPr>
            <w:tcW w:w="959" w:type="dxa"/>
            <w:tcBorders>
              <w:top w:val="single" w:sz="4" w:space="0" w:color="auto"/>
              <w:left w:val="nil"/>
              <w:bottom w:val="single" w:sz="4" w:space="0" w:color="auto"/>
              <w:right w:val="nil"/>
            </w:tcBorders>
            <w:vAlign w:val="bottom"/>
          </w:tcPr>
          <w:p w14:paraId="49FDF265" w14:textId="7687DFF1" w:rsidR="00DC3416" w:rsidRPr="00397EC7" w:rsidRDefault="00DC3416" w:rsidP="00B82968">
            <w:pPr>
              <w:spacing w:after="0" w:line="240" w:lineRule="auto"/>
              <w:jc w:val="center"/>
              <w:rPr>
                <w:rFonts w:eastAsia="Calibri" w:cs="Arial"/>
                <w:b/>
                <w:sz w:val="18"/>
                <w:lang w:val="en-GB" w:eastAsia="fr-FR"/>
              </w:rPr>
            </w:pPr>
            <w:r w:rsidRPr="00DC3416">
              <w:rPr>
                <w:rFonts w:eastAsia="Calibri" w:cs="Arial"/>
                <w:b/>
                <w:sz w:val="18"/>
                <w:lang w:val="en-GB" w:eastAsia="fr-FR"/>
              </w:rPr>
              <w:t>N</w:t>
            </w:r>
            <w:r w:rsidR="00586FE1">
              <w:rPr>
                <w:rFonts w:eastAsia="Calibri" w:cs="Arial"/>
                <w:b/>
                <w:sz w:val="18"/>
                <w:lang w:val="en-GB" w:eastAsia="fr-FR"/>
              </w:rPr>
              <w:t>umber</w:t>
            </w:r>
          </w:p>
        </w:tc>
        <w:tc>
          <w:tcPr>
            <w:tcW w:w="983" w:type="dxa"/>
            <w:tcBorders>
              <w:top w:val="single" w:sz="4" w:space="0" w:color="auto"/>
              <w:left w:val="nil"/>
              <w:bottom w:val="single" w:sz="4" w:space="0" w:color="auto"/>
              <w:right w:val="nil"/>
            </w:tcBorders>
            <w:vAlign w:val="bottom"/>
          </w:tcPr>
          <w:p w14:paraId="2E48F046" w14:textId="0974CD1A" w:rsidR="00DC3416" w:rsidRPr="00397EC7" w:rsidRDefault="00DC3416" w:rsidP="00B82968">
            <w:pPr>
              <w:spacing w:after="0" w:line="240" w:lineRule="auto"/>
              <w:jc w:val="center"/>
              <w:rPr>
                <w:rFonts w:eastAsia="Calibri" w:cs="Arial"/>
                <w:b/>
                <w:sz w:val="18"/>
                <w:lang w:val="en-GB" w:eastAsia="fr-FR"/>
              </w:rPr>
            </w:pPr>
            <w:r w:rsidRPr="00DC3416">
              <w:rPr>
                <w:rFonts w:eastAsia="Calibri" w:cs="Arial"/>
                <w:b/>
                <w:sz w:val="18"/>
                <w:lang w:val="en-GB" w:eastAsia="fr-FR"/>
              </w:rPr>
              <w:t>per 10,000 procedures</w:t>
            </w:r>
          </w:p>
        </w:tc>
        <w:tc>
          <w:tcPr>
            <w:tcW w:w="851" w:type="dxa"/>
            <w:tcBorders>
              <w:top w:val="single" w:sz="4" w:space="0" w:color="auto"/>
              <w:left w:val="nil"/>
              <w:bottom w:val="single" w:sz="4" w:space="0" w:color="auto"/>
              <w:right w:val="nil"/>
            </w:tcBorders>
            <w:shd w:val="clear" w:color="auto" w:fill="auto"/>
            <w:noWrap/>
            <w:vAlign w:val="bottom"/>
            <w:hideMark/>
          </w:tcPr>
          <w:p w14:paraId="48B0606B" w14:textId="01E50503" w:rsidR="00DC3416" w:rsidRPr="00397EC7" w:rsidRDefault="00DC3416" w:rsidP="00B82968">
            <w:pPr>
              <w:spacing w:after="0" w:line="240" w:lineRule="auto"/>
              <w:jc w:val="center"/>
              <w:rPr>
                <w:rFonts w:eastAsia="Calibri" w:cs="Arial"/>
                <w:b/>
                <w:sz w:val="18"/>
                <w:lang w:val="en-GB" w:eastAsia="fr-FR"/>
              </w:rPr>
            </w:pPr>
            <w:r w:rsidRPr="00397EC7">
              <w:rPr>
                <w:rFonts w:eastAsia="Calibri" w:cs="Arial"/>
                <w:b/>
                <w:sz w:val="18"/>
                <w:lang w:val="en-GB" w:eastAsia="fr-FR"/>
              </w:rPr>
              <w:t>SIR</w:t>
            </w:r>
          </w:p>
        </w:tc>
        <w:tc>
          <w:tcPr>
            <w:tcW w:w="1077" w:type="dxa"/>
            <w:tcBorders>
              <w:top w:val="single" w:sz="4" w:space="0" w:color="auto"/>
              <w:left w:val="nil"/>
              <w:bottom w:val="single" w:sz="4" w:space="0" w:color="auto"/>
            </w:tcBorders>
            <w:shd w:val="clear" w:color="auto" w:fill="auto"/>
            <w:noWrap/>
            <w:vAlign w:val="bottom"/>
            <w:hideMark/>
          </w:tcPr>
          <w:p w14:paraId="316FCEC6" w14:textId="77777777" w:rsidR="00DC3416" w:rsidRPr="00397EC7" w:rsidRDefault="00DC3416" w:rsidP="00B82968">
            <w:pPr>
              <w:spacing w:after="0" w:line="240" w:lineRule="auto"/>
              <w:jc w:val="center"/>
              <w:rPr>
                <w:rFonts w:eastAsia="Calibri" w:cs="Arial"/>
                <w:b/>
                <w:sz w:val="18"/>
                <w:lang w:val="en-GB" w:eastAsia="fr-FR"/>
              </w:rPr>
            </w:pPr>
            <w:r w:rsidRPr="00397EC7">
              <w:rPr>
                <w:rFonts w:eastAsia="Calibri" w:cs="Arial"/>
                <w:b/>
                <w:sz w:val="18"/>
                <w:lang w:val="en-GB" w:eastAsia="fr-FR"/>
              </w:rPr>
              <w:t>95% CI</w:t>
            </w:r>
          </w:p>
        </w:tc>
      </w:tr>
      <w:tr w:rsidR="00DC3416" w:rsidRPr="00397EC7" w14:paraId="4AD4F36F" w14:textId="77777777" w:rsidTr="00DC3416">
        <w:trPr>
          <w:trHeight w:val="227"/>
          <w:jc w:val="center"/>
        </w:trPr>
        <w:tc>
          <w:tcPr>
            <w:tcW w:w="3021" w:type="dxa"/>
            <w:tcBorders>
              <w:top w:val="nil"/>
              <w:left w:val="nil"/>
              <w:bottom w:val="nil"/>
              <w:right w:val="nil"/>
            </w:tcBorders>
            <w:shd w:val="clear" w:color="auto" w:fill="auto"/>
            <w:noWrap/>
            <w:vAlign w:val="bottom"/>
            <w:hideMark/>
          </w:tcPr>
          <w:p w14:paraId="5767642B" w14:textId="77777777" w:rsidR="00DC3416" w:rsidRPr="00397EC7" w:rsidRDefault="00DC3416" w:rsidP="00B82968">
            <w:pPr>
              <w:spacing w:after="0" w:line="240" w:lineRule="auto"/>
              <w:jc w:val="left"/>
              <w:rPr>
                <w:rFonts w:eastAsia="Calibri" w:cs="Arial"/>
                <w:b/>
                <w:sz w:val="18"/>
                <w:lang w:val="en-GB" w:eastAsia="fr-FR"/>
              </w:rPr>
            </w:pPr>
            <w:r w:rsidRPr="00397EC7">
              <w:rPr>
                <w:rFonts w:eastAsia="Calibri" w:cs="Arial"/>
                <w:b/>
                <w:sz w:val="18"/>
                <w:lang w:val="en-GB" w:eastAsia="fr-FR"/>
              </w:rPr>
              <w:t>Cardiovascular adverse events</w:t>
            </w:r>
          </w:p>
        </w:tc>
        <w:tc>
          <w:tcPr>
            <w:tcW w:w="959" w:type="dxa"/>
            <w:tcBorders>
              <w:top w:val="nil"/>
              <w:left w:val="nil"/>
              <w:bottom w:val="nil"/>
              <w:right w:val="nil"/>
            </w:tcBorders>
          </w:tcPr>
          <w:p w14:paraId="29F033BD" w14:textId="77777777" w:rsidR="00DC3416" w:rsidRPr="00397EC7" w:rsidRDefault="00DC3416" w:rsidP="00B82968">
            <w:pPr>
              <w:spacing w:after="0" w:line="240" w:lineRule="auto"/>
              <w:jc w:val="center"/>
              <w:rPr>
                <w:rFonts w:eastAsia="Calibri" w:cs="Arial"/>
                <w:sz w:val="18"/>
                <w:lang w:val="en-GB" w:eastAsia="fr-FR"/>
              </w:rPr>
            </w:pPr>
          </w:p>
        </w:tc>
        <w:tc>
          <w:tcPr>
            <w:tcW w:w="983" w:type="dxa"/>
            <w:tcBorders>
              <w:top w:val="nil"/>
              <w:left w:val="nil"/>
              <w:bottom w:val="nil"/>
              <w:right w:val="nil"/>
            </w:tcBorders>
          </w:tcPr>
          <w:p w14:paraId="7EFDB30C" w14:textId="77777777" w:rsidR="00DC3416" w:rsidRPr="00397EC7" w:rsidRDefault="00DC3416" w:rsidP="00B82968">
            <w:pPr>
              <w:spacing w:after="0" w:line="240" w:lineRule="auto"/>
              <w:jc w:val="center"/>
              <w:rPr>
                <w:rFonts w:eastAsia="Calibri" w:cs="Arial"/>
                <w:sz w:val="18"/>
                <w:lang w:val="en-GB" w:eastAsia="fr-FR"/>
              </w:rPr>
            </w:pPr>
          </w:p>
        </w:tc>
        <w:tc>
          <w:tcPr>
            <w:tcW w:w="851" w:type="dxa"/>
            <w:tcBorders>
              <w:top w:val="nil"/>
              <w:left w:val="nil"/>
              <w:bottom w:val="nil"/>
              <w:right w:val="nil"/>
            </w:tcBorders>
            <w:shd w:val="clear" w:color="auto" w:fill="auto"/>
            <w:noWrap/>
            <w:vAlign w:val="bottom"/>
          </w:tcPr>
          <w:p w14:paraId="347AA9CD" w14:textId="3F368745" w:rsidR="00DC3416" w:rsidRPr="00397EC7" w:rsidRDefault="00DC3416" w:rsidP="00B82968">
            <w:pPr>
              <w:spacing w:after="0" w:line="240" w:lineRule="auto"/>
              <w:jc w:val="center"/>
              <w:rPr>
                <w:rFonts w:eastAsia="Calibri" w:cs="Arial"/>
                <w:sz w:val="18"/>
                <w:lang w:val="en-GB" w:eastAsia="fr-FR"/>
              </w:rPr>
            </w:pPr>
          </w:p>
        </w:tc>
        <w:tc>
          <w:tcPr>
            <w:tcW w:w="1077" w:type="dxa"/>
            <w:tcBorders>
              <w:top w:val="nil"/>
              <w:left w:val="nil"/>
              <w:bottom w:val="nil"/>
            </w:tcBorders>
            <w:shd w:val="clear" w:color="auto" w:fill="auto"/>
            <w:noWrap/>
            <w:vAlign w:val="bottom"/>
          </w:tcPr>
          <w:p w14:paraId="60D0F1B1" w14:textId="77777777" w:rsidR="00DC3416" w:rsidRPr="00397EC7" w:rsidRDefault="00DC3416" w:rsidP="00B82968">
            <w:pPr>
              <w:spacing w:after="0" w:line="240" w:lineRule="auto"/>
              <w:jc w:val="center"/>
              <w:rPr>
                <w:rFonts w:eastAsia="Calibri" w:cs="Arial"/>
                <w:sz w:val="18"/>
                <w:lang w:val="en-GB" w:eastAsia="fr-FR"/>
              </w:rPr>
            </w:pPr>
          </w:p>
        </w:tc>
      </w:tr>
      <w:tr w:rsidR="001C2087" w:rsidRPr="00397EC7" w14:paraId="26DA1016" w14:textId="77777777" w:rsidTr="00DC3416">
        <w:trPr>
          <w:trHeight w:val="227"/>
          <w:jc w:val="center"/>
        </w:trPr>
        <w:tc>
          <w:tcPr>
            <w:tcW w:w="3021" w:type="dxa"/>
            <w:tcBorders>
              <w:top w:val="nil"/>
              <w:left w:val="nil"/>
              <w:bottom w:val="nil"/>
              <w:right w:val="nil"/>
            </w:tcBorders>
            <w:shd w:val="clear" w:color="auto" w:fill="auto"/>
            <w:noWrap/>
            <w:vAlign w:val="bottom"/>
            <w:hideMark/>
          </w:tcPr>
          <w:p w14:paraId="668BC4E2" w14:textId="77777777" w:rsidR="001C2087" w:rsidRPr="00397EC7" w:rsidRDefault="001C2087" w:rsidP="00B82968">
            <w:pPr>
              <w:spacing w:after="0" w:line="240" w:lineRule="auto"/>
              <w:jc w:val="left"/>
              <w:rPr>
                <w:rFonts w:eastAsia="Calibri" w:cs="Arial"/>
                <w:sz w:val="18"/>
                <w:lang w:val="en-GB" w:eastAsia="fr-FR"/>
              </w:rPr>
            </w:pPr>
            <w:r w:rsidRPr="00397EC7">
              <w:rPr>
                <w:rFonts w:eastAsia="Calibri" w:cs="Arial"/>
                <w:sz w:val="18"/>
                <w:lang w:val="en-GB" w:eastAsia="fr-FR"/>
              </w:rPr>
              <w:t xml:space="preserve">  shock</w:t>
            </w:r>
          </w:p>
        </w:tc>
        <w:tc>
          <w:tcPr>
            <w:tcW w:w="959" w:type="dxa"/>
            <w:tcBorders>
              <w:top w:val="nil"/>
              <w:left w:val="nil"/>
              <w:bottom w:val="nil"/>
              <w:right w:val="nil"/>
            </w:tcBorders>
          </w:tcPr>
          <w:p w14:paraId="2F658108" w14:textId="54785DA3" w:rsidR="001C2087" w:rsidRPr="00397EC7" w:rsidRDefault="001C2087" w:rsidP="00B82968">
            <w:pPr>
              <w:spacing w:after="0" w:line="240" w:lineRule="auto"/>
              <w:jc w:val="center"/>
              <w:rPr>
                <w:rFonts w:eastAsia="Calibri" w:cs="Arial"/>
                <w:sz w:val="18"/>
                <w:lang w:val="en-GB" w:eastAsia="fr-FR"/>
              </w:rPr>
            </w:pPr>
            <w:r w:rsidRPr="001C2087">
              <w:rPr>
                <w:rFonts w:eastAsia="Calibri" w:cs="Arial"/>
                <w:sz w:val="18"/>
                <w:lang w:val="en-GB" w:eastAsia="fr-FR"/>
              </w:rPr>
              <w:t>116</w:t>
            </w:r>
          </w:p>
        </w:tc>
        <w:tc>
          <w:tcPr>
            <w:tcW w:w="983" w:type="dxa"/>
            <w:tcBorders>
              <w:top w:val="nil"/>
              <w:left w:val="nil"/>
              <w:bottom w:val="nil"/>
              <w:right w:val="nil"/>
            </w:tcBorders>
          </w:tcPr>
          <w:p w14:paraId="6413DBE2" w14:textId="28AD09FD" w:rsidR="001C2087" w:rsidRPr="00397EC7" w:rsidRDefault="001C2087" w:rsidP="00B82968">
            <w:pPr>
              <w:spacing w:after="0" w:line="240" w:lineRule="auto"/>
              <w:jc w:val="center"/>
              <w:rPr>
                <w:rFonts w:eastAsia="Calibri" w:cs="Arial"/>
                <w:sz w:val="18"/>
                <w:lang w:val="en-GB" w:eastAsia="fr-FR"/>
              </w:rPr>
            </w:pPr>
            <w:r w:rsidRPr="001C2087">
              <w:rPr>
                <w:rFonts w:eastAsia="Calibri" w:cs="Arial"/>
                <w:sz w:val="18"/>
                <w:lang w:val="en-GB" w:eastAsia="fr-FR"/>
              </w:rPr>
              <w:t>0.33</w:t>
            </w:r>
          </w:p>
        </w:tc>
        <w:tc>
          <w:tcPr>
            <w:tcW w:w="851" w:type="dxa"/>
            <w:tcBorders>
              <w:top w:val="nil"/>
              <w:left w:val="nil"/>
              <w:bottom w:val="nil"/>
              <w:right w:val="nil"/>
            </w:tcBorders>
            <w:shd w:val="clear" w:color="auto" w:fill="auto"/>
            <w:noWrap/>
            <w:vAlign w:val="center"/>
          </w:tcPr>
          <w:p w14:paraId="1B0D10F5" w14:textId="65CAC7F2" w:rsidR="001C2087" w:rsidRPr="00397EC7" w:rsidRDefault="001C2087" w:rsidP="00B82968">
            <w:pPr>
              <w:spacing w:after="0" w:line="240" w:lineRule="auto"/>
              <w:jc w:val="center"/>
              <w:rPr>
                <w:rFonts w:eastAsia="Calibri" w:cs="Arial"/>
                <w:sz w:val="18"/>
                <w:lang w:val="en-GB" w:eastAsia="fr-FR"/>
              </w:rPr>
            </w:pPr>
            <w:r w:rsidRPr="00397EC7">
              <w:rPr>
                <w:rFonts w:eastAsia="Calibri" w:cs="Arial"/>
                <w:sz w:val="18"/>
                <w:lang w:val="en-GB" w:eastAsia="fr-FR"/>
              </w:rPr>
              <w:t>1.9</w:t>
            </w:r>
          </w:p>
        </w:tc>
        <w:tc>
          <w:tcPr>
            <w:tcW w:w="1077" w:type="dxa"/>
            <w:tcBorders>
              <w:top w:val="nil"/>
              <w:left w:val="nil"/>
              <w:bottom w:val="nil"/>
            </w:tcBorders>
            <w:shd w:val="clear" w:color="auto" w:fill="auto"/>
            <w:noWrap/>
            <w:vAlign w:val="center"/>
          </w:tcPr>
          <w:p w14:paraId="5F504E56" w14:textId="79F94685" w:rsidR="001C2087" w:rsidRPr="00397EC7" w:rsidRDefault="001C2087" w:rsidP="00B82968">
            <w:pPr>
              <w:spacing w:after="0" w:line="240" w:lineRule="auto"/>
              <w:jc w:val="center"/>
              <w:rPr>
                <w:rFonts w:eastAsia="Calibri" w:cs="Arial"/>
                <w:sz w:val="18"/>
                <w:lang w:val="en-GB" w:eastAsia="fr-FR"/>
              </w:rPr>
            </w:pPr>
            <w:r w:rsidRPr="00397EC7">
              <w:rPr>
                <w:rFonts w:eastAsia="Calibri" w:cs="Arial"/>
                <w:sz w:val="18"/>
                <w:lang w:val="en-GB" w:eastAsia="fr-FR"/>
              </w:rPr>
              <w:t>[1.6-2.3]</w:t>
            </w:r>
          </w:p>
        </w:tc>
      </w:tr>
      <w:tr w:rsidR="001C2087" w:rsidRPr="00397EC7" w14:paraId="7209AF14" w14:textId="77777777" w:rsidTr="00DC3416">
        <w:trPr>
          <w:trHeight w:val="227"/>
          <w:jc w:val="center"/>
        </w:trPr>
        <w:tc>
          <w:tcPr>
            <w:tcW w:w="3021" w:type="dxa"/>
            <w:tcBorders>
              <w:top w:val="nil"/>
              <w:left w:val="nil"/>
              <w:bottom w:val="nil"/>
              <w:right w:val="nil"/>
            </w:tcBorders>
            <w:shd w:val="clear" w:color="auto" w:fill="auto"/>
            <w:noWrap/>
            <w:vAlign w:val="bottom"/>
            <w:hideMark/>
          </w:tcPr>
          <w:p w14:paraId="16A7E37A" w14:textId="77777777" w:rsidR="001C2087" w:rsidRPr="00397EC7" w:rsidRDefault="001C2087" w:rsidP="00B82968">
            <w:pPr>
              <w:spacing w:after="0" w:line="240" w:lineRule="auto"/>
              <w:jc w:val="left"/>
              <w:rPr>
                <w:rFonts w:eastAsia="Calibri" w:cs="Arial"/>
                <w:sz w:val="18"/>
                <w:lang w:val="en-GB" w:eastAsia="fr-FR"/>
              </w:rPr>
            </w:pPr>
            <w:r w:rsidRPr="00397EC7">
              <w:rPr>
                <w:rFonts w:eastAsia="Calibri" w:cs="Arial"/>
                <w:sz w:val="18"/>
                <w:lang w:val="en-GB" w:eastAsia="fr-FR"/>
              </w:rPr>
              <w:t xml:space="preserve">  myocardial infarction</w:t>
            </w:r>
          </w:p>
        </w:tc>
        <w:tc>
          <w:tcPr>
            <w:tcW w:w="959" w:type="dxa"/>
            <w:tcBorders>
              <w:top w:val="nil"/>
              <w:left w:val="nil"/>
              <w:bottom w:val="nil"/>
              <w:right w:val="nil"/>
            </w:tcBorders>
          </w:tcPr>
          <w:p w14:paraId="0CA79112" w14:textId="1164E53D" w:rsidR="001C2087" w:rsidRPr="00397EC7" w:rsidRDefault="001C2087" w:rsidP="00B82968">
            <w:pPr>
              <w:spacing w:after="0" w:line="240" w:lineRule="auto"/>
              <w:jc w:val="center"/>
              <w:rPr>
                <w:rFonts w:eastAsia="Calibri" w:cs="Arial"/>
                <w:sz w:val="18"/>
                <w:lang w:val="en-GB" w:eastAsia="fr-FR"/>
              </w:rPr>
            </w:pPr>
            <w:r w:rsidRPr="001C2087">
              <w:rPr>
                <w:rFonts w:eastAsia="Calibri" w:cs="Arial"/>
                <w:sz w:val="18"/>
                <w:lang w:val="en-GB" w:eastAsia="fr-FR"/>
              </w:rPr>
              <w:t>136</w:t>
            </w:r>
          </w:p>
        </w:tc>
        <w:tc>
          <w:tcPr>
            <w:tcW w:w="983" w:type="dxa"/>
            <w:tcBorders>
              <w:top w:val="nil"/>
              <w:left w:val="nil"/>
              <w:bottom w:val="nil"/>
              <w:right w:val="nil"/>
            </w:tcBorders>
          </w:tcPr>
          <w:p w14:paraId="13750ED2" w14:textId="66BAFCB8" w:rsidR="001C2087" w:rsidRPr="00397EC7" w:rsidRDefault="001C2087" w:rsidP="00B82968">
            <w:pPr>
              <w:spacing w:after="0" w:line="240" w:lineRule="auto"/>
              <w:jc w:val="center"/>
              <w:rPr>
                <w:rFonts w:eastAsia="Calibri" w:cs="Arial"/>
                <w:sz w:val="18"/>
                <w:lang w:val="en-GB" w:eastAsia="fr-FR"/>
              </w:rPr>
            </w:pPr>
            <w:r w:rsidRPr="001C2087">
              <w:rPr>
                <w:rFonts w:eastAsia="Calibri" w:cs="Arial"/>
                <w:sz w:val="18"/>
                <w:lang w:val="en-GB" w:eastAsia="fr-FR"/>
              </w:rPr>
              <w:t>0.38</w:t>
            </w:r>
          </w:p>
        </w:tc>
        <w:tc>
          <w:tcPr>
            <w:tcW w:w="851" w:type="dxa"/>
            <w:tcBorders>
              <w:top w:val="nil"/>
              <w:left w:val="nil"/>
              <w:bottom w:val="nil"/>
              <w:right w:val="nil"/>
            </w:tcBorders>
            <w:shd w:val="clear" w:color="auto" w:fill="auto"/>
            <w:noWrap/>
            <w:vAlign w:val="center"/>
          </w:tcPr>
          <w:p w14:paraId="41CE7DBC" w14:textId="68E74DFB" w:rsidR="001C2087" w:rsidRPr="00397EC7" w:rsidRDefault="001C2087" w:rsidP="00B82968">
            <w:pPr>
              <w:spacing w:after="0" w:line="240" w:lineRule="auto"/>
              <w:jc w:val="center"/>
              <w:rPr>
                <w:rFonts w:eastAsia="Calibri" w:cs="Arial"/>
                <w:sz w:val="18"/>
                <w:lang w:val="en-GB" w:eastAsia="fr-FR"/>
              </w:rPr>
            </w:pPr>
            <w:r w:rsidRPr="00397EC7">
              <w:rPr>
                <w:rFonts w:eastAsia="Calibri" w:cs="Arial"/>
                <w:sz w:val="18"/>
                <w:lang w:val="en-GB" w:eastAsia="fr-FR"/>
              </w:rPr>
              <w:t>1.5</w:t>
            </w:r>
          </w:p>
        </w:tc>
        <w:tc>
          <w:tcPr>
            <w:tcW w:w="1077" w:type="dxa"/>
            <w:tcBorders>
              <w:top w:val="nil"/>
              <w:left w:val="nil"/>
              <w:bottom w:val="nil"/>
            </w:tcBorders>
            <w:shd w:val="clear" w:color="auto" w:fill="auto"/>
            <w:noWrap/>
            <w:vAlign w:val="center"/>
          </w:tcPr>
          <w:p w14:paraId="29BA7AE7" w14:textId="28116CBE" w:rsidR="001C2087" w:rsidRPr="00397EC7" w:rsidRDefault="001C2087" w:rsidP="00B82968">
            <w:pPr>
              <w:spacing w:after="0" w:line="240" w:lineRule="auto"/>
              <w:jc w:val="center"/>
              <w:rPr>
                <w:rFonts w:eastAsia="Calibri" w:cs="Arial"/>
                <w:sz w:val="18"/>
                <w:lang w:val="en-GB" w:eastAsia="fr-FR"/>
              </w:rPr>
            </w:pPr>
            <w:r w:rsidRPr="00397EC7">
              <w:rPr>
                <w:rFonts w:eastAsia="Calibri" w:cs="Arial"/>
                <w:sz w:val="18"/>
                <w:lang w:val="en-GB" w:eastAsia="fr-FR"/>
              </w:rPr>
              <w:t>[1.3-1.8]</w:t>
            </w:r>
          </w:p>
        </w:tc>
      </w:tr>
      <w:tr w:rsidR="001C2087" w:rsidRPr="00397EC7" w14:paraId="3C167497" w14:textId="77777777" w:rsidTr="00DC3416">
        <w:trPr>
          <w:trHeight w:val="227"/>
          <w:jc w:val="center"/>
        </w:trPr>
        <w:tc>
          <w:tcPr>
            <w:tcW w:w="3021" w:type="dxa"/>
            <w:tcBorders>
              <w:top w:val="nil"/>
              <w:left w:val="nil"/>
              <w:bottom w:val="nil"/>
              <w:right w:val="nil"/>
            </w:tcBorders>
            <w:shd w:val="clear" w:color="auto" w:fill="auto"/>
            <w:noWrap/>
            <w:vAlign w:val="bottom"/>
            <w:hideMark/>
          </w:tcPr>
          <w:p w14:paraId="788E972F" w14:textId="77777777" w:rsidR="001C2087" w:rsidRPr="00397EC7" w:rsidRDefault="001C2087" w:rsidP="00B82968">
            <w:pPr>
              <w:spacing w:after="0" w:line="240" w:lineRule="auto"/>
              <w:jc w:val="left"/>
              <w:rPr>
                <w:rFonts w:eastAsia="Calibri" w:cs="Arial"/>
                <w:sz w:val="18"/>
                <w:lang w:val="en-GB" w:eastAsia="fr-FR"/>
              </w:rPr>
            </w:pPr>
            <w:r w:rsidRPr="00397EC7">
              <w:rPr>
                <w:rFonts w:eastAsia="Calibri" w:cs="Arial"/>
                <w:sz w:val="18"/>
                <w:lang w:val="en-GB" w:eastAsia="fr-FR"/>
              </w:rPr>
              <w:t xml:space="preserve">  stroke</w:t>
            </w:r>
          </w:p>
        </w:tc>
        <w:tc>
          <w:tcPr>
            <w:tcW w:w="959" w:type="dxa"/>
            <w:tcBorders>
              <w:top w:val="nil"/>
              <w:left w:val="nil"/>
              <w:bottom w:val="nil"/>
              <w:right w:val="nil"/>
            </w:tcBorders>
          </w:tcPr>
          <w:p w14:paraId="305F4523" w14:textId="2E7E1B73" w:rsidR="001C2087" w:rsidRPr="00397EC7" w:rsidRDefault="001C2087" w:rsidP="00B82968">
            <w:pPr>
              <w:spacing w:after="0" w:line="240" w:lineRule="auto"/>
              <w:jc w:val="center"/>
              <w:rPr>
                <w:rFonts w:eastAsia="Calibri" w:cs="Arial"/>
                <w:sz w:val="18"/>
                <w:lang w:val="en-GB" w:eastAsia="fr-FR"/>
              </w:rPr>
            </w:pPr>
            <w:r w:rsidRPr="001C2087">
              <w:rPr>
                <w:rFonts w:eastAsia="Calibri" w:cs="Arial"/>
                <w:sz w:val="18"/>
                <w:lang w:val="en-GB" w:eastAsia="fr-FR"/>
              </w:rPr>
              <w:t>214</w:t>
            </w:r>
          </w:p>
        </w:tc>
        <w:tc>
          <w:tcPr>
            <w:tcW w:w="983" w:type="dxa"/>
            <w:tcBorders>
              <w:top w:val="nil"/>
              <w:left w:val="nil"/>
              <w:bottom w:val="nil"/>
              <w:right w:val="nil"/>
            </w:tcBorders>
          </w:tcPr>
          <w:p w14:paraId="51EC2F53" w14:textId="36EFE73D" w:rsidR="001C2087" w:rsidRPr="00397EC7" w:rsidRDefault="001C2087" w:rsidP="00B82968">
            <w:pPr>
              <w:spacing w:after="0" w:line="240" w:lineRule="auto"/>
              <w:jc w:val="center"/>
              <w:rPr>
                <w:rFonts w:eastAsia="Calibri" w:cs="Arial"/>
                <w:sz w:val="18"/>
                <w:lang w:val="en-GB" w:eastAsia="fr-FR"/>
              </w:rPr>
            </w:pPr>
            <w:r w:rsidRPr="001C2087">
              <w:rPr>
                <w:rFonts w:eastAsia="Calibri" w:cs="Arial"/>
                <w:sz w:val="18"/>
                <w:lang w:val="en-GB" w:eastAsia="fr-FR"/>
              </w:rPr>
              <w:t>0.60</w:t>
            </w:r>
          </w:p>
        </w:tc>
        <w:tc>
          <w:tcPr>
            <w:tcW w:w="851" w:type="dxa"/>
            <w:tcBorders>
              <w:top w:val="nil"/>
              <w:left w:val="nil"/>
              <w:bottom w:val="nil"/>
              <w:right w:val="nil"/>
            </w:tcBorders>
            <w:shd w:val="clear" w:color="auto" w:fill="auto"/>
            <w:noWrap/>
            <w:vAlign w:val="center"/>
          </w:tcPr>
          <w:p w14:paraId="114AEF1F" w14:textId="0CC6595F" w:rsidR="001C2087" w:rsidRPr="00397EC7" w:rsidRDefault="001C2087" w:rsidP="00B82968">
            <w:pPr>
              <w:spacing w:after="0" w:line="240" w:lineRule="auto"/>
              <w:jc w:val="center"/>
              <w:rPr>
                <w:rFonts w:eastAsia="Calibri" w:cs="Arial"/>
                <w:sz w:val="18"/>
                <w:lang w:val="en-GB" w:eastAsia="fr-FR"/>
              </w:rPr>
            </w:pPr>
            <w:r w:rsidRPr="00397EC7">
              <w:rPr>
                <w:rFonts w:eastAsia="Calibri" w:cs="Arial"/>
                <w:sz w:val="18"/>
                <w:lang w:val="en-GB" w:eastAsia="fr-FR"/>
              </w:rPr>
              <w:t>1.8</w:t>
            </w:r>
          </w:p>
        </w:tc>
        <w:tc>
          <w:tcPr>
            <w:tcW w:w="1077" w:type="dxa"/>
            <w:tcBorders>
              <w:top w:val="nil"/>
              <w:left w:val="nil"/>
              <w:bottom w:val="nil"/>
            </w:tcBorders>
            <w:shd w:val="clear" w:color="auto" w:fill="auto"/>
            <w:noWrap/>
            <w:vAlign w:val="center"/>
          </w:tcPr>
          <w:p w14:paraId="02C43449" w14:textId="56DF6B85" w:rsidR="001C2087" w:rsidRPr="00397EC7" w:rsidRDefault="001C2087" w:rsidP="00B82968">
            <w:pPr>
              <w:spacing w:after="0" w:line="240" w:lineRule="auto"/>
              <w:jc w:val="center"/>
              <w:rPr>
                <w:rFonts w:eastAsia="Calibri" w:cs="Arial"/>
                <w:sz w:val="18"/>
                <w:lang w:val="en-GB" w:eastAsia="fr-FR"/>
              </w:rPr>
            </w:pPr>
            <w:r w:rsidRPr="00397EC7">
              <w:rPr>
                <w:rFonts w:eastAsia="Calibri" w:cs="Arial"/>
                <w:sz w:val="18"/>
                <w:lang w:val="en-GB" w:eastAsia="fr-FR"/>
              </w:rPr>
              <w:t>[1.6-2.1]</w:t>
            </w:r>
          </w:p>
        </w:tc>
      </w:tr>
      <w:tr w:rsidR="001C2087" w:rsidRPr="00397EC7" w14:paraId="308806BF" w14:textId="77777777" w:rsidTr="00DC3416">
        <w:trPr>
          <w:trHeight w:val="227"/>
          <w:jc w:val="center"/>
        </w:trPr>
        <w:tc>
          <w:tcPr>
            <w:tcW w:w="3021" w:type="dxa"/>
            <w:tcBorders>
              <w:top w:val="nil"/>
              <w:left w:val="nil"/>
              <w:bottom w:val="nil"/>
              <w:right w:val="nil"/>
            </w:tcBorders>
            <w:shd w:val="clear" w:color="auto" w:fill="auto"/>
            <w:noWrap/>
            <w:vAlign w:val="bottom"/>
            <w:hideMark/>
          </w:tcPr>
          <w:p w14:paraId="448394CE" w14:textId="77777777" w:rsidR="001C2087" w:rsidRPr="00397EC7" w:rsidRDefault="001C2087" w:rsidP="00B82968">
            <w:pPr>
              <w:spacing w:after="0" w:line="240" w:lineRule="auto"/>
              <w:jc w:val="left"/>
              <w:rPr>
                <w:rFonts w:eastAsia="Calibri" w:cs="Arial"/>
                <w:sz w:val="18"/>
                <w:lang w:val="en-GB" w:eastAsia="fr-FR"/>
              </w:rPr>
            </w:pPr>
            <w:r w:rsidRPr="00397EC7">
              <w:rPr>
                <w:rFonts w:eastAsia="Calibri" w:cs="Arial"/>
                <w:sz w:val="18"/>
                <w:lang w:val="en-GB" w:eastAsia="fr-FR"/>
              </w:rPr>
              <w:t xml:space="preserve">  pulmonary embolism</w:t>
            </w:r>
          </w:p>
        </w:tc>
        <w:tc>
          <w:tcPr>
            <w:tcW w:w="959" w:type="dxa"/>
            <w:tcBorders>
              <w:top w:val="nil"/>
              <w:left w:val="nil"/>
              <w:bottom w:val="nil"/>
              <w:right w:val="nil"/>
            </w:tcBorders>
          </w:tcPr>
          <w:p w14:paraId="750EDCF2" w14:textId="2C86EE8C" w:rsidR="001C2087" w:rsidRPr="00397EC7" w:rsidRDefault="001C2087" w:rsidP="00B82968">
            <w:pPr>
              <w:spacing w:after="0" w:line="240" w:lineRule="auto"/>
              <w:jc w:val="center"/>
              <w:rPr>
                <w:rFonts w:eastAsia="Calibri" w:cs="Arial"/>
                <w:sz w:val="18"/>
                <w:lang w:val="en-GB" w:eastAsia="fr-FR"/>
              </w:rPr>
            </w:pPr>
            <w:r w:rsidRPr="001C2087">
              <w:rPr>
                <w:rFonts w:eastAsia="Calibri" w:cs="Arial"/>
                <w:sz w:val="18"/>
                <w:lang w:val="en-GB" w:eastAsia="fr-FR"/>
              </w:rPr>
              <w:t>378</w:t>
            </w:r>
          </w:p>
        </w:tc>
        <w:tc>
          <w:tcPr>
            <w:tcW w:w="983" w:type="dxa"/>
            <w:tcBorders>
              <w:top w:val="nil"/>
              <w:left w:val="nil"/>
              <w:bottom w:val="nil"/>
              <w:right w:val="nil"/>
            </w:tcBorders>
          </w:tcPr>
          <w:p w14:paraId="563F1AFC" w14:textId="4F7A2D1A" w:rsidR="001C2087" w:rsidRPr="00397EC7" w:rsidRDefault="001C2087" w:rsidP="00B82968">
            <w:pPr>
              <w:spacing w:after="0" w:line="240" w:lineRule="auto"/>
              <w:jc w:val="center"/>
              <w:rPr>
                <w:rFonts w:eastAsia="Calibri" w:cs="Arial"/>
                <w:sz w:val="18"/>
                <w:lang w:val="en-GB" w:eastAsia="fr-FR"/>
              </w:rPr>
            </w:pPr>
            <w:r w:rsidRPr="001C2087">
              <w:rPr>
                <w:rFonts w:eastAsia="Calibri" w:cs="Arial"/>
                <w:sz w:val="18"/>
                <w:lang w:val="en-GB" w:eastAsia="fr-FR"/>
              </w:rPr>
              <w:t>1.1</w:t>
            </w:r>
          </w:p>
        </w:tc>
        <w:tc>
          <w:tcPr>
            <w:tcW w:w="851" w:type="dxa"/>
            <w:tcBorders>
              <w:top w:val="nil"/>
              <w:left w:val="nil"/>
              <w:bottom w:val="nil"/>
              <w:right w:val="nil"/>
            </w:tcBorders>
            <w:shd w:val="clear" w:color="auto" w:fill="auto"/>
            <w:noWrap/>
            <w:vAlign w:val="center"/>
          </w:tcPr>
          <w:p w14:paraId="06F08C6A" w14:textId="6CE0544C" w:rsidR="001C2087" w:rsidRPr="00397EC7" w:rsidRDefault="001C2087" w:rsidP="00B82968">
            <w:pPr>
              <w:spacing w:after="0" w:line="240" w:lineRule="auto"/>
              <w:jc w:val="center"/>
              <w:rPr>
                <w:rFonts w:eastAsia="Calibri" w:cs="Arial"/>
                <w:sz w:val="18"/>
                <w:lang w:val="en-GB" w:eastAsia="fr-FR"/>
              </w:rPr>
            </w:pPr>
            <w:r w:rsidRPr="00397EC7">
              <w:rPr>
                <w:rFonts w:eastAsia="Calibri" w:cs="Arial"/>
                <w:sz w:val="18"/>
                <w:lang w:val="en-GB" w:eastAsia="fr-FR"/>
              </w:rPr>
              <w:t>5.0</w:t>
            </w:r>
          </w:p>
        </w:tc>
        <w:tc>
          <w:tcPr>
            <w:tcW w:w="1077" w:type="dxa"/>
            <w:tcBorders>
              <w:top w:val="nil"/>
              <w:left w:val="nil"/>
              <w:bottom w:val="nil"/>
            </w:tcBorders>
            <w:shd w:val="clear" w:color="auto" w:fill="auto"/>
            <w:noWrap/>
            <w:vAlign w:val="center"/>
          </w:tcPr>
          <w:p w14:paraId="55476F5C" w14:textId="4BFF6B2E" w:rsidR="001C2087" w:rsidRPr="00397EC7" w:rsidRDefault="001C2087" w:rsidP="00B82968">
            <w:pPr>
              <w:spacing w:after="0" w:line="240" w:lineRule="auto"/>
              <w:jc w:val="center"/>
              <w:rPr>
                <w:rFonts w:eastAsia="Calibri" w:cs="Arial"/>
                <w:sz w:val="18"/>
                <w:lang w:val="en-GB" w:eastAsia="fr-FR"/>
              </w:rPr>
            </w:pPr>
            <w:r w:rsidRPr="00397EC7">
              <w:rPr>
                <w:rFonts w:eastAsia="Calibri" w:cs="Arial"/>
                <w:sz w:val="18"/>
                <w:lang w:val="en-GB" w:eastAsia="fr-FR"/>
              </w:rPr>
              <w:t>[4.6-5.6]</w:t>
            </w:r>
          </w:p>
        </w:tc>
      </w:tr>
      <w:tr w:rsidR="001C2087" w:rsidRPr="00397EC7" w14:paraId="57854572" w14:textId="77777777" w:rsidTr="00DC3416">
        <w:trPr>
          <w:trHeight w:val="227"/>
          <w:jc w:val="center"/>
        </w:trPr>
        <w:tc>
          <w:tcPr>
            <w:tcW w:w="3021" w:type="dxa"/>
            <w:tcBorders>
              <w:top w:val="nil"/>
              <w:left w:val="nil"/>
              <w:right w:val="nil"/>
            </w:tcBorders>
            <w:shd w:val="clear" w:color="auto" w:fill="auto"/>
            <w:noWrap/>
            <w:vAlign w:val="bottom"/>
          </w:tcPr>
          <w:p w14:paraId="6D779D8F" w14:textId="77777777" w:rsidR="001C2087" w:rsidRPr="00397EC7" w:rsidRDefault="001C2087" w:rsidP="00B82968">
            <w:pPr>
              <w:spacing w:after="0" w:line="240" w:lineRule="auto"/>
              <w:jc w:val="left"/>
              <w:rPr>
                <w:rFonts w:eastAsia="Calibri" w:cs="Arial"/>
                <w:b/>
                <w:sz w:val="18"/>
                <w:lang w:val="en-GB" w:eastAsia="fr-FR"/>
              </w:rPr>
            </w:pPr>
            <w:r w:rsidRPr="00397EC7">
              <w:rPr>
                <w:rFonts w:eastAsia="Calibri" w:cs="Arial"/>
                <w:b/>
                <w:sz w:val="18"/>
                <w:lang w:val="en-GB" w:eastAsia="fr-FR"/>
              </w:rPr>
              <w:t>Renal adverse events</w:t>
            </w:r>
          </w:p>
        </w:tc>
        <w:tc>
          <w:tcPr>
            <w:tcW w:w="959" w:type="dxa"/>
            <w:tcBorders>
              <w:top w:val="nil"/>
              <w:left w:val="nil"/>
              <w:right w:val="nil"/>
            </w:tcBorders>
          </w:tcPr>
          <w:p w14:paraId="36CBB522" w14:textId="77777777" w:rsidR="001C2087" w:rsidRPr="00397EC7" w:rsidRDefault="001C2087" w:rsidP="00B82968">
            <w:pPr>
              <w:spacing w:after="0" w:line="240" w:lineRule="auto"/>
              <w:jc w:val="center"/>
              <w:rPr>
                <w:rFonts w:eastAsia="Calibri" w:cs="Arial"/>
                <w:sz w:val="18"/>
                <w:lang w:val="en-GB" w:eastAsia="fr-FR"/>
              </w:rPr>
            </w:pPr>
          </w:p>
        </w:tc>
        <w:tc>
          <w:tcPr>
            <w:tcW w:w="983" w:type="dxa"/>
            <w:tcBorders>
              <w:top w:val="nil"/>
              <w:left w:val="nil"/>
              <w:right w:val="nil"/>
            </w:tcBorders>
          </w:tcPr>
          <w:p w14:paraId="3FF0ACE6" w14:textId="77777777" w:rsidR="001C2087" w:rsidRPr="00397EC7" w:rsidRDefault="001C2087" w:rsidP="00B82968">
            <w:pPr>
              <w:spacing w:after="0" w:line="240" w:lineRule="auto"/>
              <w:jc w:val="center"/>
              <w:rPr>
                <w:rFonts w:eastAsia="Calibri" w:cs="Arial"/>
                <w:sz w:val="18"/>
                <w:lang w:val="en-GB" w:eastAsia="fr-FR"/>
              </w:rPr>
            </w:pPr>
          </w:p>
        </w:tc>
        <w:tc>
          <w:tcPr>
            <w:tcW w:w="851" w:type="dxa"/>
            <w:tcBorders>
              <w:top w:val="nil"/>
              <w:left w:val="nil"/>
              <w:right w:val="nil"/>
            </w:tcBorders>
            <w:shd w:val="clear" w:color="auto" w:fill="auto"/>
            <w:noWrap/>
            <w:vAlign w:val="center"/>
          </w:tcPr>
          <w:p w14:paraId="20E45E6D" w14:textId="4DFB251D" w:rsidR="001C2087" w:rsidRPr="00397EC7" w:rsidRDefault="001C2087" w:rsidP="00B82968">
            <w:pPr>
              <w:spacing w:after="0" w:line="240" w:lineRule="auto"/>
              <w:jc w:val="center"/>
              <w:rPr>
                <w:rFonts w:eastAsia="Calibri" w:cs="Arial"/>
                <w:sz w:val="18"/>
                <w:lang w:val="en-GB" w:eastAsia="fr-FR"/>
              </w:rPr>
            </w:pPr>
          </w:p>
        </w:tc>
        <w:tc>
          <w:tcPr>
            <w:tcW w:w="1077" w:type="dxa"/>
            <w:tcBorders>
              <w:top w:val="nil"/>
              <w:left w:val="nil"/>
            </w:tcBorders>
            <w:shd w:val="clear" w:color="auto" w:fill="auto"/>
            <w:noWrap/>
            <w:vAlign w:val="center"/>
          </w:tcPr>
          <w:p w14:paraId="74074F97" w14:textId="77777777" w:rsidR="001C2087" w:rsidRPr="00397EC7" w:rsidRDefault="001C2087" w:rsidP="00B82968">
            <w:pPr>
              <w:spacing w:after="0" w:line="240" w:lineRule="auto"/>
              <w:jc w:val="center"/>
              <w:rPr>
                <w:rFonts w:eastAsia="Calibri" w:cs="Arial"/>
                <w:sz w:val="18"/>
                <w:lang w:val="en-GB" w:eastAsia="fr-FR"/>
              </w:rPr>
            </w:pPr>
          </w:p>
        </w:tc>
      </w:tr>
      <w:tr w:rsidR="001C2087" w:rsidRPr="00397EC7" w14:paraId="1DDBEB11" w14:textId="77777777" w:rsidTr="00DC3416">
        <w:trPr>
          <w:trHeight w:val="227"/>
          <w:jc w:val="center"/>
        </w:trPr>
        <w:tc>
          <w:tcPr>
            <w:tcW w:w="3021" w:type="dxa"/>
            <w:tcBorders>
              <w:top w:val="nil"/>
              <w:left w:val="nil"/>
              <w:right w:val="nil"/>
            </w:tcBorders>
            <w:shd w:val="clear" w:color="auto" w:fill="auto"/>
            <w:noWrap/>
            <w:vAlign w:val="bottom"/>
            <w:hideMark/>
          </w:tcPr>
          <w:p w14:paraId="2EC60E57" w14:textId="77777777" w:rsidR="001C2087" w:rsidRPr="00397EC7" w:rsidRDefault="001C2087" w:rsidP="00B82968">
            <w:pPr>
              <w:spacing w:after="0" w:line="240" w:lineRule="auto"/>
              <w:jc w:val="left"/>
              <w:rPr>
                <w:rFonts w:eastAsia="Calibri" w:cs="Arial"/>
                <w:sz w:val="18"/>
                <w:lang w:val="en-GB" w:eastAsia="fr-FR"/>
              </w:rPr>
            </w:pPr>
            <w:r w:rsidRPr="00397EC7">
              <w:rPr>
                <w:rFonts w:eastAsia="Calibri" w:cs="Arial"/>
                <w:sz w:val="18"/>
                <w:lang w:val="en-GB" w:eastAsia="fr-FR"/>
              </w:rPr>
              <w:t xml:space="preserve">  acute renal failure</w:t>
            </w:r>
          </w:p>
        </w:tc>
        <w:tc>
          <w:tcPr>
            <w:tcW w:w="959" w:type="dxa"/>
            <w:tcBorders>
              <w:top w:val="nil"/>
              <w:left w:val="nil"/>
              <w:right w:val="nil"/>
            </w:tcBorders>
          </w:tcPr>
          <w:p w14:paraId="3590AC88" w14:textId="1D2119C9" w:rsidR="001C2087" w:rsidRPr="00397EC7" w:rsidRDefault="001C2087" w:rsidP="00B82968">
            <w:pPr>
              <w:spacing w:after="0" w:line="240" w:lineRule="auto"/>
              <w:jc w:val="center"/>
              <w:rPr>
                <w:rFonts w:eastAsia="Calibri" w:cs="Arial"/>
                <w:sz w:val="18"/>
                <w:lang w:val="en-GB" w:eastAsia="fr-FR"/>
              </w:rPr>
            </w:pPr>
            <w:r w:rsidRPr="001C2087">
              <w:rPr>
                <w:rFonts w:eastAsia="Calibri" w:cs="Arial"/>
                <w:sz w:val="18"/>
                <w:lang w:val="en-GB" w:eastAsia="fr-FR"/>
              </w:rPr>
              <w:t>316</w:t>
            </w:r>
          </w:p>
        </w:tc>
        <w:tc>
          <w:tcPr>
            <w:tcW w:w="983" w:type="dxa"/>
            <w:tcBorders>
              <w:top w:val="nil"/>
              <w:left w:val="nil"/>
              <w:right w:val="nil"/>
            </w:tcBorders>
          </w:tcPr>
          <w:p w14:paraId="0A37B287" w14:textId="19E6F79C" w:rsidR="001C2087" w:rsidRPr="00397EC7" w:rsidRDefault="001C2087" w:rsidP="00B82968">
            <w:pPr>
              <w:spacing w:after="0" w:line="240" w:lineRule="auto"/>
              <w:jc w:val="center"/>
              <w:rPr>
                <w:rFonts w:eastAsia="Calibri" w:cs="Arial"/>
                <w:sz w:val="18"/>
                <w:lang w:val="en-GB" w:eastAsia="fr-FR"/>
              </w:rPr>
            </w:pPr>
            <w:r w:rsidRPr="001C2087">
              <w:rPr>
                <w:rFonts w:eastAsia="Calibri" w:cs="Arial"/>
                <w:sz w:val="18"/>
                <w:lang w:val="en-GB" w:eastAsia="fr-FR"/>
              </w:rPr>
              <w:t>0.89</w:t>
            </w:r>
          </w:p>
        </w:tc>
        <w:tc>
          <w:tcPr>
            <w:tcW w:w="851" w:type="dxa"/>
            <w:tcBorders>
              <w:top w:val="nil"/>
              <w:left w:val="nil"/>
              <w:right w:val="nil"/>
            </w:tcBorders>
            <w:shd w:val="clear" w:color="auto" w:fill="auto"/>
            <w:noWrap/>
            <w:vAlign w:val="center"/>
          </w:tcPr>
          <w:p w14:paraId="7F20F6F8" w14:textId="0F25BB57" w:rsidR="001C2087" w:rsidRPr="00397EC7" w:rsidRDefault="001C2087" w:rsidP="00B82968">
            <w:pPr>
              <w:spacing w:after="0" w:line="240" w:lineRule="auto"/>
              <w:jc w:val="center"/>
              <w:rPr>
                <w:rFonts w:eastAsia="Calibri" w:cs="Arial"/>
                <w:sz w:val="18"/>
                <w:lang w:val="en-GB" w:eastAsia="fr-FR"/>
              </w:rPr>
            </w:pPr>
            <w:r w:rsidRPr="00397EC7">
              <w:rPr>
                <w:rFonts w:eastAsia="Calibri" w:cs="Arial"/>
                <w:sz w:val="18"/>
                <w:lang w:val="en-GB" w:eastAsia="fr-FR"/>
              </w:rPr>
              <w:t>2.1</w:t>
            </w:r>
          </w:p>
        </w:tc>
        <w:tc>
          <w:tcPr>
            <w:tcW w:w="1077" w:type="dxa"/>
            <w:tcBorders>
              <w:top w:val="nil"/>
              <w:left w:val="nil"/>
            </w:tcBorders>
            <w:shd w:val="clear" w:color="auto" w:fill="auto"/>
            <w:noWrap/>
            <w:vAlign w:val="center"/>
          </w:tcPr>
          <w:p w14:paraId="2EAF805B" w14:textId="5A692327" w:rsidR="001C2087" w:rsidRPr="00397EC7" w:rsidRDefault="001C2087" w:rsidP="00B82968">
            <w:pPr>
              <w:spacing w:after="0" w:line="240" w:lineRule="auto"/>
              <w:jc w:val="center"/>
              <w:rPr>
                <w:rFonts w:eastAsia="Calibri" w:cs="Arial"/>
                <w:sz w:val="18"/>
                <w:lang w:val="en-GB" w:eastAsia="fr-FR"/>
              </w:rPr>
            </w:pPr>
            <w:r w:rsidRPr="00397EC7">
              <w:rPr>
                <w:rFonts w:eastAsia="Calibri" w:cs="Arial"/>
                <w:sz w:val="18"/>
                <w:lang w:val="en-GB" w:eastAsia="fr-FR"/>
              </w:rPr>
              <w:t>[1.8-2.3]</w:t>
            </w:r>
          </w:p>
        </w:tc>
      </w:tr>
      <w:tr w:rsidR="001C2087" w:rsidRPr="00397EC7" w14:paraId="79E616A6" w14:textId="77777777" w:rsidTr="00DC3416">
        <w:trPr>
          <w:trHeight w:val="227"/>
          <w:jc w:val="center"/>
        </w:trPr>
        <w:tc>
          <w:tcPr>
            <w:tcW w:w="3021" w:type="dxa"/>
            <w:tcBorders>
              <w:top w:val="nil"/>
              <w:left w:val="nil"/>
              <w:bottom w:val="single" w:sz="4" w:space="0" w:color="auto"/>
              <w:right w:val="nil"/>
            </w:tcBorders>
            <w:shd w:val="clear" w:color="auto" w:fill="auto"/>
            <w:noWrap/>
            <w:vAlign w:val="bottom"/>
            <w:hideMark/>
          </w:tcPr>
          <w:p w14:paraId="18D5B402" w14:textId="77777777" w:rsidR="001C2087" w:rsidRPr="00397EC7" w:rsidRDefault="001C2087" w:rsidP="00B82968">
            <w:pPr>
              <w:spacing w:after="0" w:line="240" w:lineRule="auto"/>
              <w:jc w:val="left"/>
              <w:rPr>
                <w:rFonts w:eastAsia="Calibri" w:cs="Arial"/>
                <w:sz w:val="18"/>
                <w:lang w:val="en-GB" w:eastAsia="fr-FR"/>
              </w:rPr>
            </w:pPr>
            <w:r w:rsidRPr="00397EC7">
              <w:rPr>
                <w:rFonts w:eastAsia="Calibri" w:cs="Arial"/>
                <w:sz w:val="18"/>
                <w:lang w:val="en-GB" w:eastAsia="fr-FR"/>
              </w:rPr>
              <w:t xml:space="preserve">  urolithiasis</w:t>
            </w:r>
          </w:p>
        </w:tc>
        <w:tc>
          <w:tcPr>
            <w:tcW w:w="959" w:type="dxa"/>
            <w:tcBorders>
              <w:top w:val="nil"/>
              <w:left w:val="nil"/>
              <w:bottom w:val="single" w:sz="4" w:space="0" w:color="auto"/>
              <w:right w:val="nil"/>
            </w:tcBorders>
          </w:tcPr>
          <w:p w14:paraId="4D89E13A" w14:textId="4CB5C901" w:rsidR="001C2087" w:rsidRPr="00397EC7" w:rsidRDefault="001C2087" w:rsidP="00B82968">
            <w:pPr>
              <w:spacing w:after="0" w:line="240" w:lineRule="auto"/>
              <w:jc w:val="center"/>
              <w:rPr>
                <w:rFonts w:eastAsia="Calibri" w:cs="Arial"/>
                <w:sz w:val="18"/>
                <w:lang w:val="en-GB" w:eastAsia="fr-FR"/>
              </w:rPr>
            </w:pPr>
            <w:r w:rsidRPr="001C2087">
              <w:rPr>
                <w:rFonts w:eastAsia="Calibri" w:cs="Arial"/>
                <w:sz w:val="18"/>
                <w:lang w:val="en-GB" w:eastAsia="fr-FR"/>
              </w:rPr>
              <w:t>924</w:t>
            </w:r>
          </w:p>
        </w:tc>
        <w:tc>
          <w:tcPr>
            <w:tcW w:w="983" w:type="dxa"/>
            <w:tcBorders>
              <w:top w:val="nil"/>
              <w:left w:val="nil"/>
              <w:bottom w:val="single" w:sz="4" w:space="0" w:color="auto"/>
              <w:right w:val="nil"/>
            </w:tcBorders>
          </w:tcPr>
          <w:p w14:paraId="3D924B0F" w14:textId="74ED0114" w:rsidR="001C2087" w:rsidRPr="00397EC7" w:rsidRDefault="001C2087" w:rsidP="00B82968">
            <w:pPr>
              <w:spacing w:after="0" w:line="240" w:lineRule="auto"/>
              <w:jc w:val="center"/>
              <w:rPr>
                <w:rFonts w:eastAsia="Calibri" w:cs="Arial"/>
                <w:sz w:val="18"/>
                <w:lang w:val="en-GB" w:eastAsia="fr-FR"/>
              </w:rPr>
            </w:pPr>
            <w:r w:rsidRPr="001C2087">
              <w:rPr>
                <w:rFonts w:eastAsia="Calibri" w:cs="Arial"/>
                <w:sz w:val="18"/>
                <w:lang w:val="en-GB" w:eastAsia="fr-FR"/>
              </w:rPr>
              <w:t>2.6</w:t>
            </w:r>
          </w:p>
        </w:tc>
        <w:tc>
          <w:tcPr>
            <w:tcW w:w="851" w:type="dxa"/>
            <w:tcBorders>
              <w:top w:val="nil"/>
              <w:left w:val="nil"/>
              <w:bottom w:val="single" w:sz="4" w:space="0" w:color="auto"/>
              <w:right w:val="nil"/>
            </w:tcBorders>
            <w:shd w:val="clear" w:color="auto" w:fill="auto"/>
            <w:noWrap/>
            <w:vAlign w:val="center"/>
          </w:tcPr>
          <w:p w14:paraId="5967797B" w14:textId="15C8A5B6" w:rsidR="001C2087" w:rsidRPr="00397EC7" w:rsidRDefault="001C2087" w:rsidP="00B82968">
            <w:pPr>
              <w:spacing w:after="0" w:line="240" w:lineRule="auto"/>
              <w:jc w:val="center"/>
              <w:rPr>
                <w:rFonts w:eastAsia="Calibri" w:cs="Arial"/>
                <w:sz w:val="18"/>
                <w:lang w:val="en-GB" w:eastAsia="fr-FR"/>
              </w:rPr>
            </w:pPr>
            <w:r w:rsidRPr="00397EC7">
              <w:rPr>
                <w:rFonts w:eastAsia="Calibri" w:cs="Arial"/>
                <w:sz w:val="18"/>
                <w:lang w:val="en-GB" w:eastAsia="fr-FR"/>
              </w:rPr>
              <w:t>5.6</w:t>
            </w:r>
          </w:p>
        </w:tc>
        <w:tc>
          <w:tcPr>
            <w:tcW w:w="1077" w:type="dxa"/>
            <w:tcBorders>
              <w:top w:val="nil"/>
              <w:left w:val="nil"/>
              <w:bottom w:val="single" w:sz="4" w:space="0" w:color="auto"/>
            </w:tcBorders>
            <w:shd w:val="clear" w:color="auto" w:fill="auto"/>
            <w:noWrap/>
            <w:vAlign w:val="center"/>
          </w:tcPr>
          <w:p w14:paraId="71AC4BD5" w14:textId="3B47E808" w:rsidR="001C2087" w:rsidRPr="00397EC7" w:rsidRDefault="001C2087" w:rsidP="00B82968">
            <w:pPr>
              <w:spacing w:after="0" w:line="240" w:lineRule="auto"/>
              <w:jc w:val="center"/>
              <w:rPr>
                <w:rFonts w:eastAsia="Calibri" w:cs="Arial"/>
                <w:sz w:val="18"/>
                <w:lang w:val="en-GB" w:eastAsia="fr-FR"/>
              </w:rPr>
            </w:pPr>
            <w:r w:rsidRPr="00397EC7">
              <w:rPr>
                <w:rFonts w:eastAsia="Calibri" w:cs="Arial"/>
                <w:sz w:val="18"/>
                <w:lang w:val="en-GB" w:eastAsia="fr-FR"/>
              </w:rPr>
              <w:t>[5.3-6.0]</w:t>
            </w:r>
          </w:p>
        </w:tc>
      </w:tr>
    </w:tbl>
    <w:p w14:paraId="6B77117E" w14:textId="77777777" w:rsidR="004725C8" w:rsidRPr="00397EC7" w:rsidRDefault="004725C8" w:rsidP="004725C8">
      <w:pPr>
        <w:spacing w:after="0" w:line="240" w:lineRule="auto"/>
        <w:rPr>
          <w:rFonts w:cs="Arial"/>
          <w:sz w:val="16"/>
          <w:szCs w:val="20"/>
          <w:lang w:val="en-GB" w:eastAsia="fr-FR"/>
        </w:rPr>
      </w:pPr>
      <w:r w:rsidRPr="00397EC7">
        <w:rPr>
          <w:rFonts w:cs="Arial"/>
          <w:sz w:val="16"/>
          <w:szCs w:val="20"/>
          <w:lang w:val="en-GB" w:eastAsia="fr-FR"/>
        </w:rPr>
        <w:t>Standard population: general scheme beneficiaries aged 30 years and over.</w:t>
      </w:r>
    </w:p>
    <w:p w14:paraId="3DE85403" w14:textId="2314B999" w:rsidR="004725C8" w:rsidRDefault="004725C8" w:rsidP="004725C8">
      <w:pPr>
        <w:spacing w:after="0" w:line="240" w:lineRule="auto"/>
        <w:rPr>
          <w:rFonts w:cs="Arial"/>
          <w:sz w:val="16"/>
          <w:szCs w:val="20"/>
          <w:lang w:val="en-GB" w:eastAsia="fr-FR"/>
        </w:rPr>
      </w:pPr>
      <w:r w:rsidRPr="00397EC7">
        <w:rPr>
          <w:rFonts w:cs="Arial"/>
          <w:sz w:val="16"/>
          <w:szCs w:val="20"/>
          <w:lang w:val="en-GB" w:eastAsia="fr-FR"/>
        </w:rPr>
        <w:t>CI: confidence interval.</w:t>
      </w:r>
    </w:p>
    <w:p w14:paraId="3476FC5F" w14:textId="581F265C" w:rsidR="00AA04DB" w:rsidRPr="00397EC7" w:rsidRDefault="00AA04DB" w:rsidP="004725C8">
      <w:pPr>
        <w:spacing w:after="0" w:line="240" w:lineRule="auto"/>
        <w:rPr>
          <w:rFonts w:cs="Arial"/>
          <w:sz w:val="16"/>
          <w:szCs w:val="20"/>
          <w:lang w:val="en-GB" w:eastAsia="fr-FR"/>
        </w:rPr>
      </w:pPr>
      <w:r>
        <w:rPr>
          <w:rFonts w:cs="Arial"/>
          <w:sz w:val="16"/>
          <w:szCs w:val="20"/>
          <w:lang w:val="en-GB" w:eastAsia="fr-FR"/>
        </w:rPr>
        <w:t xml:space="preserve">Patients excluded from this analysis were older (14.3% aged 80 or older) and had a higher number of pre-existing conditions (27.9% </w:t>
      </w:r>
      <w:r w:rsidRPr="00AA04DB">
        <w:rPr>
          <w:rFonts w:cs="Arial"/>
          <w:sz w:val="16"/>
          <w:szCs w:val="20"/>
          <w:lang w:val="en-GB" w:eastAsia="fr-FR"/>
        </w:rPr>
        <w:t xml:space="preserve">with a </w:t>
      </w:r>
      <w:proofErr w:type="spellStart"/>
      <w:r w:rsidRPr="00AA04DB">
        <w:rPr>
          <w:rFonts w:cs="Arial"/>
          <w:sz w:val="16"/>
          <w:szCs w:val="20"/>
          <w:lang w:val="en-GB" w:eastAsia="fr-FR"/>
        </w:rPr>
        <w:t>Charlson</w:t>
      </w:r>
      <w:proofErr w:type="spellEnd"/>
      <w:r w:rsidRPr="00AA04DB">
        <w:rPr>
          <w:rFonts w:cs="Arial"/>
          <w:sz w:val="16"/>
          <w:szCs w:val="20"/>
          <w:lang w:val="en-GB" w:eastAsia="fr-FR"/>
        </w:rPr>
        <w:t xml:space="preserve"> index score </w:t>
      </w:r>
      <w:r>
        <w:rPr>
          <w:rFonts w:cs="Arial"/>
          <w:sz w:val="16"/>
          <w:szCs w:val="20"/>
          <w:lang w:val="en-GB" w:eastAsia="fr-FR"/>
        </w:rPr>
        <w:t>≥2).</w:t>
      </w:r>
    </w:p>
    <w:p w14:paraId="14EBBEA6" w14:textId="77777777" w:rsidR="004725C8" w:rsidRPr="00397EC7" w:rsidRDefault="004725C8" w:rsidP="004725C8">
      <w:pPr>
        <w:rPr>
          <w:lang w:val="en-GB"/>
        </w:rPr>
      </w:pPr>
    </w:p>
    <w:p w14:paraId="1DB517CA" w14:textId="3573BCDC" w:rsidR="00966E2C" w:rsidRPr="00397EC7" w:rsidRDefault="00966E2C">
      <w:pPr>
        <w:spacing w:line="276" w:lineRule="auto"/>
        <w:jc w:val="left"/>
        <w:rPr>
          <w:rStyle w:val="Titredulivre"/>
          <w:rFonts w:cs="Arial"/>
          <w:b/>
          <w:bCs/>
          <w:lang w:val="en-GB"/>
        </w:rPr>
      </w:pPr>
      <w:r w:rsidRPr="00397EC7">
        <w:rPr>
          <w:rStyle w:val="Titredulivre"/>
          <w:rFonts w:cs="Arial"/>
          <w:b/>
          <w:bCs/>
          <w:lang w:val="en-GB"/>
        </w:rPr>
        <w:br w:type="page"/>
      </w:r>
    </w:p>
    <w:p w14:paraId="14443FB7" w14:textId="77777777" w:rsidR="00966E2C" w:rsidRPr="00397EC7" w:rsidRDefault="00966E2C">
      <w:pPr>
        <w:spacing w:line="276" w:lineRule="auto"/>
        <w:jc w:val="left"/>
        <w:rPr>
          <w:rStyle w:val="Titredulivre"/>
          <w:rFonts w:cs="Arial"/>
          <w:b/>
          <w:bCs/>
          <w:lang w:val="en-GB"/>
        </w:rPr>
        <w:sectPr w:rsidR="00966E2C" w:rsidRPr="00397EC7" w:rsidSect="00182D45">
          <w:footerReference w:type="default" r:id="rId9"/>
          <w:pgSz w:w="11906" w:h="16838"/>
          <w:pgMar w:top="1417" w:right="1417" w:bottom="1417" w:left="1417" w:header="708" w:footer="708" w:gutter="0"/>
          <w:cols w:space="708"/>
          <w:docGrid w:linePitch="360"/>
        </w:sectPr>
      </w:pPr>
    </w:p>
    <w:p w14:paraId="08CF84AE" w14:textId="074F3161" w:rsidR="00966E2C" w:rsidRPr="00397EC7" w:rsidRDefault="00A6091F" w:rsidP="00966E2C">
      <w:pPr>
        <w:pStyle w:val="Lgende"/>
        <w:spacing w:before="240"/>
        <w:rPr>
          <w:rFonts w:cs="Arial"/>
          <w:sz w:val="20"/>
          <w:lang w:val="en-GB"/>
        </w:rPr>
      </w:pPr>
      <w:r w:rsidRPr="00397EC7">
        <w:rPr>
          <w:rStyle w:val="Titredulivre"/>
          <w:rFonts w:cs="Times New Roman"/>
          <w:lang w:val="en-GB"/>
        </w:rPr>
        <w:lastRenderedPageBreak/>
        <w:t xml:space="preserve">Supplemental Table </w:t>
      </w:r>
      <w:r w:rsidR="00966E2C" w:rsidRPr="00397EC7">
        <w:rPr>
          <w:rFonts w:cs="Arial"/>
          <w:sz w:val="20"/>
          <w:lang w:val="en-GB"/>
        </w:rPr>
        <w:fldChar w:fldCharType="begin"/>
      </w:r>
      <w:r w:rsidR="00966E2C" w:rsidRPr="00397EC7">
        <w:rPr>
          <w:rFonts w:cs="Arial"/>
          <w:sz w:val="20"/>
          <w:lang w:val="en-GB"/>
        </w:rPr>
        <w:instrText xml:space="preserve"> SEQ Supplementary_table \* ARABIC </w:instrText>
      </w:r>
      <w:r w:rsidR="00966E2C" w:rsidRPr="00397EC7">
        <w:rPr>
          <w:rFonts w:cs="Arial"/>
          <w:sz w:val="20"/>
          <w:lang w:val="en-GB"/>
        </w:rPr>
        <w:fldChar w:fldCharType="separate"/>
      </w:r>
      <w:r w:rsidR="00750E24" w:rsidRPr="00397EC7">
        <w:rPr>
          <w:rFonts w:cs="Arial"/>
          <w:sz w:val="20"/>
          <w:lang w:val="en-GB"/>
        </w:rPr>
        <w:t>5</w:t>
      </w:r>
      <w:r w:rsidR="00966E2C" w:rsidRPr="00397EC7">
        <w:rPr>
          <w:rFonts w:cs="Arial"/>
          <w:sz w:val="20"/>
          <w:lang w:val="en-GB"/>
        </w:rPr>
        <w:fldChar w:fldCharType="end"/>
      </w:r>
      <w:r w:rsidR="00966E2C" w:rsidRPr="00397EC7">
        <w:rPr>
          <w:rFonts w:cs="Arial"/>
          <w:sz w:val="20"/>
          <w:lang w:val="en-GB"/>
        </w:rPr>
        <w:t>: Characteristics associated with cardiovascular adverse events: unadjusted logistic regression models (N = 4,088,799)</w:t>
      </w:r>
      <w:r w:rsidR="00D54129" w:rsidRPr="00397EC7">
        <w:rPr>
          <w:rFonts w:cs="Arial"/>
          <w:sz w:val="20"/>
          <w:lang w:val="en-GB"/>
        </w:rPr>
        <w:t>.</w:t>
      </w:r>
    </w:p>
    <w:tbl>
      <w:tblPr>
        <w:tblW w:w="16171" w:type="dxa"/>
        <w:jc w:val="center"/>
        <w:tblCellMar>
          <w:left w:w="70" w:type="dxa"/>
          <w:right w:w="70" w:type="dxa"/>
        </w:tblCellMar>
        <w:tblLook w:val="04A0" w:firstRow="1" w:lastRow="0" w:firstColumn="1" w:lastColumn="0" w:noHBand="0" w:noVBand="1"/>
      </w:tblPr>
      <w:tblGrid>
        <w:gridCol w:w="3525"/>
        <w:gridCol w:w="2552"/>
        <w:gridCol w:w="850"/>
        <w:gridCol w:w="191"/>
        <w:gridCol w:w="2471"/>
        <w:gridCol w:w="892"/>
        <w:gridCol w:w="191"/>
        <w:gridCol w:w="1804"/>
        <w:gridCol w:w="850"/>
        <w:gridCol w:w="191"/>
        <w:gridCol w:w="1804"/>
        <w:gridCol w:w="850"/>
      </w:tblGrid>
      <w:tr w:rsidR="00966E2C" w:rsidRPr="00397EC7" w14:paraId="3BCE0881" w14:textId="77777777" w:rsidTr="00D54129">
        <w:trPr>
          <w:trHeight w:val="170"/>
          <w:tblHeader/>
          <w:jc w:val="center"/>
        </w:trPr>
        <w:tc>
          <w:tcPr>
            <w:tcW w:w="3525" w:type="dxa"/>
            <w:tcBorders>
              <w:top w:val="single" w:sz="4" w:space="0" w:color="auto"/>
              <w:left w:val="nil"/>
              <w:right w:val="nil"/>
            </w:tcBorders>
            <w:shd w:val="clear" w:color="auto" w:fill="auto"/>
            <w:noWrap/>
            <w:vAlign w:val="bottom"/>
            <w:hideMark/>
          </w:tcPr>
          <w:p w14:paraId="1C21CB2C" w14:textId="77777777" w:rsidR="00966E2C" w:rsidRPr="00397EC7" w:rsidRDefault="00966E2C" w:rsidP="00643360">
            <w:pPr>
              <w:spacing w:after="0" w:line="240" w:lineRule="auto"/>
              <w:jc w:val="left"/>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3402" w:type="dxa"/>
            <w:gridSpan w:val="2"/>
            <w:tcBorders>
              <w:top w:val="single" w:sz="4" w:space="0" w:color="auto"/>
              <w:left w:val="nil"/>
              <w:bottom w:val="single" w:sz="4" w:space="0" w:color="auto"/>
              <w:right w:val="nil"/>
            </w:tcBorders>
            <w:shd w:val="clear" w:color="auto" w:fill="auto"/>
            <w:noWrap/>
            <w:vAlign w:val="bottom"/>
            <w:hideMark/>
          </w:tcPr>
          <w:p w14:paraId="577C2728"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Shock</w:t>
            </w:r>
          </w:p>
        </w:tc>
        <w:tc>
          <w:tcPr>
            <w:tcW w:w="191" w:type="dxa"/>
            <w:tcBorders>
              <w:top w:val="single" w:sz="4" w:space="0" w:color="auto"/>
              <w:left w:val="nil"/>
              <w:bottom w:val="nil"/>
              <w:right w:val="nil"/>
            </w:tcBorders>
            <w:shd w:val="clear" w:color="auto" w:fill="auto"/>
            <w:noWrap/>
            <w:vAlign w:val="bottom"/>
            <w:hideMark/>
          </w:tcPr>
          <w:p w14:paraId="50F71102"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w:t>
            </w:r>
          </w:p>
        </w:tc>
        <w:tc>
          <w:tcPr>
            <w:tcW w:w="3363" w:type="dxa"/>
            <w:gridSpan w:val="2"/>
            <w:tcBorders>
              <w:top w:val="single" w:sz="4" w:space="0" w:color="auto"/>
              <w:left w:val="nil"/>
              <w:bottom w:val="single" w:sz="4" w:space="0" w:color="auto"/>
              <w:right w:val="nil"/>
            </w:tcBorders>
            <w:shd w:val="clear" w:color="auto" w:fill="auto"/>
            <w:noWrap/>
            <w:vAlign w:val="bottom"/>
            <w:hideMark/>
          </w:tcPr>
          <w:p w14:paraId="31544DA6"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Myocardial infarction</w:t>
            </w:r>
          </w:p>
        </w:tc>
        <w:tc>
          <w:tcPr>
            <w:tcW w:w="191" w:type="dxa"/>
            <w:tcBorders>
              <w:top w:val="single" w:sz="4" w:space="0" w:color="auto"/>
              <w:left w:val="nil"/>
              <w:bottom w:val="nil"/>
              <w:right w:val="nil"/>
            </w:tcBorders>
            <w:shd w:val="clear" w:color="auto" w:fill="auto"/>
            <w:noWrap/>
            <w:vAlign w:val="bottom"/>
            <w:hideMark/>
          </w:tcPr>
          <w:p w14:paraId="0A339D91"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w:t>
            </w:r>
          </w:p>
        </w:tc>
        <w:tc>
          <w:tcPr>
            <w:tcW w:w="2654" w:type="dxa"/>
            <w:gridSpan w:val="2"/>
            <w:tcBorders>
              <w:top w:val="single" w:sz="4" w:space="0" w:color="auto"/>
              <w:left w:val="nil"/>
              <w:bottom w:val="single" w:sz="4" w:space="0" w:color="auto"/>
              <w:right w:val="nil"/>
            </w:tcBorders>
            <w:shd w:val="clear" w:color="auto" w:fill="auto"/>
            <w:noWrap/>
            <w:vAlign w:val="bottom"/>
            <w:hideMark/>
          </w:tcPr>
          <w:p w14:paraId="7930895B"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Stroke</w:t>
            </w:r>
          </w:p>
        </w:tc>
        <w:tc>
          <w:tcPr>
            <w:tcW w:w="191" w:type="dxa"/>
            <w:tcBorders>
              <w:top w:val="single" w:sz="4" w:space="0" w:color="auto"/>
              <w:left w:val="nil"/>
              <w:bottom w:val="nil"/>
              <w:right w:val="nil"/>
            </w:tcBorders>
            <w:shd w:val="clear" w:color="auto" w:fill="auto"/>
            <w:noWrap/>
            <w:vAlign w:val="bottom"/>
            <w:hideMark/>
          </w:tcPr>
          <w:p w14:paraId="5612656A"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w:t>
            </w:r>
          </w:p>
        </w:tc>
        <w:tc>
          <w:tcPr>
            <w:tcW w:w="2654" w:type="dxa"/>
            <w:gridSpan w:val="2"/>
            <w:tcBorders>
              <w:top w:val="single" w:sz="4" w:space="0" w:color="auto"/>
              <w:left w:val="nil"/>
              <w:bottom w:val="single" w:sz="4" w:space="0" w:color="auto"/>
              <w:right w:val="nil"/>
            </w:tcBorders>
            <w:shd w:val="clear" w:color="auto" w:fill="auto"/>
            <w:noWrap/>
            <w:vAlign w:val="bottom"/>
            <w:hideMark/>
          </w:tcPr>
          <w:p w14:paraId="1AC96901"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Pulmonary embolism</w:t>
            </w:r>
          </w:p>
        </w:tc>
      </w:tr>
      <w:tr w:rsidR="00966E2C" w:rsidRPr="00397EC7" w14:paraId="01FEB54E" w14:textId="77777777" w:rsidTr="00D54129">
        <w:trPr>
          <w:trHeight w:val="170"/>
          <w:tblHeader/>
          <w:jc w:val="center"/>
        </w:trPr>
        <w:tc>
          <w:tcPr>
            <w:tcW w:w="3525" w:type="dxa"/>
            <w:tcBorders>
              <w:left w:val="nil"/>
              <w:bottom w:val="single" w:sz="4" w:space="0" w:color="auto"/>
              <w:right w:val="nil"/>
            </w:tcBorders>
            <w:shd w:val="clear" w:color="auto" w:fill="auto"/>
            <w:noWrap/>
            <w:vAlign w:val="bottom"/>
            <w:hideMark/>
          </w:tcPr>
          <w:p w14:paraId="6A291F18"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2552" w:type="dxa"/>
            <w:tcBorders>
              <w:top w:val="nil"/>
              <w:left w:val="nil"/>
              <w:bottom w:val="single" w:sz="4" w:space="0" w:color="auto"/>
              <w:right w:val="nil"/>
            </w:tcBorders>
            <w:shd w:val="clear" w:color="auto" w:fill="auto"/>
            <w:noWrap/>
            <w:vAlign w:val="bottom"/>
            <w:hideMark/>
          </w:tcPr>
          <w:p w14:paraId="469ABA94"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OR [95% CI]</w:t>
            </w:r>
          </w:p>
        </w:tc>
        <w:tc>
          <w:tcPr>
            <w:tcW w:w="850" w:type="dxa"/>
            <w:tcBorders>
              <w:top w:val="nil"/>
              <w:left w:val="nil"/>
              <w:bottom w:val="single" w:sz="4" w:space="0" w:color="auto"/>
              <w:right w:val="nil"/>
            </w:tcBorders>
            <w:shd w:val="clear" w:color="auto" w:fill="auto"/>
            <w:noWrap/>
            <w:vAlign w:val="bottom"/>
            <w:hideMark/>
          </w:tcPr>
          <w:p w14:paraId="38F497F5"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 value</w:t>
            </w:r>
          </w:p>
        </w:tc>
        <w:tc>
          <w:tcPr>
            <w:tcW w:w="191" w:type="dxa"/>
            <w:tcBorders>
              <w:top w:val="nil"/>
              <w:left w:val="nil"/>
              <w:bottom w:val="single" w:sz="4" w:space="0" w:color="auto"/>
              <w:right w:val="nil"/>
            </w:tcBorders>
            <w:shd w:val="clear" w:color="auto" w:fill="auto"/>
            <w:noWrap/>
            <w:vAlign w:val="bottom"/>
            <w:hideMark/>
          </w:tcPr>
          <w:p w14:paraId="1A7663D4"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2471" w:type="dxa"/>
            <w:tcBorders>
              <w:top w:val="nil"/>
              <w:left w:val="nil"/>
              <w:bottom w:val="single" w:sz="4" w:space="0" w:color="auto"/>
              <w:right w:val="nil"/>
            </w:tcBorders>
            <w:shd w:val="clear" w:color="auto" w:fill="auto"/>
            <w:noWrap/>
            <w:vAlign w:val="bottom"/>
            <w:hideMark/>
          </w:tcPr>
          <w:p w14:paraId="4AE07CFA"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OR [95% CI]</w:t>
            </w:r>
          </w:p>
        </w:tc>
        <w:tc>
          <w:tcPr>
            <w:tcW w:w="892" w:type="dxa"/>
            <w:tcBorders>
              <w:top w:val="nil"/>
              <w:left w:val="nil"/>
              <w:bottom w:val="single" w:sz="4" w:space="0" w:color="auto"/>
              <w:right w:val="nil"/>
            </w:tcBorders>
            <w:shd w:val="clear" w:color="auto" w:fill="auto"/>
            <w:noWrap/>
            <w:vAlign w:val="bottom"/>
            <w:hideMark/>
          </w:tcPr>
          <w:p w14:paraId="21276F2B"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 value</w:t>
            </w:r>
          </w:p>
        </w:tc>
        <w:tc>
          <w:tcPr>
            <w:tcW w:w="191" w:type="dxa"/>
            <w:tcBorders>
              <w:top w:val="nil"/>
              <w:left w:val="nil"/>
              <w:bottom w:val="single" w:sz="4" w:space="0" w:color="auto"/>
              <w:right w:val="nil"/>
            </w:tcBorders>
            <w:shd w:val="clear" w:color="auto" w:fill="auto"/>
            <w:noWrap/>
            <w:vAlign w:val="bottom"/>
            <w:hideMark/>
          </w:tcPr>
          <w:p w14:paraId="00E09121"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804" w:type="dxa"/>
            <w:tcBorders>
              <w:top w:val="nil"/>
              <w:left w:val="nil"/>
              <w:bottom w:val="single" w:sz="4" w:space="0" w:color="auto"/>
              <w:right w:val="nil"/>
            </w:tcBorders>
            <w:shd w:val="clear" w:color="auto" w:fill="auto"/>
            <w:noWrap/>
            <w:vAlign w:val="bottom"/>
            <w:hideMark/>
          </w:tcPr>
          <w:p w14:paraId="422C3D8F"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OR [95% CI]</w:t>
            </w:r>
          </w:p>
        </w:tc>
        <w:tc>
          <w:tcPr>
            <w:tcW w:w="850" w:type="dxa"/>
            <w:tcBorders>
              <w:top w:val="nil"/>
              <w:left w:val="nil"/>
              <w:bottom w:val="single" w:sz="4" w:space="0" w:color="auto"/>
              <w:right w:val="nil"/>
            </w:tcBorders>
            <w:shd w:val="clear" w:color="auto" w:fill="auto"/>
            <w:noWrap/>
            <w:vAlign w:val="bottom"/>
            <w:hideMark/>
          </w:tcPr>
          <w:p w14:paraId="364274FC"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 value</w:t>
            </w:r>
          </w:p>
        </w:tc>
        <w:tc>
          <w:tcPr>
            <w:tcW w:w="191" w:type="dxa"/>
            <w:tcBorders>
              <w:top w:val="nil"/>
              <w:left w:val="nil"/>
              <w:bottom w:val="single" w:sz="4" w:space="0" w:color="auto"/>
              <w:right w:val="nil"/>
            </w:tcBorders>
            <w:shd w:val="clear" w:color="auto" w:fill="auto"/>
            <w:noWrap/>
            <w:vAlign w:val="bottom"/>
            <w:hideMark/>
          </w:tcPr>
          <w:p w14:paraId="2E8ECB47"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804" w:type="dxa"/>
            <w:tcBorders>
              <w:top w:val="nil"/>
              <w:left w:val="nil"/>
              <w:bottom w:val="single" w:sz="4" w:space="0" w:color="auto"/>
              <w:right w:val="nil"/>
            </w:tcBorders>
            <w:shd w:val="clear" w:color="auto" w:fill="auto"/>
            <w:noWrap/>
            <w:vAlign w:val="bottom"/>
            <w:hideMark/>
          </w:tcPr>
          <w:p w14:paraId="37193391"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OR [95% CI]</w:t>
            </w:r>
          </w:p>
        </w:tc>
        <w:tc>
          <w:tcPr>
            <w:tcW w:w="850" w:type="dxa"/>
            <w:tcBorders>
              <w:top w:val="nil"/>
              <w:left w:val="nil"/>
              <w:bottom w:val="single" w:sz="4" w:space="0" w:color="auto"/>
              <w:right w:val="nil"/>
            </w:tcBorders>
            <w:shd w:val="clear" w:color="auto" w:fill="auto"/>
            <w:noWrap/>
            <w:vAlign w:val="bottom"/>
            <w:hideMark/>
          </w:tcPr>
          <w:p w14:paraId="5CDC142C"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 value</w:t>
            </w:r>
          </w:p>
        </w:tc>
      </w:tr>
      <w:tr w:rsidR="00966E2C" w:rsidRPr="00397EC7" w14:paraId="73E01448" w14:textId="77777777" w:rsidTr="00D54129">
        <w:trPr>
          <w:trHeight w:val="170"/>
          <w:jc w:val="center"/>
        </w:trPr>
        <w:tc>
          <w:tcPr>
            <w:tcW w:w="3525" w:type="dxa"/>
            <w:tcBorders>
              <w:top w:val="single" w:sz="4" w:space="0" w:color="auto"/>
              <w:left w:val="nil"/>
              <w:bottom w:val="nil"/>
              <w:right w:val="nil"/>
            </w:tcBorders>
            <w:shd w:val="clear" w:color="auto" w:fill="auto"/>
            <w:noWrap/>
            <w:vAlign w:val="bottom"/>
            <w:hideMark/>
          </w:tcPr>
          <w:p w14:paraId="237E123B"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Year</w:t>
            </w:r>
          </w:p>
        </w:tc>
        <w:tc>
          <w:tcPr>
            <w:tcW w:w="2552" w:type="dxa"/>
            <w:tcBorders>
              <w:top w:val="nil"/>
              <w:left w:val="nil"/>
              <w:bottom w:val="nil"/>
              <w:right w:val="nil"/>
            </w:tcBorders>
            <w:shd w:val="clear" w:color="auto" w:fill="auto"/>
            <w:noWrap/>
            <w:vAlign w:val="bottom"/>
            <w:hideMark/>
          </w:tcPr>
          <w:p w14:paraId="368E314F"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p>
        </w:tc>
        <w:tc>
          <w:tcPr>
            <w:tcW w:w="850" w:type="dxa"/>
            <w:tcBorders>
              <w:top w:val="nil"/>
              <w:left w:val="nil"/>
              <w:bottom w:val="nil"/>
              <w:right w:val="nil"/>
            </w:tcBorders>
            <w:shd w:val="clear" w:color="auto" w:fill="auto"/>
            <w:noWrap/>
            <w:vAlign w:val="bottom"/>
            <w:hideMark/>
          </w:tcPr>
          <w:p w14:paraId="0806864F"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7D5B39AC" w14:textId="77777777" w:rsidR="00966E2C" w:rsidRPr="00397EC7" w:rsidRDefault="00966E2C" w:rsidP="00643360">
            <w:pPr>
              <w:spacing w:after="0" w:line="240" w:lineRule="auto"/>
              <w:jc w:val="center"/>
              <w:rPr>
                <w:rFonts w:eastAsia="Times New Roman" w:cs="Arial"/>
                <w:b/>
                <w:bCs/>
                <w:i/>
                <w:iCs/>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2FC0656F"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p>
        </w:tc>
        <w:tc>
          <w:tcPr>
            <w:tcW w:w="892" w:type="dxa"/>
            <w:tcBorders>
              <w:top w:val="nil"/>
              <w:left w:val="nil"/>
              <w:bottom w:val="nil"/>
              <w:right w:val="nil"/>
            </w:tcBorders>
            <w:shd w:val="clear" w:color="auto" w:fill="auto"/>
            <w:noWrap/>
            <w:vAlign w:val="bottom"/>
            <w:hideMark/>
          </w:tcPr>
          <w:p w14:paraId="0300272C"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37EB8047" w14:textId="77777777" w:rsidR="00966E2C" w:rsidRPr="00397EC7" w:rsidRDefault="00966E2C" w:rsidP="00643360">
            <w:pPr>
              <w:spacing w:after="0" w:line="240" w:lineRule="auto"/>
              <w:jc w:val="center"/>
              <w:rPr>
                <w:rFonts w:eastAsia="Times New Roman" w:cs="Arial"/>
                <w:b/>
                <w:bCs/>
                <w:i/>
                <w:iCs/>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60A4ED99"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p>
        </w:tc>
        <w:tc>
          <w:tcPr>
            <w:tcW w:w="850" w:type="dxa"/>
            <w:tcBorders>
              <w:top w:val="nil"/>
              <w:left w:val="nil"/>
              <w:bottom w:val="nil"/>
              <w:right w:val="nil"/>
            </w:tcBorders>
            <w:shd w:val="clear" w:color="auto" w:fill="auto"/>
            <w:noWrap/>
            <w:vAlign w:val="bottom"/>
            <w:hideMark/>
          </w:tcPr>
          <w:p w14:paraId="323BF434"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41143EC4" w14:textId="77777777" w:rsidR="00966E2C" w:rsidRPr="00397EC7" w:rsidRDefault="00966E2C" w:rsidP="00643360">
            <w:pPr>
              <w:spacing w:after="0" w:line="240" w:lineRule="auto"/>
              <w:jc w:val="center"/>
              <w:rPr>
                <w:rFonts w:eastAsia="Times New Roman" w:cs="Arial"/>
                <w:b/>
                <w:bCs/>
                <w:i/>
                <w:iCs/>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40B8B0CE"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p>
        </w:tc>
        <w:tc>
          <w:tcPr>
            <w:tcW w:w="850" w:type="dxa"/>
            <w:tcBorders>
              <w:top w:val="nil"/>
              <w:left w:val="nil"/>
              <w:bottom w:val="nil"/>
              <w:right w:val="nil"/>
            </w:tcBorders>
            <w:shd w:val="clear" w:color="auto" w:fill="auto"/>
            <w:noWrap/>
            <w:vAlign w:val="bottom"/>
            <w:hideMark/>
          </w:tcPr>
          <w:p w14:paraId="0863B33E"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1FD15ECA"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76770849"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2010</w:t>
            </w:r>
          </w:p>
        </w:tc>
        <w:tc>
          <w:tcPr>
            <w:tcW w:w="2552" w:type="dxa"/>
            <w:tcBorders>
              <w:top w:val="nil"/>
              <w:left w:val="nil"/>
              <w:bottom w:val="nil"/>
              <w:right w:val="nil"/>
            </w:tcBorders>
            <w:shd w:val="clear" w:color="auto" w:fill="auto"/>
            <w:noWrap/>
            <w:vAlign w:val="bottom"/>
            <w:hideMark/>
          </w:tcPr>
          <w:p w14:paraId="4F85DBB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1.13 [0.93-1.38]</w:t>
            </w:r>
          </w:p>
        </w:tc>
        <w:tc>
          <w:tcPr>
            <w:tcW w:w="850" w:type="dxa"/>
            <w:tcBorders>
              <w:top w:val="nil"/>
              <w:left w:val="nil"/>
              <w:bottom w:val="nil"/>
              <w:right w:val="nil"/>
            </w:tcBorders>
            <w:shd w:val="clear" w:color="auto" w:fill="auto"/>
            <w:noWrap/>
            <w:vAlign w:val="bottom"/>
            <w:hideMark/>
          </w:tcPr>
          <w:p w14:paraId="5D4AFDC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0.23</w:t>
            </w:r>
          </w:p>
        </w:tc>
        <w:tc>
          <w:tcPr>
            <w:tcW w:w="191" w:type="dxa"/>
            <w:tcBorders>
              <w:top w:val="nil"/>
              <w:left w:val="nil"/>
              <w:bottom w:val="nil"/>
              <w:right w:val="nil"/>
            </w:tcBorders>
            <w:shd w:val="clear" w:color="auto" w:fill="auto"/>
            <w:noWrap/>
            <w:vAlign w:val="bottom"/>
            <w:hideMark/>
          </w:tcPr>
          <w:p w14:paraId="20F6B6A1"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33C8F13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1.01 [0.73-1.40]</w:t>
            </w:r>
          </w:p>
        </w:tc>
        <w:tc>
          <w:tcPr>
            <w:tcW w:w="892" w:type="dxa"/>
            <w:tcBorders>
              <w:top w:val="nil"/>
              <w:left w:val="nil"/>
              <w:bottom w:val="nil"/>
              <w:right w:val="nil"/>
            </w:tcBorders>
            <w:shd w:val="clear" w:color="auto" w:fill="auto"/>
            <w:noWrap/>
            <w:vAlign w:val="bottom"/>
            <w:hideMark/>
          </w:tcPr>
          <w:p w14:paraId="3EDAA3B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0.93</w:t>
            </w:r>
          </w:p>
        </w:tc>
        <w:tc>
          <w:tcPr>
            <w:tcW w:w="191" w:type="dxa"/>
            <w:tcBorders>
              <w:top w:val="nil"/>
              <w:left w:val="nil"/>
              <w:bottom w:val="nil"/>
              <w:right w:val="nil"/>
            </w:tcBorders>
            <w:shd w:val="clear" w:color="auto" w:fill="auto"/>
            <w:noWrap/>
            <w:vAlign w:val="bottom"/>
            <w:hideMark/>
          </w:tcPr>
          <w:p w14:paraId="64C6BFE6"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37BCCB6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1.39 [1.1-1.74]</w:t>
            </w:r>
          </w:p>
        </w:tc>
        <w:tc>
          <w:tcPr>
            <w:tcW w:w="850" w:type="dxa"/>
            <w:tcBorders>
              <w:top w:val="nil"/>
              <w:left w:val="nil"/>
              <w:bottom w:val="nil"/>
              <w:right w:val="nil"/>
            </w:tcBorders>
            <w:shd w:val="clear" w:color="auto" w:fill="auto"/>
            <w:noWrap/>
            <w:vAlign w:val="bottom"/>
            <w:hideMark/>
          </w:tcPr>
          <w:p w14:paraId="60D3D0A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0.005</w:t>
            </w:r>
          </w:p>
        </w:tc>
        <w:tc>
          <w:tcPr>
            <w:tcW w:w="191" w:type="dxa"/>
            <w:tcBorders>
              <w:top w:val="nil"/>
              <w:left w:val="nil"/>
              <w:bottom w:val="nil"/>
              <w:right w:val="nil"/>
            </w:tcBorders>
            <w:shd w:val="clear" w:color="auto" w:fill="auto"/>
            <w:noWrap/>
            <w:vAlign w:val="bottom"/>
            <w:hideMark/>
          </w:tcPr>
          <w:p w14:paraId="38F8BD9C"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398ED7D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1.14 [0.94-1.37]</w:t>
            </w:r>
          </w:p>
        </w:tc>
        <w:tc>
          <w:tcPr>
            <w:tcW w:w="850" w:type="dxa"/>
            <w:tcBorders>
              <w:top w:val="nil"/>
              <w:left w:val="nil"/>
              <w:bottom w:val="nil"/>
              <w:right w:val="nil"/>
            </w:tcBorders>
            <w:shd w:val="clear" w:color="auto" w:fill="auto"/>
            <w:noWrap/>
            <w:vAlign w:val="bottom"/>
            <w:hideMark/>
          </w:tcPr>
          <w:p w14:paraId="37FA7E7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0.18</w:t>
            </w:r>
          </w:p>
        </w:tc>
      </w:tr>
      <w:tr w:rsidR="00966E2C" w:rsidRPr="00397EC7" w14:paraId="3AA83367"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3E2E2587"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2011</w:t>
            </w:r>
          </w:p>
        </w:tc>
        <w:tc>
          <w:tcPr>
            <w:tcW w:w="2552" w:type="dxa"/>
            <w:tcBorders>
              <w:top w:val="nil"/>
              <w:left w:val="nil"/>
              <w:bottom w:val="nil"/>
              <w:right w:val="nil"/>
            </w:tcBorders>
            <w:shd w:val="clear" w:color="auto" w:fill="auto"/>
            <w:noWrap/>
            <w:vAlign w:val="bottom"/>
            <w:hideMark/>
          </w:tcPr>
          <w:p w14:paraId="0B62841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 [0.82-1.23]</w:t>
            </w:r>
          </w:p>
        </w:tc>
        <w:tc>
          <w:tcPr>
            <w:tcW w:w="850" w:type="dxa"/>
            <w:tcBorders>
              <w:top w:val="nil"/>
              <w:left w:val="nil"/>
              <w:bottom w:val="nil"/>
              <w:right w:val="nil"/>
            </w:tcBorders>
            <w:shd w:val="clear" w:color="auto" w:fill="auto"/>
            <w:noWrap/>
            <w:vAlign w:val="bottom"/>
            <w:hideMark/>
          </w:tcPr>
          <w:p w14:paraId="5D7203E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191" w:type="dxa"/>
            <w:tcBorders>
              <w:top w:val="nil"/>
              <w:left w:val="nil"/>
              <w:bottom w:val="nil"/>
              <w:right w:val="nil"/>
            </w:tcBorders>
            <w:shd w:val="clear" w:color="auto" w:fill="auto"/>
            <w:noWrap/>
            <w:vAlign w:val="bottom"/>
            <w:hideMark/>
          </w:tcPr>
          <w:p w14:paraId="7A0B97F1"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29D0E42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0.76 [0.54-1.08]</w:t>
            </w:r>
          </w:p>
        </w:tc>
        <w:tc>
          <w:tcPr>
            <w:tcW w:w="892" w:type="dxa"/>
            <w:tcBorders>
              <w:top w:val="nil"/>
              <w:left w:val="nil"/>
              <w:bottom w:val="nil"/>
              <w:right w:val="nil"/>
            </w:tcBorders>
            <w:shd w:val="clear" w:color="auto" w:fill="auto"/>
            <w:noWrap/>
            <w:vAlign w:val="bottom"/>
            <w:hideMark/>
          </w:tcPr>
          <w:p w14:paraId="4DCD595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0.13</w:t>
            </w:r>
          </w:p>
        </w:tc>
        <w:tc>
          <w:tcPr>
            <w:tcW w:w="191" w:type="dxa"/>
            <w:tcBorders>
              <w:top w:val="nil"/>
              <w:left w:val="nil"/>
              <w:bottom w:val="nil"/>
              <w:right w:val="nil"/>
            </w:tcBorders>
            <w:shd w:val="clear" w:color="auto" w:fill="auto"/>
            <w:noWrap/>
            <w:vAlign w:val="bottom"/>
            <w:hideMark/>
          </w:tcPr>
          <w:p w14:paraId="59E9997A"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71B1B79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1.10 [0.87-1.4]</w:t>
            </w:r>
          </w:p>
        </w:tc>
        <w:tc>
          <w:tcPr>
            <w:tcW w:w="850" w:type="dxa"/>
            <w:tcBorders>
              <w:top w:val="nil"/>
              <w:left w:val="nil"/>
              <w:bottom w:val="nil"/>
              <w:right w:val="nil"/>
            </w:tcBorders>
            <w:shd w:val="clear" w:color="auto" w:fill="auto"/>
            <w:noWrap/>
            <w:vAlign w:val="bottom"/>
            <w:hideMark/>
          </w:tcPr>
          <w:p w14:paraId="49DDB0CA"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0.42</w:t>
            </w:r>
          </w:p>
        </w:tc>
        <w:tc>
          <w:tcPr>
            <w:tcW w:w="191" w:type="dxa"/>
            <w:tcBorders>
              <w:top w:val="nil"/>
              <w:left w:val="nil"/>
              <w:bottom w:val="nil"/>
              <w:right w:val="nil"/>
            </w:tcBorders>
            <w:shd w:val="clear" w:color="auto" w:fill="auto"/>
            <w:noWrap/>
            <w:vAlign w:val="bottom"/>
            <w:hideMark/>
          </w:tcPr>
          <w:p w14:paraId="58D41C68"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5C52B89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0.98 [0.81-1.19]</w:t>
            </w:r>
          </w:p>
        </w:tc>
        <w:tc>
          <w:tcPr>
            <w:tcW w:w="850" w:type="dxa"/>
            <w:tcBorders>
              <w:top w:val="nil"/>
              <w:left w:val="nil"/>
              <w:bottom w:val="nil"/>
              <w:right w:val="nil"/>
            </w:tcBorders>
            <w:shd w:val="clear" w:color="auto" w:fill="auto"/>
            <w:noWrap/>
            <w:vAlign w:val="bottom"/>
            <w:hideMark/>
          </w:tcPr>
          <w:p w14:paraId="6C81626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0.83</w:t>
            </w:r>
          </w:p>
        </w:tc>
      </w:tr>
      <w:tr w:rsidR="00966E2C" w:rsidRPr="00397EC7" w14:paraId="558722F4"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61C8BC2D"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2012</w:t>
            </w:r>
          </w:p>
        </w:tc>
        <w:tc>
          <w:tcPr>
            <w:tcW w:w="2552" w:type="dxa"/>
            <w:tcBorders>
              <w:top w:val="nil"/>
              <w:left w:val="nil"/>
              <w:bottom w:val="nil"/>
              <w:right w:val="nil"/>
            </w:tcBorders>
            <w:shd w:val="clear" w:color="auto" w:fill="auto"/>
            <w:noWrap/>
            <w:vAlign w:val="bottom"/>
            <w:hideMark/>
          </w:tcPr>
          <w:p w14:paraId="6CE7E84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0" w:type="dxa"/>
            <w:tcBorders>
              <w:top w:val="nil"/>
              <w:left w:val="nil"/>
              <w:bottom w:val="nil"/>
              <w:right w:val="nil"/>
            </w:tcBorders>
            <w:shd w:val="clear" w:color="auto" w:fill="auto"/>
            <w:noWrap/>
            <w:vAlign w:val="bottom"/>
            <w:hideMark/>
          </w:tcPr>
          <w:p w14:paraId="17C7F000"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6C4EE69F"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29F24B9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92" w:type="dxa"/>
            <w:tcBorders>
              <w:top w:val="nil"/>
              <w:left w:val="nil"/>
              <w:bottom w:val="nil"/>
              <w:right w:val="nil"/>
            </w:tcBorders>
            <w:shd w:val="clear" w:color="auto" w:fill="auto"/>
            <w:noWrap/>
            <w:vAlign w:val="bottom"/>
            <w:hideMark/>
          </w:tcPr>
          <w:p w14:paraId="4F499912"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55822580"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7CE570C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0" w:type="dxa"/>
            <w:tcBorders>
              <w:top w:val="nil"/>
              <w:left w:val="nil"/>
              <w:bottom w:val="nil"/>
              <w:right w:val="nil"/>
            </w:tcBorders>
            <w:shd w:val="clear" w:color="auto" w:fill="auto"/>
            <w:noWrap/>
            <w:vAlign w:val="bottom"/>
            <w:hideMark/>
          </w:tcPr>
          <w:p w14:paraId="09251F06"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7023E5A5"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2C2DDB2F"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0" w:type="dxa"/>
            <w:tcBorders>
              <w:top w:val="nil"/>
              <w:left w:val="nil"/>
              <w:bottom w:val="nil"/>
              <w:right w:val="nil"/>
            </w:tcBorders>
            <w:shd w:val="clear" w:color="auto" w:fill="auto"/>
            <w:noWrap/>
            <w:vAlign w:val="bottom"/>
            <w:hideMark/>
          </w:tcPr>
          <w:p w14:paraId="763E77CE"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6A01BED0"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3C54D411"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2013</w:t>
            </w:r>
          </w:p>
        </w:tc>
        <w:tc>
          <w:tcPr>
            <w:tcW w:w="2552" w:type="dxa"/>
            <w:tcBorders>
              <w:top w:val="nil"/>
              <w:left w:val="nil"/>
              <w:bottom w:val="nil"/>
              <w:right w:val="nil"/>
            </w:tcBorders>
            <w:shd w:val="clear" w:color="auto" w:fill="auto"/>
            <w:noWrap/>
            <w:vAlign w:val="bottom"/>
            <w:hideMark/>
          </w:tcPr>
          <w:p w14:paraId="1D58597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1.26 [1.04-1.53]</w:t>
            </w:r>
          </w:p>
        </w:tc>
        <w:tc>
          <w:tcPr>
            <w:tcW w:w="850" w:type="dxa"/>
            <w:tcBorders>
              <w:top w:val="nil"/>
              <w:left w:val="nil"/>
              <w:bottom w:val="nil"/>
              <w:right w:val="nil"/>
            </w:tcBorders>
            <w:shd w:val="clear" w:color="auto" w:fill="auto"/>
            <w:noWrap/>
            <w:vAlign w:val="bottom"/>
            <w:hideMark/>
          </w:tcPr>
          <w:p w14:paraId="616CA9B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0.02</w:t>
            </w:r>
          </w:p>
        </w:tc>
        <w:tc>
          <w:tcPr>
            <w:tcW w:w="191" w:type="dxa"/>
            <w:tcBorders>
              <w:top w:val="nil"/>
              <w:left w:val="nil"/>
              <w:bottom w:val="nil"/>
              <w:right w:val="nil"/>
            </w:tcBorders>
            <w:shd w:val="clear" w:color="auto" w:fill="auto"/>
            <w:noWrap/>
            <w:vAlign w:val="bottom"/>
            <w:hideMark/>
          </w:tcPr>
          <w:p w14:paraId="20B7542E"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342530D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0.86 [0.61-1.21]</w:t>
            </w:r>
          </w:p>
        </w:tc>
        <w:tc>
          <w:tcPr>
            <w:tcW w:w="892" w:type="dxa"/>
            <w:tcBorders>
              <w:top w:val="nil"/>
              <w:left w:val="nil"/>
              <w:bottom w:val="nil"/>
              <w:right w:val="nil"/>
            </w:tcBorders>
            <w:shd w:val="clear" w:color="auto" w:fill="auto"/>
            <w:noWrap/>
            <w:vAlign w:val="bottom"/>
            <w:hideMark/>
          </w:tcPr>
          <w:p w14:paraId="11D08B6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0.38</w:t>
            </w:r>
          </w:p>
        </w:tc>
        <w:tc>
          <w:tcPr>
            <w:tcW w:w="191" w:type="dxa"/>
            <w:tcBorders>
              <w:top w:val="nil"/>
              <w:left w:val="nil"/>
              <w:bottom w:val="nil"/>
              <w:right w:val="nil"/>
            </w:tcBorders>
            <w:shd w:val="clear" w:color="auto" w:fill="auto"/>
            <w:noWrap/>
            <w:vAlign w:val="bottom"/>
            <w:hideMark/>
          </w:tcPr>
          <w:p w14:paraId="08814863"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62C2C08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1.08 [0.84-1.38]</w:t>
            </w:r>
          </w:p>
        </w:tc>
        <w:tc>
          <w:tcPr>
            <w:tcW w:w="850" w:type="dxa"/>
            <w:tcBorders>
              <w:top w:val="nil"/>
              <w:left w:val="nil"/>
              <w:bottom w:val="nil"/>
              <w:right w:val="nil"/>
            </w:tcBorders>
            <w:shd w:val="clear" w:color="auto" w:fill="auto"/>
            <w:noWrap/>
            <w:vAlign w:val="bottom"/>
            <w:hideMark/>
          </w:tcPr>
          <w:p w14:paraId="645FD3BA"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0.56</w:t>
            </w:r>
          </w:p>
        </w:tc>
        <w:tc>
          <w:tcPr>
            <w:tcW w:w="191" w:type="dxa"/>
            <w:tcBorders>
              <w:top w:val="nil"/>
              <w:left w:val="nil"/>
              <w:bottom w:val="nil"/>
              <w:right w:val="nil"/>
            </w:tcBorders>
            <w:shd w:val="clear" w:color="auto" w:fill="auto"/>
            <w:noWrap/>
            <w:vAlign w:val="bottom"/>
            <w:hideMark/>
          </w:tcPr>
          <w:p w14:paraId="4B4A6F9F"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01A8F39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1.01 [0.83-1.23]</w:t>
            </w:r>
          </w:p>
        </w:tc>
        <w:tc>
          <w:tcPr>
            <w:tcW w:w="850" w:type="dxa"/>
            <w:tcBorders>
              <w:top w:val="nil"/>
              <w:left w:val="nil"/>
              <w:bottom w:val="nil"/>
              <w:right w:val="nil"/>
            </w:tcBorders>
            <w:shd w:val="clear" w:color="auto" w:fill="auto"/>
            <w:noWrap/>
            <w:vAlign w:val="bottom"/>
            <w:hideMark/>
          </w:tcPr>
          <w:p w14:paraId="4994BC1F"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0.94</w:t>
            </w:r>
          </w:p>
        </w:tc>
      </w:tr>
      <w:tr w:rsidR="00966E2C" w:rsidRPr="00397EC7" w14:paraId="559609CF"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600216CA"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2014</w:t>
            </w:r>
          </w:p>
        </w:tc>
        <w:tc>
          <w:tcPr>
            <w:tcW w:w="2552" w:type="dxa"/>
            <w:tcBorders>
              <w:top w:val="nil"/>
              <w:left w:val="nil"/>
              <w:bottom w:val="nil"/>
              <w:right w:val="nil"/>
            </w:tcBorders>
            <w:shd w:val="clear" w:color="auto" w:fill="auto"/>
            <w:noWrap/>
            <w:vAlign w:val="bottom"/>
            <w:hideMark/>
          </w:tcPr>
          <w:p w14:paraId="4B312C6F"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1.05 [0.85-1.29]</w:t>
            </w:r>
          </w:p>
        </w:tc>
        <w:tc>
          <w:tcPr>
            <w:tcW w:w="850" w:type="dxa"/>
            <w:tcBorders>
              <w:top w:val="nil"/>
              <w:left w:val="nil"/>
              <w:bottom w:val="nil"/>
              <w:right w:val="nil"/>
            </w:tcBorders>
            <w:shd w:val="clear" w:color="auto" w:fill="auto"/>
            <w:noWrap/>
            <w:vAlign w:val="bottom"/>
            <w:hideMark/>
          </w:tcPr>
          <w:p w14:paraId="38826B2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0.64</w:t>
            </w:r>
          </w:p>
        </w:tc>
        <w:tc>
          <w:tcPr>
            <w:tcW w:w="191" w:type="dxa"/>
            <w:tcBorders>
              <w:top w:val="nil"/>
              <w:left w:val="nil"/>
              <w:bottom w:val="nil"/>
              <w:right w:val="nil"/>
            </w:tcBorders>
            <w:shd w:val="clear" w:color="auto" w:fill="auto"/>
            <w:noWrap/>
            <w:vAlign w:val="bottom"/>
            <w:hideMark/>
          </w:tcPr>
          <w:p w14:paraId="7E548B6E"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0C75EEE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0.72 [0.50-1.04]</w:t>
            </w:r>
          </w:p>
        </w:tc>
        <w:tc>
          <w:tcPr>
            <w:tcW w:w="892" w:type="dxa"/>
            <w:tcBorders>
              <w:top w:val="nil"/>
              <w:left w:val="nil"/>
              <w:bottom w:val="nil"/>
              <w:right w:val="nil"/>
            </w:tcBorders>
            <w:shd w:val="clear" w:color="auto" w:fill="auto"/>
            <w:noWrap/>
            <w:vAlign w:val="bottom"/>
            <w:hideMark/>
          </w:tcPr>
          <w:p w14:paraId="2359E13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0.083</w:t>
            </w:r>
          </w:p>
        </w:tc>
        <w:tc>
          <w:tcPr>
            <w:tcW w:w="191" w:type="dxa"/>
            <w:tcBorders>
              <w:top w:val="nil"/>
              <w:left w:val="nil"/>
              <w:bottom w:val="nil"/>
              <w:right w:val="nil"/>
            </w:tcBorders>
            <w:shd w:val="clear" w:color="auto" w:fill="auto"/>
            <w:noWrap/>
            <w:vAlign w:val="bottom"/>
            <w:hideMark/>
          </w:tcPr>
          <w:p w14:paraId="4A21CCA7"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0DB4FC1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1.04 [0.81-1.34]</w:t>
            </w:r>
          </w:p>
        </w:tc>
        <w:tc>
          <w:tcPr>
            <w:tcW w:w="850" w:type="dxa"/>
            <w:tcBorders>
              <w:top w:val="nil"/>
              <w:left w:val="nil"/>
              <w:bottom w:val="nil"/>
              <w:right w:val="nil"/>
            </w:tcBorders>
            <w:shd w:val="clear" w:color="auto" w:fill="auto"/>
            <w:noWrap/>
            <w:vAlign w:val="bottom"/>
            <w:hideMark/>
          </w:tcPr>
          <w:p w14:paraId="733699A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0.74</w:t>
            </w:r>
          </w:p>
        </w:tc>
        <w:tc>
          <w:tcPr>
            <w:tcW w:w="191" w:type="dxa"/>
            <w:tcBorders>
              <w:top w:val="nil"/>
              <w:left w:val="nil"/>
              <w:bottom w:val="nil"/>
              <w:right w:val="nil"/>
            </w:tcBorders>
            <w:shd w:val="clear" w:color="auto" w:fill="auto"/>
            <w:noWrap/>
            <w:vAlign w:val="bottom"/>
            <w:hideMark/>
          </w:tcPr>
          <w:p w14:paraId="10B24D9A"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2357D90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1.03 [0.84-1.26]</w:t>
            </w:r>
          </w:p>
        </w:tc>
        <w:tc>
          <w:tcPr>
            <w:tcW w:w="850" w:type="dxa"/>
            <w:tcBorders>
              <w:top w:val="nil"/>
              <w:left w:val="nil"/>
              <w:bottom w:val="nil"/>
              <w:right w:val="nil"/>
            </w:tcBorders>
            <w:shd w:val="clear" w:color="auto" w:fill="auto"/>
            <w:noWrap/>
            <w:vAlign w:val="bottom"/>
            <w:hideMark/>
          </w:tcPr>
          <w:p w14:paraId="7C2C967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0.77</w:t>
            </w:r>
          </w:p>
        </w:tc>
      </w:tr>
      <w:tr w:rsidR="00966E2C" w:rsidRPr="00397EC7" w14:paraId="2131B74C"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7803204A"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2015</w:t>
            </w:r>
          </w:p>
        </w:tc>
        <w:tc>
          <w:tcPr>
            <w:tcW w:w="2552" w:type="dxa"/>
            <w:tcBorders>
              <w:top w:val="nil"/>
              <w:left w:val="nil"/>
              <w:bottom w:val="nil"/>
              <w:right w:val="nil"/>
            </w:tcBorders>
            <w:shd w:val="clear" w:color="auto" w:fill="auto"/>
            <w:noWrap/>
            <w:vAlign w:val="bottom"/>
            <w:hideMark/>
          </w:tcPr>
          <w:p w14:paraId="2AFAABC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1.31 [1.07-1.61]</w:t>
            </w:r>
          </w:p>
        </w:tc>
        <w:tc>
          <w:tcPr>
            <w:tcW w:w="850" w:type="dxa"/>
            <w:tcBorders>
              <w:top w:val="nil"/>
              <w:left w:val="nil"/>
              <w:bottom w:val="nil"/>
              <w:right w:val="nil"/>
            </w:tcBorders>
            <w:shd w:val="clear" w:color="auto" w:fill="auto"/>
            <w:noWrap/>
            <w:vAlign w:val="bottom"/>
            <w:hideMark/>
          </w:tcPr>
          <w:p w14:paraId="6D9C8C3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0.009</w:t>
            </w:r>
          </w:p>
        </w:tc>
        <w:tc>
          <w:tcPr>
            <w:tcW w:w="191" w:type="dxa"/>
            <w:tcBorders>
              <w:top w:val="nil"/>
              <w:left w:val="nil"/>
              <w:bottom w:val="nil"/>
              <w:right w:val="nil"/>
            </w:tcBorders>
            <w:shd w:val="clear" w:color="auto" w:fill="auto"/>
            <w:noWrap/>
            <w:vAlign w:val="bottom"/>
            <w:hideMark/>
          </w:tcPr>
          <w:p w14:paraId="29BB15A9"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093AB09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0.85 [0.59-1.23]</w:t>
            </w:r>
          </w:p>
        </w:tc>
        <w:tc>
          <w:tcPr>
            <w:tcW w:w="892" w:type="dxa"/>
            <w:tcBorders>
              <w:top w:val="nil"/>
              <w:left w:val="nil"/>
              <w:bottom w:val="nil"/>
              <w:right w:val="nil"/>
            </w:tcBorders>
            <w:shd w:val="clear" w:color="auto" w:fill="auto"/>
            <w:noWrap/>
            <w:vAlign w:val="bottom"/>
            <w:hideMark/>
          </w:tcPr>
          <w:p w14:paraId="2B9458AF"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0.39</w:t>
            </w:r>
          </w:p>
        </w:tc>
        <w:tc>
          <w:tcPr>
            <w:tcW w:w="191" w:type="dxa"/>
            <w:tcBorders>
              <w:top w:val="nil"/>
              <w:left w:val="nil"/>
              <w:bottom w:val="nil"/>
              <w:right w:val="nil"/>
            </w:tcBorders>
            <w:shd w:val="clear" w:color="auto" w:fill="auto"/>
            <w:noWrap/>
            <w:vAlign w:val="bottom"/>
            <w:hideMark/>
          </w:tcPr>
          <w:p w14:paraId="751AF947"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26DA127A"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0.74 [0.55-0.98]</w:t>
            </w:r>
          </w:p>
        </w:tc>
        <w:tc>
          <w:tcPr>
            <w:tcW w:w="850" w:type="dxa"/>
            <w:tcBorders>
              <w:top w:val="nil"/>
              <w:left w:val="nil"/>
              <w:bottom w:val="nil"/>
              <w:right w:val="nil"/>
            </w:tcBorders>
            <w:shd w:val="clear" w:color="auto" w:fill="auto"/>
            <w:noWrap/>
            <w:vAlign w:val="bottom"/>
            <w:hideMark/>
          </w:tcPr>
          <w:p w14:paraId="1703AB9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0.037</w:t>
            </w:r>
          </w:p>
        </w:tc>
        <w:tc>
          <w:tcPr>
            <w:tcW w:w="191" w:type="dxa"/>
            <w:tcBorders>
              <w:top w:val="nil"/>
              <w:left w:val="nil"/>
              <w:bottom w:val="nil"/>
              <w:right w:val="nil"/>
            </w:tcBorders>
            <w:shd w:val="clear" w:color="auto" w:fill="auto"/>
            <w:noWrap/>
            <w:vAlign w:val="bottom"/>
            <w:hideMark/>
          </w:tcPr>
          <w:p w14:paraId="02D9739B"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6B34AEF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1.05 [0.85-1.29]</w:t>
            </w:r>
          </w:p>
        </w:tc>
        <w:tc>
          <w:tcPr>
            <w:tcW w:w="850" w:type="dxa"/>
            <w:tcBorders>
              <w:top w:val="nil"/>
              <w:left w:val="nil"/>
              <w:bottom w:val="nil"/>
              <w:right w:val="nil"/>
            </w:tcBorders>
            <w:shd w:val="clear" w:color="auto" w:fill="auto"/>
            <w:noWrap/>
            <w:vAlign w:val="bottom"/>
            <w:hideMark/>
          </w:tcPr>
          <w:p w14:paraId="5F281EC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0.65</w:t>
            </w:r>
          </w:p>
        </w:tc>
      </w:tr>
      <w:tr w:rsidR="00966E2C" w:rsidRPr="00397EC7" w14:paraId="3855773A" w14:textId="77777777" w:rsidTr="00D54129">
        <w:trPr>
          <w:trHeight w:val="170"/>
          <w:jc w:val="center"/>
        </w:trPr>
        <w:tc>
          <w:tcPr>
            <w:tcW w:w="3525" w:type="dxa"/>
            <w:tcBorders>
              <w:top w:val="single" w:sz="4" w:space="0" w:color="auto"/>
              <w:left w:val="nil"/>
              <w:bottom w:val="nil"/>
              <w:right w:val="nil"/>
            </w:tcBorders>
            <w:shd w:val="clear" w:color="000000" w:fill="F2F2F2"/>
            <w:noWrap/>
            <w:vAlign w:val="bottom"/>
            <w:hideMark/>
          </w:tcPr>
          <w:p w14:paraId="0B51B3E2" w14:textId="77777777" w:rsidR="00966E2C" w:rsidRPr="00397EC7" w:rsidRDefault="00966E2C" w:rsidP="00643360">
            <w:pPr>
              <w:spacing w:after="0" w:line="240" w:lineRule="auto"/>
              <w:jc w:val="left"/>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Patient characteristics</w:t>
            </w:r>
          </w:p>
        </w:tc>
        <w:tc>
          <w:tcPr>
            <w:tcW w:w="2552" w:type="dxa"/>
            <w:tcBorders>
              <w:top w:val="single" w:sz="4" w:space="0" w:color="auto"/>
              <w:left w:val="nil"/>
              <w:bottom w:val="nil"/>
              <w:right w:val="nil"/>
            </w:tcBorders>
            <w:shd w:val="clear" w:color="000000" w:fill="F2F2F2"/>
            <w:noWrap/>
            <w:vAlign w:val="bottom"/>
            <w:hideMark/>
          </w:tcPr>
          <w:p w14:paraId="586E8D5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850" w:type="dxa"/>
            <w:tcBorders>
              <w:top w:val="single" w:sz="4" w:space="0" w:color="auto"/>
              <w:left w:val="nil"/>
              <w:bottom w:val="nil"/>
              <w:right w:val="nil"/>
            </w:tcBorders>
            <w:shd w:val="clear" w:color="000000" w:fill="F2F2F2"/>
            <w:noWrap/>
            <w:vAlign w:val="bottom"/>
            <w:hideMark/>
          </w:tcPr>
          <w:p w14:paraId="24310AD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91" w:type="dxa"/>
            <w:tcBorders>
              <w:top w:val="single" w:sz="4" w:space="0" w:color="auto"/>
              <w:left w:val="nil"/>
              <w:bottom w:val="nil"/>
              <w:right w:val="nil"/>
            </w:tcBorders>
            <w:shd w:val="clear" w:color="000000" w:fill="F2F2F2"/>
            <w:noWrap/>
            <w:vAlign w:val="bottom"/>
            <w:hideMark/>
          </w:tcPr>
          <w:p w14:paraId="0879917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2471" w:type="dxa"/>
            <w:tcBorders>
              <w:top w:val="single" w:sz="4" w:space="0" w:color="auto"/>
              <w:left w:val="nil"/>
              <w:bottom w:val="nil"/>
              <w:right w:val="nil"/>
            </w:tcBorders>
            <w:shd w:val="clear" w:color="000000" w:fill="F2F2F2"/>
            <w:noWrap/>
            <w:vAlign w:val="bottom"/>
            <w:hideMark/>
          </w:tcPr>
          <w:p w14:paraId="3ACED81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892" w:type="dxa"/>
            <w:tcBorders>
              <w:top w:val="single" w:sz="4" w:space="0" w:color="auto"/>
              <w:left w:val="nil"/>
              <w:bottom w:val="nil"/>
              <w:right w:val="nil"/>
            </w:tcBorders>
            <w:shd w:val="clear" w:color="000000" w:fill="F2F2F2"/>
            <w:noWrap/>
            <w:vAlign w:val="bottom"/>
            <w:hideMark/>
          </w:tcPr>
          <w:p w14:paraId="2C443A2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91" w:type="dxa"/>
            <w:tcBorders>
              <w:top w:val="single" w:sz="4" w:space="0" w:color="auto"/>
              <w:left w:val="nil"/>
              <w:bottom w:val="nil"/>
              <w:right w:val="nil"/>
            </w:tcBorders>
            <w:shd w:val="clear" w:color="000000" w:fill="F2F2F2"/>
            <w:noWrap/>
            <w:vAlign w:val="bottom"/>
            <w:hideMark/>
          </w:tcPr>
          <w:p w14:paraId="5078B20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804" w:type="dxa"/>
            <w:tcBorders>
              <w:top w:val="single" w:sz="4" w:space="0" w:color="auto"/>
              <w:left w:val="nil"/>
              <w:bottom w:val="nil"/>
              <w:right w:val="nil"/>
            </w:tcBorders>
            <w:shd w:val="clear" w:color="000000" w:fill="F2F2F2"/>
            <w:noWrap/>
            <w:vAlign w:val="bottom"/>
            <w:hideMark/>
          </w:tcPr>
          <w:p w14:paraId="4153978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850" w:type="dxa"/>
            <w:tcBorders>
              <w:top w:val="single" w:sz="4" w:space="0" w:color="auto"/>
              <w:left w:val="nil"/>
              <w:bottom w:val="nil"/>
              <w:right w:val="nil"/>
            </w:tcBorders>
            <w:shd w:val="clear" w:color="000000" w:fill="F2F2F2"/>
            <w:noWrap/>
            <w:vAlign w:val="bottom"/>
            <w:hideMark/>
          </w:tcPr>
          <w:p w14:paraId="3EE90B1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91" w:type="dxa"/>
            <w:tcBorders>
              <w:top w:val="single" w:sz="4" w:space="0" w:color="auto"/>
              <w:left w:val="nil"/>
              <w:bottom w:val="nil"/>
              <w:right w:val="nil"/>
            </w:tcBorders>
            <w:shd w:val="clear" w:color="000000" w:fill="F2F2F2"/>
            <w:noWrap/>
            <w:vAlign w:val="bottom"/>
            <w:hideMark/>
          </w:tcPr>
          <w:p w14:paraId="0D5AF3D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804" w:type="dxa"/>
            <w:tcBorders>
              <w:top w:val="single" w:sz="4" w:space="0" w:color="auto"/>
              <w:left w:val="nil"/>
              <w:bottom w:val="nil"/>
              <w:right w:val="nil"/>
            </w:tcBorders>
            <w:shd w:val="clear" w:color="000000" w:fill="F2F2F2"/>
            <w:noWrap/>
            <w:vAlign w:val="bottom"/>
            <w:hideMark/>
          </w:tcPr>
          <w:p w14:paraId="7548E5A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850" w:type="dxa"/>
            <w:tcBorders>
              <w:top w:val="single" w:sz="4" w:space="0" w:color="auto"/>
              <w:left w:val="nil"/>
              <w:bottom w:val="nil"/>
              <w:right w:val="nil"/>
            </w:tcBorders>
            <w:shd w:val="clear" w:color="000000" w:fill="F2F2F2"/>
            <w:noWrap/>
            <w:vAlign w:val="bottom"/>
            <w:hideMark/>
          </w:tcPr>
          <w:p w14:paraId="089E349F"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r>
      <w:tr w:rsidR="00966E2C" w:rsidRPr="00397EC7" w14:paraId="70523F88"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41CBC024"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Sex</w:t>
            </w:r>
          </w:p>
        </w:tc>
        <w:tc>
          <w:tcPr>
            <w:tcW w:w="2552" w:type="dxa"/>
            <w:tcBorders>
              <w:top w:val="nil"/>
              <w:left w:val="nil"/>
              <w:bottom w:val="nil"/>
              <w:right w:val="nil"/>
            </w:tcBorders>
            <w:shd w:val="clear" w:color="auto" w:fill="auto"/>
            <w:noWrap/>
            <w:vAlign w:val="bottom"/>
            <w:hideMark/>
          </w:tcPr>
          <w:p w14:paraId="4096F746"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850" w:type="dxa"/>
            <w:tcBorders>
              <w:top w:val="nil"/>
              <w:left w:val="nil"/>
              <w:bottom w:val="nil"/>
              <w:right w:val="nil"/>
            </w:tcBorders>
            <w:shd w:val="clear" w:color="auto" w:fill="auto"/>
            <w:noWrap/>
            <w:vAlign w:val="bottom"/>
            <w:hideMark/>
          </w:tcPr>
          <w:p w14:paraId="7A991C3B"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5EDD0189" w14:textId="77777777" w:rsidR="00966E2C" w:rsidRPr="00397EC7" w:rsidRDefault="00966E2C" w:rsidP="00643360">
            <w:pPr>
              <w:spacing w:after="0" w:line="240" w:lineRule="auto"/>
              <w:jc w:val="center"/>
              <w:rPr>
                <w:rFonts w:eastAsia="Times New Roman" w:cs="Arial"/>
                <w:b/>
                <w:bCs/>
                <w:i/>
                <w:iCs/>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5F90D995"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892" w:type="dxa"/>
            <w:tcBorders>
              <w:top w:val="nil"/>
              <w:left w:val="nil"/>
              <w:bottom w:val="nil"/>
              <w:right w:val="nil"/>
            </w:tcBorders>
            <w:shd w:val="clear" w:color="auto" w:fill="auto"/>
            <w:noWrap/>
            <w:vAlign w:val="bottom"/>
            <w:hideMark/>
          </w:tcPr>
          <w:p w14:paraId="52F809C9"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109C4A00" w14:textId="77777777" w:rsidR="00966E2C" w:rsidRPr="00397EC7" w:rsidRDefault="00966E2C" w:rsidP="00643360">
            <w:pPr>
              <w:spacing w:after="0" w:line="240" w:lineRule="auto"/>
              <w:jc w:val="center"/>
              <w:rPr>
                <w:rFonts w:eastAsia="Times New Roman" w:cs="Arial"/>
                <w:b/>
                <w:bCs/>
                <w:i/>
                <w:iCs/>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56CF9DA4"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850" w:type="dxa"/>
            <w:tcBorders>
              <w:top w:val="nil"/>
              <w:left w:val="nil"/>
              <w:bottom w:val="nil"/>
              <w:right w:val="nil"/>
            </w:tcBorders>
            <w:shd w:val="clear" w:color="auto" w:fill="auto"/>
            <w:noWrap/>
            <w:vAlign w:val="bottom"/>
            <w:hideMark/>
          </w:tcPr>
          <w:p w14:paraId="75DF8CE5"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1C2D11BF" w14:textId="77777777" w:rsidR="00966E2C" w:rsidRPr="00397EC7" w:rsidRDefault="00966E2C" w:rsidP="00643360">
            <w:pPr>
              <w:spacing w:after="0" w:line="240" w:lineRule="auto"/>
              <w:jc w:val="center"/>
              <w:rPr>
                <w:rFonts w:eastAsia="Times New Roman" w:cs="Arial"/>
                <w:b/>
                <w:bCs/>
                <w:i/>
                <w:iCs/>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080E9D3D"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850" w:type="dxa"/>
            <w:tcBorders>
              <w:top w:val="nil"/>
              <w:left w:val="nil"/>
              <w:bottom w:val="nil"/>
              <w:right w:val="nil"/>
            </w:tcBorders>
            <w:shd w:val="clear" w:color="auto" w:fill="auto"/>
            <w:noWrap/>
            <w:vAlign w:val="bottom"/>
            <w:hideMark/>
          </w:tcPr>
          <w:p w14:paraId="33B2E043"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00237ED4"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1E5C3267"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male</w:t>
            </w:r>
          </w:p>
        </w:tc>
        <w:tc>
          <w:tcPr>
            <w:tcW w:w="2552" w:type="dxa"/>
            <w:tcBorders>
              <w:top w:val="nil"/>
              <w:left w:val="nil"/>
              <w:bottom w:val="nil"/>
              <w:right w:val="nil"/>
            </w:tcBorders>
            <w:shd w:val="clear" w:color="auto" w:fill="auto"/>
            <w:noWrap/>
            <w:vAlign w:val="bottom"/>
            <w:hideMark/>
          </w:tcPr>
          <w:p w14:paraId="520665C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0" w:type="dxa"/>
            <w:tcBorders>
              <w:top w:val="nil"/>
              <w:left w:val="nil"/>
              <w:bottom w:val="nil"/>
              <w:right w:val="nil"/>
            </w:tcBorders>
            <w:shd w:val="clear" w:color="auto" w:fill="auto"/>
            <w:noWrap/>
            <w:vAlign w:val="bottom"/>
            <w:hideMark/>
          </w:tcPr>
          <w:p w14:paraId="5A7B13ED"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3EB85160"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4016A76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92" w:type="dxa"/>
            <w:tcBorders>
              <w:top w:val="nil"/>
              <w:left w:val="nil"/>
              <w:bottom w:val="nil"/>
              <w:right w:val="nil"/>
            </w:tcBorders>
            <w:shd w:val="clear" w:color="auto" w:fill="auto"/>
            <w:noWrap/>
            <w:vAlign w:val="bottom"/>
            <w:hideMark/>
          </w:tcPr>
          <w:p w14:paraId="40208729"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3AEE15F3"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5ACCCDE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0" w:type="dxa"/>
            <w:tcBorders>
              <w:top w:val="nil"/>
              <w:left w:val="nil"/>
              <w:bottom w:val="nil"/>
              <w:right w:val="nil"/>
            </w:tcBorders>
            <w:shd w:val="clear" w:color="auto" w:fill="auto"/>
            <w:noWrap/>
            <w:vAlign w:val="bottom"/>
            <w:hideMark/>
          </w:tcPr>
          <w:p w14:paraId="7E0369A8"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63F95D52"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707E066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0" w:type="dxa"/>
            <w:tcBorders>
              <w:top w:val="nil"/>
              <w:left w:val="nil"/>
              <w:bottom w:val="nil"/>
              <w:right w:val="nil"/>
            </w:tcBorders>
            <w:shd w:val="clear" w:color="auto" w:fill="auto"/>
            <w:noWrap/>
            <w:vAlign w:val="bottom"/>
            <w:hideMark/>
          </w:tcPr>
          <w:p w14:paraId="2DC881AC"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r>
      <w:tr w:rsidR="00966E2C" w:rsidRPr="00397EC7" w14:paraId="30831EEA"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6CC5283C"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female</w:t>
            </w:r>
          </w:p>
        </w:tc>
        <w:tc>
          <w:tcPr>
            <w:tcW w:w="2552" w:type="dxa"/>
            <w:tcBorders>
              <w:top w:val="nil"/>
              <w:left w:val="nil"/>
              <w:bottom w:val="nil"/>
              <w:right w:val="nil"/>
            </w:tcBorders>
            <w:shd w:val="clear" w:color="auto" w:fill="auto"/>
            <w:noWrap/>
            <w:vAlign w:val="bottom"/>
            <w:hideMark/>
          </w:tcPr>
          <w:p w14:paraId="62A57FD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0.45 [0.40-0.50]</w:t>
            </w:r>
          </w:p>
        </w:tc>
        <w:tc>
          <w:tcPr>
            <w:tcW w:w="850" w:type="dxa"/>
            <w:tcBorders>
              <w:top w:val="nil"/>
              <w:left w:val="nil"/>
              <w:bottom w:val="nil"/>
              <w:right w:val="nil"/>
            </w:tcBorders>
            <w:shd w:val="clear" w:color="auto" w:fill="auto"/>
            <w:noWrap/>
            <w:vAlign w:val="bottom"/>
            <w:hideMark/>
          </w:tcPr>
          <w:p w14:paraId="0226D8B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27559EE2"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1ABCFDE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0.38 [0.31-0.48]</w:t>
            </w:r>
          </w:p>
        </w:tc>
        <w:tc>
          <w:tcPr>
            <w:tcW w:w="892" w:type="dxa"/>
            <w:tcBorders>
              <w:top w:val="nil"/>
              <w:left w:val="nil"/>
              <w:bottom w:val="nil"/>
              <w:right w:val="nil"/>
            </w:tcBorders>
            <w:shd w:val="clear" w:color="auto" w:fill="auto"/>
            <w:noWrap/>
            <w:vAlign w:val="bottom"/>
            <w:hideMark/>
          </w:tcPr>
          <w:p w14:paraId="5F64469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24F46B31"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4FC0FEF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0.68 [0.59-0.79]</w:t>
            </w:r>
          </w:p>
        </w:tc>
        <w:tc>
          <w:tcPr>
            <w:tcW w:w="850" w:type="dxa"/>
            <w:tcBorders>
              <w:top w:val="nil"/>
              <w:left w:val="nil"/>
              <w:bottom w:val="nil"/>
              <w:right w:val="nil"/>
            </w:tcBorders>
            <w:shd w:val="clear" w:color="auto" w:fill="auto"/>
            <w:noWrap/>
            <w:vAlign w:val="bottom"/>
            <w:hideMark/>
          </w:tcPr>
          <w:p w14:paraId="3A01D3C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73261371"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16C4BEF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0.85 [0.76-0.96]</w:t>
            </w:r>
          </w:p>
        </w:tc>
        <w:tc>
          <w:tcPr>
            <w:tcW w:w="850" w:type="dxa"/>
            <w:tcBorders>
              <w:top w:val="nil"/>
              <w:left w:val="nil"/>
              <w:bottom w:val="nil"/>
              <w:right w:val="nil"/>
            </w:tcBorders>
            <w:shd w:val="clear" w:color="auto" w:fill="auto"/>
            <w:noWrap/>
            <w:vAlign w:val="bottom"/>
            <w:hideMark/>
          </w:tcPr>
          <w:p w14:paraId="14DE558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0.0062</w:t>
            </w:r>
          </w:p>
        </w:tc>
      </w:tr>
      <w:tr w:rsidR="00966E2C" w:rsidRPr="00397EC7" w14:paraId="1653BA0B"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3145C3CF"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Age</w:t>
            </w:r>
          </w:p>
        </w:tc>
        <w:tc>
          <w:tcPr>
            <w:tcW w:w="2552" w:type="dxa"/>
            <w:tcBorders>
              <w:top w:val="nil"/>
              <w:left w:val="nil"/>
              <w:bottom w:val="nil"/>
              <w:right w:val="nil"/>
            </w:tcBorders>
            <w:shd w:val="clear" w:color="auto" w:fill="auto"/>
            <w:noWrap/>
            <w:vAlign w:val="bottom"/>
            <w:hideMark/>
          </w:tcPr>
          <w:p w14:paraId="5C75BD01"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850" w:type="dxa"/>
            <w:tcBorders>
              <w:top w:val="nil"/>
              <w:left w:val="nil"/>
              <w:bottom w:val="nil"/>
              <w:right w:val="nil"/>
            </w:tcBorders>
            <w:shd w:val="clear" w:color="auto" w:fill="auto"/>
            <w:noWrap/>
            <w:vAlign w:val="bottom"/>
            <w:hideMark/>
          </w:tcPr>
          <w:p w14:paraId="2BE0C347"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68B0548E"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4FA8BCA7"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892" w:type="dxa"/>
            <w:tcBorders>
              <w:top w:val="nil"/>
              <w:left w:val="nil"/>
              <w:bottom w:val="nil"/>
              <w:right w:val="nil"/>
            </w:tcBorders>
            <w:shd w:val="clear" w:color="auto" w:fill="auto"/>
            <w:noWrap/>
            <w:vAlign w:val="bottom"/>
            <w:hideMark/>
          </w:tcPr>
          <w:p w14:paraId="175A302E"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79F7228F"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18F5BD97"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850" w:type="dxa"/>
            <w:tcBorders>
              <w:top w:val="nil"/>
              <w:left w:val="nil"/>
              <w:bottom w:val="nil"/>
              <w:right w:val="nil"/>
            </w:tcBorders>
            <w:shd w:val="clear" w:color="auto" w:fill="auto"/>
            <w:noWrap/>
            <w:vAlign w:val="bottom"/>
            <w:hideMark/>
          </w:tcPr>
          <w:p w14:paraId="2677043A"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3EE9EBA7"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2F02438E"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850" w:type="dxa"/>
            <w:tcBorders>
              <w:top w:val="nil"/>
              <w:left w:val="nil"/>
              <w:bottom w:val="nil"/>
              <w:right w:val="nil"/>
            </w:tcBorders>
            <w:shd w:val="clear" w:color="auto" w:fill="auto"/>
            <w:noWrap/>
            <w:vAlign w:val="bottom"/>
            <w:hideMark/>
          </w:tcPr>
          <w:p w14:paraId="04E668EB"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69D6CBB5"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2514F417"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30-39</w:t>
            </w:r>
          </w:p>
        </w:tc>
        <w:tc>
          <w:tcPr>
            <w:tcW w:w="2552" w:type="dxa"/>
            <w:tcBorders>
              <w:top w:val="nil"/>
              <w:left w:val="nil"/>
              <w:bottom w:val="nil"/>
              <w:right w:val="nil"/>
            </w:tcBorders>
            <w:shd w:val="clear" w:color="auto" w:fill="auto"/>
            <w:noWrap/>
            <w:vAlign w:val="bottom"/>
            <w:hideMark/>
          </w:tcPr>
          <w:p w14:paraId="2FE4E3C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0" w:type="dxa"/>
            <w:tcBorders>
              <w:top w:val="nil"/>
              <w:left w:val="nil"/>
              <w:bottom w:val="nil"/>
              <w:right w:val="nil"/>
            </w:tcBorders>
            <w:shd w:val="clear" w:color="auto" w:fill="auto"/>
            <w:noWrap/>
            <w:vAlign w:val="bottom"/>
            <w:hideMark/>
          </w:tcPr>
          <w:p w14:paraId="7B02554D"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238F6449"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4F06FAF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92" w:type="dxa"/>
            <w:tcBorders>
              <w:top w:val="nil"/>
              <w:left w:val="nil"/>
              <w:bottom w:val="nil"/>
              <w:right w:val="nil"/>
            </w:tcBorders>
            <w:shd w:val="clear" w:color="auto" w:fill="auto"/>
            <w:noWrap/>
            <w:vAlign w:val="bottom"/>
            <w:hideMark/>
          </w:tcPr>
          <w:p w14:paraId="59D7BE22"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44A612B7"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3228D3B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0" w:type="dxa"/>
            <w:tcBorders>
              <w:top w:val="nil"/>
              <w:left w:val="nil"/>
              <w:bottom w:val="nil"/>
              <w:right w:val="nil"/>
            </w:tcBorders>
            <w:shd w:val="clear" w:color="auto" w:fill="auto"/>
            <w:noWrap/>
            <w:vAlign w:val="bottom"/>
            <w:hideMark/>
          </w:tcPr>
          <w:p w14:paraId="634E05A4"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433B4456"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53B9765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0" w:type="dxa"/>
            <w:tcBorders>
              <w:top w:val="nil"/>
              <w:left w:val="nil"/>
              <w:bottom w:val="nil"/>
              <w:right w:val="nil"/>
            </w:tcBorders>
            <w:shd w:val="clear" w:color="auto" w:fill="auto"/>
            <w:noWrap/>
            <w:vAlign w:val="bottom"/>
            <w:hideMark/>
          </w:tcPr>
          <w:p w14:paraId="0CFD3B40"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10632F05"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7051C734"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40-49</w:t>
            </w:r>
          </w:p>
        </w:tc>
        <w:tc>
          <w:tcPr>
            <w:tcW w:w="2552" w:type="dxa"/>
            <w:tcBorders>
              <w:top w:val="nil"/>
              <w:left w:val="nil"/>
              <w:bottom w:val="nil"/>
              <w:right w:val="nil"/>
            </w:tcBorders>
            <w:shd w:val="clear" w:color="auto" w:fill="auto"/>
            <w:noWrap/>
            <w:vAlign w:val="bottom"/>
            <w:hideMark/>
          </w:tcPr>
          <w:p w14:paraId="0C53F7A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0.96 [0.66-1.40]</w:t>
            </w:r>
          </w:p>
        </w:tc>
        <w:tc>
          <w:tcPr>
            <w:tcW w:w="850" w:type="dxa"/>
            <w:tcBorders>
              <w:top w:val="nil"/>
              <w:left w:val="nil"/>
              <w:bottom w:val="nil"/>
              <w:right w:val="nil"/>
            </w:tcBorders>
            <w:shd w:val="clear" w:color="auto" w:fill="auto"/>
            <w:noWrap/>
            <w:vAlign w:val="bottom"/>
            <w:hideMark/>
          </w:tcPr>
          <w:p w14:paraId="0C515CFA"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0.85</w:t>
            </w:r>
          </w:p>
        </w:tc>
        <w:tc>
          <w:tcPr>
            <w:tcW w:w="191" w:type="dxa"/>
            <w:tcBorders>
              <w:top w:val="nil"/>
              <w:left w:val="nil"/>
              <w:bottom w:val="nil"/>
              <w:right w:val="nil"/>
            </w:tcBorders>
            <w:shd w:val="clear" w:color="auto" w:fill="auto"/>
            <w:noWrap/>
            <w:vAlign w:val="bottom"/>
            <w:hideMark/>
          </w:tcPr>
          <w:p w14:paraId="28688DFB"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4E1BA1A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4.77 [1.46-15.5]</w:t>
            </w:r>
          </w:p>
        </w:tc>
        <w:tc>
          <w:tcPr>
            <w:tcW w:w="892" w:type="dxa"/>
            <w:tcBorders>
              <w:top w:val="nil"/>
              <w:left w:val="nil"/>
              <w:bottom w:val="nil"/>
              <w:right w:val="nil"/>
            </w:tcBorders>
            <w:shd w:val="clear" w:color="auto" w:fill="auto"/>
            <w:noWrap/>
            <w:vAlign w:val="bottom"/>
            <w:hideMark/>
          </w:tcPr>
          <w:p w14:paraId="1514C0AF"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0.0096</w:t>
            </w:r>
          </w:p>
        </w:tc>
        <w:tc>
          <w:tcPr>
            <w:tcW w:w="191" w:type="dxa"/>
            <w:tcBorders>
              <w:top w:val="nil"/>
              <w:left w:val="nil"/>
              <w:bottom w:val="nil"/>
              <w:right w:val="nil"/>
            </w:tcBorders>
            <w:shd w:val="clear" w:color="auto" w:fill="auto"/>
            <w:noWrap/>
            <w:vAlign w:val="bottom"/>
            <w:hideMark/>
          </w:tcPr>
          <w:p w14:paraId="5830C494"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61F234C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1.54 [0.73-3.22]</w:t>
            </w:r>
          </w:p>
        </w:tc>
        <w:tc>
          <w:tcPr>
            <w:tcW w:w="850" w:type="dxa"/>
            <w:tcBorders>
              <w:top w:val="nil"/>
              <w:left w:val="nil"/>
              <w:bottom w:val="nil"/>
              <w:right w:val="nil"/>
            </w:tcBorders>
            <w:shd w:val="clear" w:color="auto" w:fill="auto"/>
            <w:noWrap/>
            <w:vAlign w:val="bottom"/>
            <w:hideMark/>
          </w:tcPr>
          <w:p w14:paraId="23DFE6C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0.25</w:t>
            </w:r>
          </w:p>
        </w:tc>
        <w:tc>
          <w:tcPr>
            <w:tcW w:w="191" w:type="dxa"/>
            <w:tcBorders>
              <w:top w:val="nil"/>
              <w:left w:val="nil"/>
              <w:bottom w:val="nil"/>
              <w:right w:val="nil"/>
            </w:tcBorders>
            <w:shd w:val="clear" w:color="auto" w:fill="auto"/>
            <w:noWrap/>
            <w:vAlign w:val="bottom"/>
            <w:hideMark/>
          </w:tcPr>
          <w:p w14:paraId="5FA42485"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3719FB2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1.57 [1.10-2.25]</w:t>
            </w:r>
          </w:p>
        </w:tc>
        <w:tc>
          <w:tcPr>
            <w:tcW w:w="850" w:type="dxa"/>
            <w:tcBorders>
              <w:top w:val="nil"/>
              <w:left w:val="nil"/>
              <w:bottom w:val="nil"/>
              <w:right w:val="nil"/>
            </w:tcBorders>
            <w:shd w:val="clear" w:color="auto" w:fill="auto"/>
            <w:noWrap/>
            <w:vAlign w:val="bottom"/>
            <w:hideMark/>
          </w:tcPr>
          <w:p w14:paraId="7AC5C6A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0.013</w:t>
            </w:r>
          </w:p>
        </w:tc>
      </w:tr>
      <w:tr w:rsidR="00966E2C" w:rsidRPr="00397EC7" w14:paraId="65821B74"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480F7C67"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50-59</w:t>
            </w:r>
          </w:p>
        </w:tc>
        <w:tc>
          <w:tcPr>
            <w:tcW w:w="2552" w:type="dxa"/>
            <w:tcBorders>
              <w:top w:val="nil"/>
              <w:left w:val="nil"/>
              <w:bottom w:val="nil"/>
              <w:right w:val="nil"/>
            </w:tcBorders>
            <w:shd w:val="clear" w:color="auto" w:fill="auto"/>
            <w:noWrap/>
            <w:vAlign w:val="bottom"/>
            <w:hideMark/>
          </w:tcPr>
          <w:p w14:paraId="15244DF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1.20 [0.85-1.69]</w:t>
            </w:r>
          </w:p>
        </w:tc>
        <w:tc>
          <w:tcPr>
            <w:tcW w:w="850" w:type="dxa"/>
            <w:tcBorders>
              <w:top w:val="nil"/>
              <w:left w:val="nil"/>
              <w:bottom w:val="nil"/>
              <w:right w:val="nil"/>
            </w:tcBorders>
            <w:shd w:val="clear" w:color="auto" w:fill="auto"/>
            <w:noWrap/>
            <w:vAlign w:val="bottom"/>
            <w:hideMark/>
          </w:tcPr>
          <w:p w14:paraId="2CD0C33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0.31</w:t>
            </w:r>
          </w:p>
        </w:tc>
        <w:tc>
          <w:tcPr>
            <w:tcW w:w="191" w:type="dxa"/>
            <w:tcBorders>
              <w:top w:val="nil"/>
              <w:left w:val="nil"/>
              <w:bottom w:val="nil"/>
              <w:right w:val="nil"/>
            </w:tcBorders>
            <w:shd w:val="clear" w:color="auto" w:fill="auto"/>
            <w:noWrap/>
            <w:vAlign w:val="bottom"/>
            <w:hideMark/>
          </w:tcPr>
          <w:p w14:paraId="5FDD184C"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3FFA123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5.91 [1.86-18.8]</w:t>
            </w:r>
          </w:p>
        </w:tc>
        <w:tc>
          <w:tcPr>
            <w:tcW w:w="892" w:type="dxa"/>
            <w:tcBorders>
              <w:top w:val="nil"/>
              <w:left w:val="nil"/>
              <w:bottom w:val="nil"/>
              <w:right w:val="nil"/>
            </w:tcBorders>
            <w:shd w:val="clear" w:color="auto" w:fill="auto"/>
            <w:noWrap/>
            <w:vAlign w:val="bottom"/>
            <w:hideMark/>
          </w:tcPr>
          <w:p w14:paraId="7799DCC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0.0026</w:t>
            </w:r>
          </w:p>
        </w:tc>
        <w:tc>
          <w:tcPr>
            <w:tcW w:w="191" w:type="dxa"/>
            <w:tcBorders>
              <w:top w:val="nil"/>
              <w:left w:val="nil"/>
              <w:bottom w:val="nil"/>
              <w:right w:val="nil"/>
            </w:tcBorders>
            <w:shd w:val="clear" w:color="auto" w:fill="auto"/>
            <w:noWrap/>
            <w:vAlign w:val="bottom"/>
            <w:hideMark/>
          </w:tcPr>
          <w:p w14:paraId="64B8012E"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02122CCA"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3.28 [1.66-6.47]</w:t>
            </w:r>
          </w:p>
        </w:tc>
        <w:tc>
          <w:tcPr>
            <w:tcW w:w="850" w:type="dxa"/>
            <w:tcBorders>
              <w:top w:val="nil"/>
              <w:left w:val="nil"/>
              <w:bottom w:val="nil"/>
              <w:right w:val="nil"/>
            </w:tcBorders>
            <w:shd w:val="clear" w:color="auto" w:fill="auto"/>
            <w:noWrap/>
            <w:vAlign w:val="bottom"/>
            <w:hideMark/>
          </w:tcPr>
          <w:p w14:paraId="0E4CE42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0.0006</w:t>
            </w:r>
          </w:p>
        </w:tc>
        <w:tc>
          <w:tcPr>
            <w:tcW w:w="191" w:type="dxa"/>
            <w:tcBorders>
              <w:top w:val="nil"/>
              <w:left w:val="nil"/>
              <w:bottom w:val="nil"/>
              <w:right w:val="nil"/>
            </w:tcBorders>
            <w:shd w:val="clear" w:color="auto" w:fill="auto"/>
            <w:noWrap/>
            <w:vAlign w:val="bottom"/>
            <w:hideMark/>
          </w:tcPr>
          <w:p w14:paraId="36D96A70"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4DD512F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1.44 [1.02-2.04]</w:t>
            </w:r>
          </w:p>
        </w:tc>
        <w:tc>
          <w:tcPr>
            <w:tcW w:w="850" w:type="dxa"/>
            <w:tcBorders>
              <w:top w:val="nil"/>
              <w:left w:val="nil"/>
              <w:bottom w:val="nil"/>
              <w:right w:val="nil"/>
            </w:tcBorders>
            <w:shd w:val="clear" w:color="auto" w:fill="auto"/>
            <w:noWrap/>
            <w:vAlign w:val="bottom"/>
            <w:hideMark/>
          </w:tcPr>
          <w:p w14:paraId="02467EF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0.041</w:t>
            </w:r>
          </w:p>
        </w:tc>
      </w:tr>
      <w:tr w:rsidR="00966E2C" w:rsidRPr="00397EC7" w14:paraId="1DA7EF4D"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4B641ACB"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60-69</w:t>
            </w:r>
          </w:p>
        </w:tc>
        <w:tc>
          <w:tcPr>
            <w:tcW w:w="2552" w:type="dxa"/>
            <w:tcBorders>
              <w:top w:val="nil"/>
              <w:left w:val="nil"/>
              <w:bottom w:val="nil"/>
              <w:right w:val="nil"/>
            </w:tcBorders>
            <w:shd w:val="clear" w:color="auto" w:fill="auto"/>
            <w:noWrap/>
            <w:vAlign w:val="bottom"/>
            <w:hideMark/>
          </w:tcPr>
          <w:p w14:paraId="5A64AC9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1.97 [1.41-2.74]</w:t>
            </w:r>
          </w:p>
        </w:tc>
        <w:tc>
          <w:tcPr>
            <w:tcW w:w="850" w:type="dxa"/>
            <w:tcBorders>
              <w:top w:val="nil"/>
              <w:left w:val="nil"/>
              <w:bottom w:val="nil"/>
              <w:right w:val="nil"/>
            </w:tcBorders>
            <w:shd w:val="clear" w:color="auto" w:fill="auto"/>
            <w:noWrap/>
            <w:vAlign w:val="bottom"/>
            <w:hideMark/>
          </w:tcPr>
          <w:p w14:paraId="633D3A2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3EEDA1B8"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3D61F3B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8.81 [2.79-27.8]</w:t>
            </w:r>
          </w:p>
        </w:tc>
        <w:tc>
          <w:tcPr>
            <w:tcW w:w="892" w:type="dxa"/>
            <w:tcBorders>
              <w:top w:val="nil"/>
              <w:left w:val="nil"/>
              <w:bottom w:val="nil"/>
              <w:right w:val="nil"/>
            </w:tcBorders>
            <w:shd w:val="clear" w:color="auto" w:fill="auto"/>
            <w:noWrap/>
            <w:vAlign w:val="bottom"/>
            <w:hideMark/>
          </w:tcPr>
          <w:p w14:paraId="71CFDEEA"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0.0002</w:t>
            </w:r>
          </w:p>
        </w:tc>
        <w:tc>
          <w:tcPr>
            <w:tcW w:w="191" w:type="dxa"/>
            <w:tcBorders>
              <w:top w:val="nil"/>
              <w:left w:val="nil"/>
              <w:bottom w:val="nil"/>
              <w:right w:val="nil"/>
            </w:tcBorders>
            <w:shd w:val="clear" w:color="auto" w:fill="auto"/>
            <w:noWrap/>
            <w:vAlign w:val="bottom"/>
            <w:hideMark/>
          </w:tcPr>
          <w:p w14:paraId="4EA7A7A0"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10D67F4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5.45 [2.79-10.7]</w:t>
            </w:r>
          </w:p>
        </w:tc>
        <w:tc>
          <w:tcPr>
            <w:tcW w:w="850" w:type="dxa"/>
            <w:tcBorders>
              <w:top w:val="nil"/>
              <w:left w:val="nil"/>
              <w:bottom w:val="nil"/>
              <w:right w:val="nil"/>
            </w:tcBorders>
            <w:shd w:val="clear" w:color="auto" w:fill="auto"/>
            <w:noWrap/>
            <w:vAlign w:val="bottom"/>
            <w:hideMark/>
          </w:tcPr>
          <w:p w14:paraId="0FDD1AE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305D3F5F"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0454EF3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1.88 [1.34-2.64]</w:t>
            </w:r>
          </w:p>
        </w:tc>
        <w:tc>
          <w:tcPr>
            <w:tcW w:w="850" w:type="dxa"/>
            <w:tcBorders>
              <w:top w:val="nil"/>
              <w:left w:val="nil"/>
              <w:bottom w:val="nil"/>
              <w:right w:val="nil"/>
            </w:tcBorders>
            <w:shd w:val="clear" w:color="auto" w:fill="auto"/>
            <w:noWrap/>
            <w:vAlign w:val="bottom"/>
            <w:hideMark/>
          </w:tcPr>
          <w:p w14:paraId="496AB4D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0.0003</w:t>
            </w:r>
          </w:p>
        </w:tc>
      </w:tr>
      <w:tr w:rsidR="00966E2C" w:rsidRPr="00397EC7" w14:paraId="0B83927A"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4E941EFC"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70-79</w:t>
            </w:r>
          </w:p>
        </w:tc>
        <w:tc>
          <w:tcPr>
            <w:tcW w:w="2552" w:type="dxa"/>
            <w:tcBorders>
              <w:top w:val="nil"/>
              <w:left w:val="nil"/>
              <w:bottom w:val="nil"/>
              <w:right w:val="nil"/>
            </w:tcBorders>
            <w:shd w:val="clear" w:color="auto" w:fill="auto"/>
            <w:noWrap/>
            <w:vAlign w:val="bottom"/>
            <w:hideMark/>
          </w:tcPr>
          <w:p w14:paraId="2375845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3.93 [2.83-5.47]</w:t>
            </w:r>
          </w:p>
        </w:tc>
        <w:tc>
          <w:tcPr>
            <w:tcW w:w="850" w:type="dxa"/>
            <w:tcBorders>
              <w:top w:val="nil"/>
              <w:left w:val="nil"/>
              <w:bottom w:val="nil"/>
              <w:right w:val="nil"/>
            </w:tcBorders>
            <w:shd w:val="clear" w:color="auto" w:fill="auto"/>
            <w:noWrap/>
            <w:vAlign w:val="bottom"/>
            <w:hideMark/>
          </w:tcPr>
          <w:p w14:paraId="6E639CF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7E892D2E"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6F97375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15.1 [4.78-47.8]</w:t>
            </w:r>
          </w:p>
        </w:tc>
        <w:tc>
          <w:tcPr>
            <w:tcW w:w="892" w:type="dxa"/>
            <w:tcBorders>
              <w:top w:val="nil"/>
              <w:left w:val="nil"/>
              <w:bottom w:val="nil"/>
              <w:right w:val="nil"/>
            </w:tcBorders>
            <w:shd w:val="clear" w:color="auto" w:fill="auto"/>
            <w:noWrap/>
            <w:vAlign w:val="bottom"/>
            <w:hideMark/>
          </w:tcPr>
          <w:p w14:paraId="1732172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77AE652A"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786BF91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14.0 [7.19-27.2]</w:t>
            </w:r>
          </w:p>
        </w:tc>
        <w:tc>
          <w:tcPr>
            <w:tcW w:w="850" w:type="dxa"/>
            <w:tcBorders>
              <w:top w:val="nil"/>
              <w:left w:val="nil"/>
              <w:bottom w:val="nil"/>
              <w:right w:val="nil"/>
            </w:tcBorders>
            <w:shd w:val="clear" w:color="auto" w:fill="auto"/>
            <w:noWrap/>
            <w:vAlign w:val="bottom"/>
            <w:hideMark/>
          </w:tcPr>
          <w:p w14:paraId="613FB28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63B00642"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72ECF46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4.64 [3.32-6.49]</w:t>
            </w:r>
          </w:p>
        </w:tc>
        <w:tc>
          <w:tcPr>
            <w:tcW w:w="850" w:type="dxa"/>
            <w:tcBorders>
              <w:top w:val="nil"/>
              <w:left w:val="nil"/>
              <w:bottom w:val="nil"/>
              <w:right w:val="nil"/>
            </w:tcBorders>
            <w:shd w:val="clear" w:color="auto" w:fill="auto"/>
            <w:noWrap/>
            <w:vAlign w:val="bottom"/>
            <w:hideMark/>
          </w:tcPr>
          <w:p w14:paraId="076A13B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62F87137"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519705DF"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80 and older</w:t>
            </w:r>
          </w:p>
        </w:tc>
        <w:tc>
          <w:tcPr>
            <w:tcW w:w="2552" w:type="dxa"/>
            <w:tcBorders>
              <w:top w:val="nil"/>
              <w:left w:val="nil"/>
              <w:bottom w:val="nil"/>
              <w:right w:val="nil"/>
            </w:tcBorders>
            <w:shd w:val="clear" w:color="auto" w:fill="auto"/>
            <w:noWrap/>
            <w:vAlign w:val="bottom"/>
            <w:hideMark/>
          </w:tcPr>
          <w:p w14:paraId="29C914A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13.6 [9.78-19.0]</w:t>
            </w:r>
          </w:p>
        </w:tc>
        <w:tc>
          <w:tcPr>
            <w:tcW w:w="850" w:type="dxa"/>
            <w:tcBorders>
              <w:top w:val="nil"/>
              <w:left w:val="nil"/>
              <w:bottom w:val="nil"/>
              <w:right w:val="nil"/>
            </w:tcBorders>
            <w:shd w:val="clear" w:color="auto" w:fill="auto"/>
            <w:noWrap/>
            <w:vAlign w:val="bottom"/>
            <w:hideMark/>
          </w:tcPr>
          <w:p w14:paraId="222A1FF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451808CA"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4615F59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50.1 [15.8-158]</w:t>
            </w:r>
          </w:p>
        </w:tc>
        <w:tc>
          <w:tcPr>
            <w:tcW w:w="892" w:type="dxa"/>
            <w:tcBorders>
              <w:top w:val="nil"/>
              <w:left w:val="nil"/>
              <w:bottom w:val="nil"/>
              <w:right w:val="nil"/>
            </w:tcBorders>
            <w:shd w:val="clear" w:color="auto" w:fill="auto"/>
            <w:noWrap/>
            <w:vAlign w:val="bottom"/>
            <w:hideMark/>
          </w:tcPr>
          <w:p w14:paraId="537C65C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66591952"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032D481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43.3 [22.2-84.3]</w:t>
            </w:r>
          </w:p>
        </w:tc>
        <w:tc>
          <w:tcPr>
            <w:tcW w:w="850" w:type="dxa"/>
            <w:tcBorders>
              <w:top w:val="nil"/>
              <w:left w:val="nil"/>
              <w:bottom w:val="nil"/>
              <w:right w:val="nil"/>
            </w:tcBorders>
            <w:shd w:val="clear" w:color="auto" w:fill="auto"/>
            <w:noWrap/>
            <w:vAlign w:val="bottom"/>
            <w:hideMark/>
          </w:tcPr>
          <w:p w14:paraId="7B326F8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58ED15C3"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1A68BF8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11.4 [8.10-16.1]</w:t>
            </w:r>
          </w:p>
        </w:tc>
        <w:tc>
          <w:tcPr>
            <w:tcW w:w="850" w:type="dxa"/>
            <w:tcBorders>
              <w:top w:val="nil"/>
              <w:left w:val="nil"/>
              <w:bottom w:val="nil"/>
              <w:right w:val="nil"/>
            </w:tcBorders>
            <w:shd w:val="clear" w:color="auto" w:fill="auto"/>
            <w:noWrap/>
            <w:vAlign w:val="bottom"/>
            <w:hideMark/>
          </w:tcPr>
          <w:p w14:paraId="3F88177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12DEEB54"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701C2E08"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Pre-existing conditions</w:t>
            </w:r>
          </w:p>
        </w:tc>
        <w:tc>
          <w:tcPr>
            <w:tcW w:w="2552" w:type="dxa"/>
            <w:tcBorders>
              <w:top w:val="nil"/>
              <w:left w:val="nil"/>
              <w:bottom w:val="nil"/>
              <w:right w:val="nil"/>
            </w:tcBorders>
            <w:shd w:val="clear" w:color="auto" w:fill="auto"/>
            <w:noWrap/>
            <w:vAlign w:val="bottom"/>
            <w:hideMark/>
          </w:tcPr>
          <w:p w14:paraId="041EEE0F"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850" w:type="dxa"/>
            <w:tcBorders>
              <w:top w:val="nil"/>
              <w:left w:val="nil"/>
              <w:bottom w:val="nil"/>
              <w:right w:val="nil"/>
            </w:tcBorders>
            <w:shd w:val="clear" w:color="auto" w:fill="auto"/>
            <w:noWrap/>
            <w:vAlign w:val="bottom"/>
            <w:hideMark/>
          </w:tcPr>
          <w:p w14:paraId="319F6062"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4A416C83"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4AECC06B"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892" w:type="dxa"/>
            <w:tcBorders>
              <w:top w:val="nil"/>
              <w:left w:val="nil"/>
              <w:bottom w:val="nil"/>
              <w:right w:val="nil"/>
            </w:tcBorders>
            <w:shd w:val="clear" w:color="auto" w:fill="auto"/>
            <w:noWrap/>
            <w:vAlign w:val="bottom"/>
            <w:hideMark/>
          </w:tcPr>
          <w:p w14:paraId="779EB91C"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1F306B1F"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1F8A5928"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850" w:type="dxa"/>
            <w:tcBorders>
              <w:top w:val="nil"/>
              <w:left w:val="nil"/>
              <w:bottom w:val="nil"/>
              <w:right w:val="nil"/>
            </w:tcBorders>
            <w:shd w:val="clear" w:color="auto" w:fill="auto"/>
            <w:noWrap/>
            <w:vAlign w:val="bottom"/>
            <w:hideMark/>
          </w:tcPr>
          <w:p w14:paraId="198B25A8"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0A305482"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7B26B4B9"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850" w:type="dxa"/>
            <w:tcBorders>
              <w:top w:val="nil"/>
              <w:left w:val="nil"/>
              <w:bottom w:val="nil"/>
              <w:right w:val="nil"/>
            </w:tcBorders>
            <w:shd w:val="clear" w:color="auto" w:fill="auto"/>
            <w:noWrap/>
            <w:vAlign w:val="bottom"/>
            <w:hideMark/>
          </w:tcPr>
          <w:p w14:paraId="16F01193"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73F414EB"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0CF6AE77"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myocardial infarction</w:t>
            </w:r>
          </w:p>
        </w:tc>
        <w:tc>
          <w:tcPr>
            <w:tcW w:w="2552" w:type="dxa"/>
            <w:tcBorders>
              <w:top w:val="nil"/>
              <w:left w:val="nil"/>
              <w:bottom w:val="nil"/>
              <w:right w:val="nil"/>
            </w:tcBorders>
            <w:shd w:val="clear" w:color="auto" w:fill="auto"/>
            <w:noWrap/>
            <w:vAlign w:val="bottom"/>
            <w:hideMark/>
          </w:tcPr>
          <w:p w14:paraId="6E8FC08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10.7 [9.41-12.1]</w:t>
            </w:r>
          </w:p>
        </w:tc>
        <w:tc>
          <w:tcPr>
            <w:tcW w:w="850" w:type="dxa"/>
            <w:tcBorders>
              <w:top w:val="nil"/>
              <w:left w:val="nil"/>
              <w:bottom w:val="nil"/>
              <w:right w:val="nil"/>
            </w:tcBorders>
            <w:shd w:val="clear" w:color="auto" w:fill="auto"/>
            <w:noWrap/>
            <w:vAlign w:val="bottom"/>
            <w:hideMark/>
          </w:tcPr>
          <w:p w14:paraId="1BD8F45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6D21D783"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4655A1B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74.6 [58.8-94.7]</w:t>
            </w:r>
          </w:p>
        </w:tc>
        <w:tc>
          <w:tcPr>
            <w:tcW w:w="892" w:type="dxa"/>
            <w:tcBorders>
              <w:top w:val="nil"/>
              <w:left w:val="nil"/>
              <w:bottom w:val="nil"/>
              <w:right w:val="nil"/>
            </w:tcBorders>
            <w:shd w:val="clear" w:color="auto" w:fill="auto"/>
            <w:noWrap/>
            <w:vAlign w:val="bottom"/>
            <w:hideMark/>
          </w:tcPr>
          <w:p w14:paraId="5E2AD84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2CB71479"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06993E2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4.90 [4.04-5.95]</w:t>
            </w:r>
          </w:p>
        </w:tc>
        <w:tc>
          <w:tcPr>
            <w:tcW w:w="850" w:type="dxa"/>
            <w:tcBorders>
              <w:top w:val="nil"/>
              <w:left w:val="nil"/>
              <w:bottom w:val="nil"/>
              <w:right w:val="nil"/>
            </w:tcBorders>
            <w:shd w:val="clear" w:color="auto" w:fill="auto"/>
            <w:noWrap/>
            <w:vAlign w:val="bottom"/>
            <w:hideMark/>
          </w:tcPr>
          <w:p w14:paraId="3FF209A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43682674"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0D97F62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2.59 [2.13-3.15]</w:t>
            </w:r>
          </w:p>
        </w:tc>
        <w:tc>
          <w:tcPr>
            <w:tcW w:w="850" w:type="dxa"/>
            <w:tcBorders>
              <w:top w:val="nil"/>
              <w:left w:val="nil"/>
              <w:bottom w:val="nil"/>
              <w:right w:val="nil"/>
            </w:tcBorders>
            <w:shd w:val="clear" w:color="auto" w:fill="auto"/>
            <w:noWrap/>
            <w:vAlign w:val="bottom"/>
            <w:hideMark/>
          </w:tcPr>
          <w:p w14:paraId="19C9F62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170C25F4"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75D37FC4"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congestive heart failure</w:t>
            </w:r>
          </w:p>
        </w:tc>
        <w:tc>
          <w:tcPr>
            <w:tcW w:w="2552" w:type="dxa"/>
            <w:tcBorders>
              <w:top w:val="nil"/>
              <w:left w:val="nil"/>
              <w:bottom w:val="nil"/>
              <w:right w:val="nil"/>
            </w:tcBorders>
            <w:shd w:val="clear" w:color="auto" w:fill="auto"/>
            <w:noWrap/>
            <w:vAlign w:val="bottom"/>
            <w:hideMark/>
          </w:tcPr>
          <w:p w14:paraId="4DD980E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33.4 [29.5-37.9]</w:t>
            </w:r>
          </w:p>
        </w:tc>
        <w:tc>
          <w:tcPr>
            <w:tcW w:w="850" w:type="dxa"/>
            <w:tcBorders>
              <w:top w:val="nil"/>
              <w:left w:val="nil"/>
              <w:bottom w:val="nil"/>
              <w:right w:val="nil"/>
            </w:tcBorders>
            <w:shd w:val="clear" w:color="auto" w:fill="auto"/>
            <w:noWrap/>
            <w:vAlign w:val="bottom"/>
            <w:hideMark/>
          </w:tcPr>
          <w:p w14:paraId="2C33241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40FD5296"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51562D7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26.8 [21.2-33.8]</w:t>
            </w:r>
          </w:p>
        </w:tc>
        <w:tc>
          <w:tcPr>
            <w:tcW w:w="892" w:type="dxa"/>
            <w:tcBorders>
              <w:top w:val="nil"/>
              <w:left w:val="nil"/>
              <w:bottom w:val="nil"/>
              <w:right w:val="nil"/>
            </w:tcBorders>
            <w:shd w:val="clear" w:color="auto" w:fill="auto"/>
            <w:noWrap/>
            <w:vAlign w:val="bottom"/>
            <w:hideMark/>
          </w:tcPr>
          <w:p w14:paraId="721B1A6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14D1AC87"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4AD4844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16.1 [13.4-19.3]</w:t>
            </w:r>
          </w:p>
        </w:tc>
        <w:tc>
          <w:tcPr>
            <w:tcW w:w="850" w:type="dxa"/>
            <w:tcBorders>
              <w:top w:val="nil"/>
              <w:left w:val="nil"/>
              <w:bottom w:val="nil"/>
              <w:right w:val="nil"/>
            </w:tcBorders>
            <w:shd w:val="clear" w:color="auto" w:fill="auto"/>
            <w:noWrap/>
            <w:vAlign w:val="bottom"/>
            <w:hideMark/>
          </w:tcPr>
          <w:p w14:paraId="55E4158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2A19AAB0"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35B5FDF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8.60 [7.15-10.4]</w:t>
            </w:r>
          </w:p>
        </w:tc>
        <w:tc>
          <w:tcPr>
            <w:tcW w:w="850" w:type="dxa"/>
            <w:tcBorders>
              <w:top w:val="nil"/>
              <w:left w:val="nil"/>
              <w:bottom w:val="nil"/>
              <w:right w:val="nil"/>
            </w:tcBorders>
            <w:shd w:val="clear" w:color="auto" w:fill="auto"/>
            <w:noWrap/>
            <w:vAlign w:val="bottom"/>
            <w:hideMark/>
          </w:tcPr>
          <w:p w14:paraId="21DC2F3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7D6CEDDF"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4818B45E"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peripheral vascular disease</w:t>
            </w:r>
          </w:p>
        </w:tc>
        <w:tc>
          <w:tcPr>
            <w:tcW w:w="2552" w:type="dxa"/>
            <w:tcBorders>
              <w:top w:val="nil"/>
              <w:left w:val="nil"/>
              <w:bottom w:val="nil"/>
              <w:right w:val="nil"/>
            </w:tcBorders>
            <w:shd w:val="clear" w:color="auto" w:fill="auto"/>
            <w:noWrap/>
            <w:vAlign w:val="bottom"/>
            <w:hideMark/>
          </w:tcPr>
          <w:p w14:paraId="76CC52D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14.4 [12.7-16.2]</w:t>
            </w:r>
          </w:p>
        </w:tc>
        <w:tc>
          <w:tcPr>
            <w:tcW w:w="850" w:type="dxa"/>
            <w:tcBorders>
              <w:top w:val="nil"/>
              <w:left w:val="nil"/>
              <w:bottom w:val="nil"/>
              <w:right w:val="nil"/>
            </w:tcBorders>
            <w:shd w:val="clear" w:color="auto" w:fill="auto"/>
            <w:noWrap/>
            <w:vAlign w:val="bottom"/>
            <w:hideMark/>
          </w:tcPr>
          <w:p w14:paraId="1793C48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1AE7133C"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2DD9B45F"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21.0 [17.0-25.9]</w:t>
            </w:r>
          </w:p>
        </w:tc>
        <w:tc>
          <w:tcPr>
            <w:tcW w:w="892" w:type="dxa"/>
            <w:tcBorders>
              <w:top w:val="nil"/>
              <w:left w:val="nil"/>
              <w:bottom w:val="nil"/>
              <w:right w:val="nil"/>
            </w:tcBorders>
            <w:shd w:val="clear" w:color="auto" w:fill="auto"/>
            <w:noWrap/>
            <w:vAlign w:val="bottom"/>
            <w:hideMark/>
          </w:tcPr>
          <w:p w14:paraId="13E9769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7E77E6D4"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58DF610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7.35 [6.15-8.77]</w:t>
            </w:r>
          </w:p>
        </w:tc>
        <w:tc>
          <w:tcPr>
            <w:tcW w:w="850" w:type="dxa"/>
            <w:tcBorders>
              <w:top w:val="nil"/>
              <w:left w:val="nil"/>
              <w:bottom w:val="nil"/>
              <w:right w:val="nil"/>
            </w:tcBorders>
            <w:shd w:val="clear" w:color="auto" w:fill="auto"/>
            <w:noWrap/>
            <w:vAlign w:val="bottom"/>
            <w:hideMark/>
          </w:tcPr>
          <w:p w14:paraId="0C99454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6F043798"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0FD5AAE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3.46 [2.88-4.17]</w:t>
            </w:r>
          </w:p>
        </w:tc>
        <w:tc>
          <w:tcPr>
            <w:tcW w:w="850" w:type="dxa"/>
            <w:tcBorders>
              <w:top w:val="nil"/>
              <w:left w:val="nil"/>
              <w:bottom w:val="nil"/>
              <w:right w:val="nil"/>
            </w:tcBorders>
            <w:shd w:val="clear" w:color="auto" w:fill="auto"/>
            <w:noWrap/>
            <w:vAlign w:val="bottom"/>
            <w:hideMark/>
          </w:tcPr>
          <w:p w14:paraId="1309E39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08FC1E46"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56EE71EE"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cerebrovascular disease</w:t>
            </w:r>
          </w:p>
        </w:tc>
        <w:tc>
          <w:tcPr>
            <w:tcW w:w="2552" w:type="dxa"/>
            <w:tcBorders>
              <w:top w:val="nil"/>
              <w:left w:val="nil"/>
              <w:bottom w:val="nil"/>
              <w:right w:val="nil"/>
            </w:tcBorders>
            <w:shd w:val="clear" w:color="auto" w:fill="auto"/>
            <w:noWrap/>
            <w:vAlign w:val="bottom"/>
            <w:hideMark/>
          </w:tcPr>
          <w:p w14:paraId="1495A34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9.18 [7.84-10.8]</w:t>
            </w:r>
          </w:p>
        </w:tc>
        <w:tc>
          <w:tcPr>
            <w:tcW w:w="850" w:type="dxa"/>
            <w:tcBorders>
              <w:top w:val="nil"/>
              <w:left w:val="nil"/>
              <w:bottom w:val="nil"/>
              <w:right w:val="nil"/>
            </w:tcBorders>
            <w:shd w:val="clear" w:color="auto" w:fill="auto"/>
            <w:noWrap/>
            <w:vAlign w:val="bottom"/>
            <w:hideMark/>
          </w:tcPr>
          <w:p w14:paraId="4BA5E99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36FFC117"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0C9F6AC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5.79 [4.14-8.11]</w:t>
            </w:r>
          </w:p>
        </w:tc>
        <w:tc>
          <w:tcPr>
            <w:tcW w:w="892" w:type="dxa"/>
            <w:tcBorders>
              <w:top w:val="nil"/>
              <w:left w:val="nil"/>
              <w:bottom w:val="nil"/>
              <w:right w:val="nil"/>
            </w:tcBorders>
            <w:shd w:val="clear" w:color="auto" w:fill="auto"/>
            <w:noWrap/>
            <w:vAlign w:val="bottom"/>
            <w:hideMark/>
          </w:tcPr>
          <w:p w14:paraId="5ACFD21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71BCBED5"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70F1EDD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241 [199-291]</w:t>
            </w:r>
          </w:p>
        </w:tc>
        <w:tc>
          <w:tcPr>
            <w:tcW w:w="850" w:type="dxa"/>
            <w:tcBorders>
              <w:top w:val="nil"/>
              <w:left w:val="nil"/>
              <w:bottom w:val="nil"/>
              <w:right w:val="nil"/>
            </w:tcBorders>
            <w:shd w:val="clear" w:color="auto" w:fill="auto"/>
            <w:noWrap/>
            <w:vAlign w:val="bottom"/>
            <w:hideMark/>
          </w:tcPr>
          <w:p w14:paraId="0C3DF95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40936D46"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72D3FB2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3.77 [3.02-4.70]</w:t>
            </w:r>
          </w:p>
        </w:tc>
        <w:tc>
          <w:tcPr>
            <w:tcW w:w="850" w:type="dxa"/>
            <w:tcBorders>
              <w:top w:val="nil"/>
              <w:left w:val="nil"/>
              <w:bottom w:val="nil"/>
              <w:right w:val="nil"/>
            </w:tcBorders>
            <w:shd w:val="clear" w:color="auto" w:fill="auto"/>
            <w:noWrap/>
            <w:vAlign w:val="bottom"/>
            <w:hideMark/>
          </w:tcPr>
          <w:p w14:paraId="495625F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55577073"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4B222238"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dementia</w:t>
            </w:r>
          </w:p>
        </w:tc>
        <w:tc>
          <w:tcPr>
            <w:tcW w:w="2552" w:type="dxa"/>
            <w:tcBorders>
              <w:top w:val="nil"/>
              <w:left w:val="nil"/>
              <w:bottom w:val="nil"/>
              <w:right w:val="nil"/>
            </w:tcBorders>
            <w:shd w:val="clear" w:color="auto" w:fill="auto"/>
            <w:noWrap/>
            <w:vAlign w:val="bottom"/>
            <w:hideMark/>
          </w:tcPr>
          <w:p w14:paraId="7787A06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8.81 [6.68-11.6]</w:t>
            </w:r>
          </w:p>
        </w:tc>
        <w:tc>
          <w:tcPr>
            <w:tcW w:w="850" w:type="dxa"/>
            <w:tcBorders>
              <w:top w:val="nil"/>
              <w:left w:val="nil"/>
              <w:bottom w:val="nil"/>
              <w:right w:val="nil"/>
            </w:tcBorders>
            <w:shd w:val="clear" w:color="auto" w:fill="auto"/>
            <w:noWrap/>
            <w:vAlign w:val="bottom"/>
            <w:hideMark/>
          </w:tcPr>
          <w:p w14:paraId="2922468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22F83CC0"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283F62D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7.50 [4.39-12.8]</w:t>
            </w:r>
          </w:p>
        </w:tc>
        <w:tc>
          <w:tcPr>
            <w:tcW w:w="892" w:type="dxa"/>
            <w:tcBorders>
              <w:top w:val="nil"/>
              <w:left w:val="nil"/>
              <w:bottom w:val="nil"/>
              <w:right w:val="nil"/>
            </w:tcBorders>
            <w:shd w:val="clear" w:color="auto" w:fill="auto"/>
            <w:noWrap/>
            <w:vAlign w:val="bottom"/>
            <w:hideMark/>
          </w:tcPr>
          <w:p w14:paraId="22BF00A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14891C3A"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6B0CA5D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15.7 [12.1-20.5]</w:t>
            </w:r>
          </w:p>
        </w:tc>
        <w:tc>
          <w:tcPr>
            <w:tcW w:w="850" w:type="dxa"/>
            <w:tcBorders>
              <w:top w:val="nil"/>
              <w:left w:val="nil"/>
              <w:bottom w:val="nil"/>
              <w:right w:val="nil"/>
            </w:tcBorders>
            <w:shd w:val="clear" w:color="auto" w:fill="auto"/>
            <w:noWrap/>
            <w:vAlign w:val="bottom"/>
            <w:hideMark/>
          </w:tcPr>
          <w:p w14:paraId="5F4277C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13FADFE6"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1A6C27AA"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8.12 [6.11-10.8]</w:t>
            </w:r>
          </w:p>
        </w:tc>
        <w:tc>
          <w:tcPr>
            <w:tcW w:w="850" w:type="dxa"/>
            <w:tcBorders>
              <w:top w:val="nil"/>
              <w:left w:val="nil"/>
              <w:bottom w:val="nil"/>
              <w:right w:val="nil"/>
            </w:tcBorders>
            <w:shd w:val="clear" w:color="auto" w:fill="auto"/>
            <w:noWrap/>
            <w:vAlign w:val="bottom"/>
            <w:hideMark/>
          </w:tcPr>
          <w:p w14:paraId="423A659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4ABA48FA"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1681C086"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chronic pulmonary disease</w:t>
            </w:r>
          </w:p>
        </w:tc>
        <w:tc>
          <w:tcPr>
            <w:tcW w:w="2552" w:type="dxa"/>
            <w:tcBorders>
              <w:top w:val="nil"/>
              <w:left w:val="nil"/>
              <w:bottom w:val="nil"/>
              <w:right w:val="nil"/>
            </w:tcBorders>
            <w:shd w:val="clear" w:color="auto" w:fill="auto"/>
            <w:noWrap/>
            <w:vAlign w:val="bottom"/>
            <w:hideMark/>
          </w:tcPr>
          <w:p w14:paraId="0AC398D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2.43 [2.15-2.75]</w:t>
            </w:r>
          </w:p>
        </w:tc>
        <w:tc>
          <w:tcPr>
            <w:tcW w:w="850" w:type="dxa"/>
            <w:tcBorders>
              <w:top w:val="nil"/>
              <w:left w:val="nil"/>
              <w:bottom w:val="nil"/>
              <w:right w:val="nil"/>
            </w:tcBorders>
            <w:shd w:val="clear" w:color="auto" w:fill="auto"/>
            <w:noWrap/>
            <w:vAlign w:val="bottom"/>
            <w:hideMark/>
          </w:tcPr>
          <w:p w14:paraId="0CCC3B5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120E39E7"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46D0019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1.79 [1.42-2.27]</w:t>
            </w:r>
          </w:p>
        </w:tc>
        <w:tc>
          <w:tcPr>
            <w:tcW w:w="892" w:type="dxa"/>
            <w:tcBorders>
              <w:top w:val="nil"/>
              <w:left w:val="nil"/>
              <w:bottom w:val="nil"/>
              <w:right w:val="nil"/>
            </w:tcBorders>
            <w:shd w:val="clear" w:color="auto" w:fill="auto"/>
            <w:noWrap/>
            <w:vAlign w:val="bottom"/>
            <w:hideMark/>
          </w:tcPr>
          <w:p w14:paraId="34DA2AA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30A2AA2C"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6B67369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1.68 [1.42-1.98]</w:t>
            </w:r>
          </w:p>
        </w:tc>
        <w:tc>
          <w:tcPr>
            <w:tcW w:w="850" w:type="dxa"/>
            <w:tcBorders>
              <w:top w:val="nil"/>
              <w:left w:val="nil"/>
              <w:bottom w:val="nil"/>
              <w:right w:val="nil"/>
            </w:tcBorders>
            <w:shd w:val="clear" w:color="auto" w:fill="auto"/>
            <w:noWrap/>
            <w:vAlign w:val="bottom"/>
            <w:hideMark/>
          </w:tcPr>
          <w:p w14:paraId="71A6528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14B95293"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24A18E2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1.73 [1.52-1.98]</w:t>
            </w:r>
          </w:p>
        </w:tc>
        <w:tc>
          <w:tcPr>
            <w:tcW w:w="850" w:type="dxa"/>
            <w:tcBorders>
              <w:top w:val="nil"/>
              <w:left w:val="nil"/>
              <w:bottom w:val="nil"/>
              <w:right w:val="nil"/>
            </w:tcBorders>
            <w:shd w:val="clear" w:color="auto" w:fill="auto"/>
            <w:noWrap/>
            <w:vAlign w:val="bottom"/>
            <w:hideMark/>
          </w:tcPr>
          <w:p w14:paraId="64D7ED5F"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323D3D72"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678E7523"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connective tissue disease</w:t>
            </w:r>
          </w:p>
        </w:tc>
        <w:tc>
          <w:tcPr>
            <w:tcW w:w="2552" w:type="dxa"/>
            <w:tcBorders>
              <w:top w:val="nil"/>
              <w:left w:val="nil"/>
              <w:bottom w:val="nil"/>
              <w:right w:val="nil"/>
            </w:tcBorders>
            <w:shd w:val="clear" w:color="auto" w:fill="auto"/>
            <w:noWrap/>
            <w:vAlign w:val="bottom"/>
            <w:hideMark/>
          </w:tcPr>
          <w:p w14:paraId="5F30A32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2.53 [1.83-3.50]</w:t>
            </w:r>
          </w:p>
        </w:tc>
        <w:tc>
          <w:tcPr>
            <w:tcW w:w="850" w:type="dxa"/>
            <w:tcBorders>
              <w:top w:val="nil"/>
              <w:left w:val="nil"/>
              <w:bottom w:val="nil"/>
              <w:right w:val="nil"/>
            </w:tcBorders>
            <w:shd w:val="clear" w:color="auto" w:fill="auto"/>
            <w:noWrap/>
            <w:vAlign w:val="bottom"/>
            <w:hideMark/>
          </w:tcPr>
          <w:p w14:paraId="67EF9DB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6E81E55E"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0849455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2.16 [1.15-4.04]</w:t>
            </w:r>
          </w:p>
        </w:tc>
        <w:tc>
          <w:tcPr>
            <w:tcW w:w="892" w:type="dxa"/>
            <w:tcBorders>
              <w:top w:val="nil"/>
              <w:left w:val="nil"/>
              <w:bottom w:val="nil"/>
              <w:right w:val="nil"/>
            </w:tcBorders>
            <w:shd w:val="clear" w:color="auto" w:fill="auto"/>
            <w:noWrap/>
            <w:vAlign w:val="bottom"/>
            <w:hideMark/>
          </w:tcPr>
          <w:p w14:paraId="7DF57CD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0.017</w:t>
            </w:r>
          </w:p>
        </w:tc>
        <w:tc>
          <w:tcPr>
            <w:tcW w:w="191" w:type="dxa"/>
            <w:tcBorders>
              <w:top w:val="nil"/>
              <w:left w:val="nil"/>
              <w:bottom w:val="nil"/>
              <w:right w:val="nil"/>
            </w:tcBorders>
            <w:shd w:val="clear" w:color="auto" w:fill="auto"/>
            <w:noWrap/>
            <w:vAlign w:val="bottom"/>
            <w:hideMark/>
          </w:tcPr>
          <w:p w14:paraId="4DC3D97D"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6D7B7B0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1.19 [0.67-2.11]</w:t>
            </w:r>
          </w:p>
        </w:tc>
        <w:tc>
          <w:tcPr>
            <w:tcW w:w="850" w:type="dxa"/>
            <w:tcBorders>
              <w:top w:val="nil"/>
              <w:left w:val="nil"/>
              <w:bottom w:val="nil"/>
              <w:right w:val="nil"/>
            </w:tcBorders>
            <w:shd w:val="clear" w:color="auto" w:fill="auto"/>
            <w:noWrap/>
            <w:vAlign w:val="bottom"/>
            <w:hideMark/>
          </w:tcPr>
          <w:p w14:paraId="352BCDF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6C88E0C8"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5A243C0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2.55 [1.85-3.50]</w:t>
            </w:r>
          </w:p>
        </w:tc>
        <w:tc>
          <w:tcPr>
            <w:tcW w:w="850" w:type="dxa"/>
            <w:tcBorders>
              <w:top w:val="nil"/>
              <w:left w:val="nil"/>
              <w:bottom w:val="nil"/>
              <w:right w:val="nil"/>
            </w:tcBorders>
            <w:shd w:val="clear" w:color="auto" w:fill="auto"/>
            <w:noWrap/>
            <w:vAlign w:val="bottom"/>
            <w:hideMark/>
          </w:tcPr>
          <w:p w14:paraId="3B1F138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534AF54B"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726B0D9C"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ulcer disease</w:t>
            </w:r>
          </w:p>
        </w:tc>
        <w:tc>
          <w:tcPr>
            <w:tcW w:w="2552" w:type="dxa"/>
            <w:tcBorders>
              <w:top w:val="nil"/>
              <w:left w:val="nil"/>
              <w:bottom w:val="nil"/>
              <w:right w:val="nil"/>
            </w:tcBorders>
            <w:shd w:val="clear" w:color="auto" w:fill="auto"/>
            <w:noWrap/>
            <w:vAlign w:val="bottom"/>
            <w:hideMark/>
          </w:tcPr>
          <w:p w14:paraId="0FF619A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8.75 [7.39-10.4]</w:t>
            </w:r>
          </w:p>
        </w:tc>
        <w:tc>
          <w:tcPr>
            <w:tcW w:w="850" w:type="dxa"/>
            <w:tcBorders>
              <w:top w:val="nil"/>
              <w:left w:val="nil"/>
              <w:bottom w:val="nil"/>
              <w:right w:val="nil"/>
            </w:tcBorders>
            <w:shd w:val="clear" w:color="auto" w:fill="auto"/>
            <w:noWrap/>
            <w:vAlign w:val="bottom"/>
            <w:hideMark/>
          </w:tcPr>
          <w:p w14:paraId="6F42D86F"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72760013"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33EDCC8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3.19 [2.01-5.06]</w:t>
            </w:r>
          </w:p>
        </w:tc>
        <w:tc>
          <w:tcPr>
            <w:tcW w:w="892" w:type="dxa"/>
            <w:tcBorders>
              <w:top w:val="nil"/>
              <w:left w:val="nil"/>
              <w:bottom w:val="nil"/>
              <w:right w:val="nil"/>
            </w:tcBorders>
            <w:shd w:val="clear" w:color="auto" w:fill="auto"/>
            <w:noWrap/>
            <w:vAlign w:val="bottom"/>
            <w:hideMark/>
          </w:tcPr>
          <w:p w14:paraId="44CBC84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58CF5450"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24E258F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3.22 [2.35-4.41]</w:t>
            </w:r>
          </w:p>
        </w:tc>
        <w:tc>
          <w:tcPr>
            <w:tcW w:w="850" w:type="dxa"/>
            <w:tcBorders>
              <w:top w:val="nil"/>
              <w:left w:val="nil"/>
              <w:bottom w:val="nil"/>
              <w:right w:val="nil"/>
            </w:tcBorders>
            <w:shd w:val="clear" w:color="auto" w:fill="auto"/>
            <w:noWrap/>
            <w:vAlign w:val="bottom"/>
            <w:hideMark/>
          </w:tcPr>
          <w:p w14:paraId="1A7B64F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0ADCB617"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504254D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3.19 [2.47-4.11]</w:t>
            </w:r>
          </w:p>
        </w:tc>
        <w:tc>
          <w:tcPr>
            <w:tcW w:w="850" w:type="dxa"/>
            <w:tcBorders>
              <w:top w:val="nil"/>
              <w:left w:val="nil"/>
              <w:bottom w:val="nil"/>
              <w:right w:val="nil"/>
            </w:tcBorders>
            <w:shd w:val="clear" w:color="auto" w:fill="auto"/>
            <w:noWrap/>
            <w:vAlign w:val="bottom"/>
            <w:hideMark/>
          </w:tcPr>
          <w:p w14:paraId="1BBD96B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14B63A9F"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7DB114C9"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moderate or severe renal disease</w:t>
            </w:r>
          </w:p>
        </w:tc>
        <w:tc>
          <w:tcPr>
            <w:tcW w:w="2552" w:type="dxa"/>
            <w:tcBorders>
              <w:top w:val="nil"/>
              <w:left w:val="nil"/>
              <w:bottom w:val="nil"/>
              <w:right w:val="nil"/>
            </w:tcBorders>
            <w:shd w:val="clear" w:color="auto" w:fill="auto"/>
            <w:noWrap/>
            <w:vAlign w:val="bottom"/>
            <w:hideMark/>
          </w:tcPr>
          <w:p w14:paraId="0D775B5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46.3 [41.1-52.2]</w:t>
            </w:r>
          </w:p>
        </w:tc>
        <w:tc>
          <w:tcPr>
            <w:tcW w:w="850" w:type="dxa"/>
            <w:tcBorders>
              <w:top w:val="nil"/>
              <w:left w:val="nil"/>
              <w:bottom w:val="nil"/>
              <w:right w:val="nil"/>
            </w:tcBorders>
            <w:shd w:val="clear" w:color="auto" w:fill="auto"/>
            <w:noWrap/>
            <w:vAlign w:val="bottom"/>
            <w:hideMark/>
          </w:tcPr>
          <w:p w14:paraId="36F8811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767DDAD9"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5541A23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20.3 [15.6-26.4]</w:t>
            </w:r>
          </w:p>
        </w:tc>
        <w:tc>
          <w:tcPr>
            <w:tcW w:w="892" w:type="dxa"/>
            <w:tcBorders>
              <w:top w:val="nil"/>
              <w:left w:val="nil"/>
              <w:bottom w:val="nil"/>
              <w:right w:val="nil"/>
            </w:tcBorders>
            <w:shd w:val="clear" w:color="auto" w:fill="auto"/>
            <w:noWrap/>
            <w:vAlign w:val="bottom"/>
            <w:hideMark/>
          </w:tcPr>
          <w:p w14:paraId="51F889F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46D1CA35"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7947284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16.2 [13.3-19.6]</w:t>
            </w:r>
          </w:p>
        </w:tc>
        <w:tc>
          <w:tcPr>
            <w:tcW w:w="850" w:type="dxa"/>
            <w:tcBorders>
              <w:top w:val="nil"/>
              <w:left w:val="nil"/>
              <w:bottom w:val="nil"/>
              <w:right w:val="nil"/>
            </w:tcBorders>
            <w:shd w:val="clear" w:color="auto" w:fill="auto"/>
            <w:noWrap/>
            <w:vAlign w:val="bottom"/>
            <w:hideMark/>
          </w:tcPr>
          <w:p w14:paraId="39E1CBA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264F33DE"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47858FD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9.22 [7.63-11.2]</w:t>
            </w:r>
          </w:p>
        </w:tc>
        <w:tc>
          <w:tcPr>
            <w:tcW w:w="850" w:type="dxa"/>
            <w:tcBorders>
              <w:top w:val="nil"/>
              <w:left w:val="nil"/>
              <w:bottom w:val="nil"/>
              <w:right w:val="nil"/>
            </w:tcBorders>
            <w:shd w:val="clear" w:color="auto" w:fill="auto"/>
            <w:noWrap/>
            <w:vAlign w:val="bottom"/>
            <w:hideMark/>
          </w:tcPr>
          <w:p w14:paraId="69EBC37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1CEAD679"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2DF39472"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hemiplegia</w:t>
            </w:r>
          </w:p>
        </w:tc>
        <w:tc>
          <w:tcPr>
            <w:tcW w:w="2552" w:type="dxa"/>
            <w:tcBorders>
              <w:top w:val="nil"/>
              <w:left w:val="nil"/>
              <w:bottom w:val="nil"/>
              <w:right w:val="nil"/>
            </w:tcBorders>
            <w:shd w:val="clear" w:color="auto" w:fill="auto"/>
            <w:noWrap/>
            <w:vAlign w:val="bottom"/>
            <w:hideMark/>
          </w:tcPr>
          <w:p w14:paraId="7492931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10.2 [7.98-13.0]</w:t>
            </w:r>
          </w:p>
        </w:tc>
        <w:tc>
          <w:tcPr>
            <w:tcW w:w="850" w:type="dxa"/>
            <w:tcBorders>
              <w:top w:val="nil"/>
              <w:left w:val="nil"/>
              <w:bottom w:val="nil"/>
              <w:right w:val="nil"/>
            </w:tcBorders>
            <w:shd w:val="clear" w:color="auto" w:fill="auto"/>
            <w:noWrap/>
            <w:vAlign w:val="bottom"/>
            <w:hideMark/>
          </w:tcPr>
          <w:p w14:paraId="36226DC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61D9D4E3"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7CC8FCC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7.67 [4.64-12.7]</w:t>
            </w:r>
          </w:p>
        </w:tc>
        <w:tc>
          <w:tcPr>
            <w:tcW w:w="892" w:type="dxa"/>
            <w:tcBorders>
              <w:top w:val="nil"/>
              <w:left w:val="nil"/>
              <w:bottom w:val="nil"/>
              <w:right w:val="nil"/>
            </w:tcBorders>
            <w:shd w:val="clear" w:color="auto" w:fill="auto"/>
            <w:noWrap/>
            <w:vAlign w:val="bottom"/>
            <w:hideMark/>
          </w:tcPr>
          <w:p w14:paraId="45954E5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0BEBD599"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716E0E9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49.7 [42.0-58.8]</w:t>
            </w:r>
          </w:p>
        </w:tc>
        <w:tc>
          <w:tcPr>
            <w:tcW w:w="850" w:type="dxa"/>
            <w:tcBorders>
              <w:top w:val="nil"/>
              <w:left w:val="nil"/>
              <w:bottom w:val="nil"/>
              <w:right w:val="nil"/>
            </w:tcBorders>
            <w:shd w:val="clear" w:color="auto" w:fill="auto"/>
            <w:noWrap/>
            <w:vAlign w:val="bottom"/>
            <w:hideMark/>
          </w:tcPr>
          <w:p w14:paraId="2631D58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60D95177"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0C172FA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4.69 [3.32-6.63]</w:t>
            </w:r>
          </w:p>
        </w:tc>
        <w:tc>
          <w:tcPr>
            <w:tcW w:w="850" w:type="dxa"/>
            <w:tcBorders>
              <w:top w:val="nil"/>
              <w:left w:val="nil"/>
              <w:bottom w:val="nil"/>
              <w:right w:val="nil"/>
            </w:tcBorders>
            <w:shd w:val="clear" w:color="auto" w:fill="auto"/>
            <w:noWrap/>
            <w:vAlign w:val="bottom"/>
            <w:hideMark/>
          </w:tcPr>
          <w:p w14:paraId="708AEE7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35BB6B1D"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78329D05"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HIV/AIDS</w:t>
            </w:r>
          </w:p>
        </w:tc>
        <w:tc>
          <w:tcPr>
            <w:tcW w:w="2552" w:type="dxa"/>
            <w:tcBorders>
              <w:top w:val="nil"/>
              <w:left w:val="nil"/>
              <w:bottom w:val="nil"/>
              <w:right w:val="nil"/>
            </w:tcBorders>
            <w:shd w:val="clear" w:color="auto" w:fill="auto"/>
            <w:noWrap/>
            <w:vAlign w:val="bottom"/>
            <w:hideMark/>
          </w:tcPr>
          <w:p w14:paraId="48BECA7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2.94 [1.58-5.48]</w:t>
            </w:r>
          </w:p>
        </w:tc>
        <w:tc>
          <w:tcPr>
            <w:tcW w:w="850" w:type="dxa"/>
            <w:tcBorders>
              <w:top w:val="nil"/>
              <w:left w:val="nil"/>
              <w:bottom w:val="nil"/>
              <w:right w:val="nil"/>
            </w:tcBorders>
            <w:shd w:val="clear" w:color="auto" w:fill="auto"/>
            <w:noWrap/>
            <w:vAlign w:val="bottom"/>
            <w:hideMark/>
          </w:tcPr>
          <w:p w14:paraId="5A69342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0.0007</w:t>
            </w:r>
          </w:p>
        </w:tc>
        <w:tc>
          <w:tcPr>
            <w:tcW w:w="191" w:type="dxa"/>
            <w:tcBorders>
              <w:top w:val="nil"/>
              <w:left w:val="nil"/>
              <w:bottom w:val="nil"/>
              <w:right w:val="nil"/>
            </w:tcBorders>
            <w:shd w:val="clear" w:color="auto" w:fill="auto"/>
            <w:noWrap/>
            <w:vAlign w:val="bottom"/>
            <w:hideMark/>
          </w:tcPr>
          <w:p w14:paraId="1103AE77"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5548D85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2.86 [0.92-8.92]</w:t>
            </w:r>
          </w:p>
        </w:tc>
        <w:tc>
          <w:tcPr>
            <w:tcW w:w="892" w:type="dxa"/>
            <w:tcBorders>
              <w:top w:val="nil"/>
              <w:left w:val="nil"/>
              <w:bottom w:val="nil"/>
              <w:right w:val="nil"/>
            </w:tcBorders>
            <w:shd w:val="clear" w:color="auto" w:fill="auto"/>
            <w:noWrap/>
            <w:vAlign w:val="bottom"/>
            <w:hideMark/>
          </w:tcPr>
          <w:p w14:paraId="66A00B3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0.07</w:t>
            </w:r>
          </w:p>
        </w:tc>
        <w:tc>
          <w:tcPr>
            <w:tcW w:w="191" w:type="dxa"/>
            <w:tcBorders>
              <w:top w:val="nil"/>
              <w:left w:val="nil"/>
              <w:bottom w:val="nil"/>
              <w:right w:val="nil"/>
            </w:tcBorders>
            <w:shd w:val="clear" w:color="auto" w:fill="auto"/>
            <w:noWrap/>
            <w:vAlign w:val="bottom"/>
            <w:hideMark/>
          </w:tcPr>
          <w:p w14:paraId="24DA6099"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68B8827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2.23 [0.93-5.38]</w:t>
            </w:r>
          </w:p>
        </w:tc>
        <w:tc>
          <w:tcPr>
            <w:tcW w:w="850" w:type="dxa"/>
            <w:tcBorders>
              <w:top w:val="nil"/>
              <w:left w:val="nil"/>
              <w:bottom w:val="nil"/>
              <w:right w:val="nil"/>
            </w:tcBorders>
            <w:shd w:val="clear" w:color="auto" w:fill="auto"/>
            <w:noWrap/>
            <w:vAlign w:val="bottom"/>
            <w:hideMark/>
          </w:tcPr>
          <w:p w14:paraId="09728BA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0.073</w:t>
            </w:r>
          </w:p>
        </w:tc>
        <w:tc>
          <w:tcPr>
            <w:tcW w:w="191" w:type="dxa"/>
            <w:tcBorders>
              <w:top w:val="nil"/>
              <w:left w:val="nil"/>
              <w:bottom w:val="nil"/>
              <w:right w:val="nil"/>
            </w:tcBorders>
            <w:shd w:val="clear" w:color="auto" w:fill="auto"/>
            <w:noWrap/>
            <w:vAlign w:val="bottom"/>
            <w:hideMark/>
          </w:tcPr>
          <w:p w14:paraId="0A64D094"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58A26CBF"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3.76 [2.17-6.49]</w:t>
            </w:r>
          </w:p>
        </w:tc>
        <w:tc>
          <w:tcPr>
            <w:tcW w:w="850" w:type="dxa"/>
            <w:tcBorders>
              <w:top w:val="nil"/>
              <w:left w:val="nil"/>
              <w:bottom w:val="nil"/>
              <w:right w:val="nil"/>
            </w:tcBorders>
            <w:shd w:val="clear" w:color="auto" w:fill="auto"/>
            <w:noWrap/>
            <w:vAlign w:val="bottom"/>
            <w:hideMark/>
          </w:tcPr>
          <w:p w14:paraId="6A32B0F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7FCBA3A1"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720915A4"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liver disease</w:t>
            </w:r>
          </w:p>
        </w:tc>
        <w:tc>
          <w:tcPr>
            <w:tcW w:w="2552" w:type="dxa"/>
            <w:tcBorders>
              <w:top w:val="nil"/>
              <w:left w:val="nil"/>
              <w:bottom w:val="nil"/>
              <w:right w:val="nil"/>
            </w:tcBorders>
            <w:shd w:val="clear" w:color="auto" w:fill="auto"/>
            <w:noWrap/>
            <w:vAlign w:val="bottom"/>
            <w:hideMark/>
          </w:tcPr>
          <w:p w14:paraId="61903A2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8.09 [6.84-9.57]</w:t>
            </w:r>
          </w:p>
        </w:tc>
        <w:tc>
          <w:tcPr>
            <w:tcW w:w="850" w:type="dxa"/>
            <w:tcBorders>
              <w:top w:val="nil"/>
              <w:left w:val="nil"/>
              <w:bottom w:val="nil"/>
              <w:right w:val="nil"/>
            </w:tcBorders>
            <w:shd w:val="clear" w:color="auto" w:fill="auto"/>
            <w:noWrap/>
            <w:vAlign w:val="bottom"/>
            <w:hideMark/>
          </w:tcPr>
          <w:p w14:paraId="7514A51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340E4DE8"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23CF7C2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2.72 [1.69-4.37]</w:t>
            </w:r>
          </w:p>
        </w:tc>
        <w:tc>
          <w:tcPr>
            <w:tcW w:w="892" w:type="dxa"/>
            <w:tcBorders>
              <w:top w:val="nil"/>
              <w:left w:val="nil"/>
              <w:bottom w:val="nil"/>
              <w:right w:val="nil"/>
            </w:tcBorders>
            <w:shd w:val="clear" w:color="auto" w:fill="auto"/>
            <w:noWrap/>
            <w:vAlign w:val="bottom"/>
            <w:hideMark/>
          </w:tcPr>
          <w:p w14:paraId="69DA807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7E802E92"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16879E3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2.54 [1.82-3.55]</w:t>
            </w:r>
          </w:p>
        </w:tc>
        <w:tc>
          <w:tcPr>
            <w:tcW w:w="850" w:type="dxa"/>
            <w:tcBorders>
              <w:top w:val="nil"/>
              <w:left w:val="nil"/>
              <w:bottom w:val="nil"/>
              <w:right w:val="nil"/>
            </w:tcBorders>
            <w:shd w:val="clear" w:color="auto" w:fill="auto"/>
            <w:noWrap/>
            <w:vAlign w:val="bottom"/>
            <w:hideMark/>
          </w:tcPr>
          <w:p w14:paraId="6BCD4B2A"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3DC98A63"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77CEC2D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2.88 [2.24-3.72]</w:t>
            </w:r>
          </w:p>
        </w:tc>
        <w:tc>
          <w:tcPr>
            <w:tcW w:w="850" w:type="dxa"/>
            <w:tcBorders>
              <w:top w:val="nil"/>
              <w:left w:val="nil"/>
              <w:bottom w:val="nil"/>
              <w:right w:val="nil"/>
            </w:tcBorders>
            <w:shd w:val="clear" w:color="auto" w:fill="auto"/>
            <w:noWrap/>
            <w:vAlign w:val="bottom"/>
            <w:hideMark/>
          </w:tcPr>
          <w:p w14:paraId="5214B75F"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7687DFFF"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42515BD0" w14:textId="77777777" w:rsidR="00966E2C" w:rsidRPr="00397EC7" w:rsidRDefault="00966E2C" w:rsidP="00643360">
            <w:pPr>
              <w:spacing w:after="0" w:line="240" w:lineRule="auto"/>
              <w:jc w:val="left"/>
              <w:rPr>
                <w:rFonts w:eastAsia="Times New Roman" w:cs="Arial"/>
                <w:i/>
                <w:iCs/>
                <w:color w:val="000000"/>
                <w:sz w:val="18"/>
                <w:szCs w:val="18"/>
                <w:lang w:val="en-GB" w:eastAsia="fr-FR"/>
              </w:rPr>
            </w:pPr>
            <w:r w:rsidRPr="00397EC7">
              <w:rPr>
                <w:rFonts w:eastAsia="Times New Roman" w:cs="Arial"/>
                <w:i/>
                <w:iCs/>
                <w:color w:val="000000"/>
                <w:sz w:val="18"/>
                <w:szCs w:val="18"/>
                <w:lang w:val="en-GB" w:eastAsia="fr-FR"/>
              </w:rPr>
              <w:t xml:space="preserve">      mild liver disease</w:t>
            </w:r>
          </w:p>
        </w:tc>
        <w:tc>
          <w:tcPr>
            <w:tcW w:w="2552" w:type="dxa"/>
            <w:tcBorders>
              <w:top w:val="nil"/>
              <w:left w:val="nil"/>
              <w:bottom w:val="nil"/>
              <w:right w:val="nil"/>
            </w:tcBorders>
            <w:shd w:val="clear" w:color="auto" w:fill="auto"/>
            <w:noWrap/>
            <w:vAlign w:val="bottom"/>
            <w:hideMark/>
          </w:tcPr>
          <w:p w14:paraId="463C0C0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4.64 [3.63-5.93]</w:t>
            </w:r>
          </w:p>
        </w:tc>
        <w:tc>
          <w:tcPr>
            <w:tcW w:w="850" w:type="dxa"/>
            <w:tcBorders>
              <w:top w:val="nil"/>
              <w:left w:val="nil"/>
              <w:bottom w:val="nil"/>
              <w:right w:val="nil"/>
            </w:tcBorders>
            <w:shd w:val="clear" w:color="auto" w:fill="auto"/>
            <w:noWrap/>
            <w:vAlign w:val="bottom"/>
            <w:hideMark/>
          </w:tcPr>
          <w:p w14:paraId="08A5939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531B48FD"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58CC02E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3.02 [1.80-5.07]</w:t>
            </w:r>
          </w:p>
        </w:tc>
        <w:tc>
          <w:tcPr>
            <w:tcW w:w="892" w:type="dxa"/>
            <w:tcBorders>
              <w:top w:val="nil"/>
              <w:left w:val="nil"/>
              <w:bottom w:val="nil"/>
              <w:right w:val="nil"/>
            </w:tcBorders>
            <w:shd w:val="clear" w:color="auto" w:fill="auto"/>
            <w:noWrap/>
            <w:vAlign w:val="bottom"/>
            <w:hideMark/>
          </w:tcPr>
          <w:p w14:paraId="25982E7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5A3B36D6"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2CB3A50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2.07 [1.35-3.16]</w:t>
            </w:r>
          </w:p>
        </w:tc>
        <w:tc>
          <w:tcPr>
            <w:tcW w:w="850" w:type="dxa"/>
            <w:tcBorders>
              <w:top w:val="nil"/>
              <w:left w:val="nil"/>
              <w:bottom w:val="nil"/>
              <w:right w:val="nil"/>
            </w:tcBorders>
            <w:shd w:val="clear" w:color="auto" w:fill="auto"/>
            <w:noWrap/>
            <w:vAlign w:val="bottom"/>
            <w:hideMark/>
          </w:tcPr>
          <w:p w14:paraId="02CDFB7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0.0008</w:t>
            </w:r>
          </w:p>
        </w:tc>
        <w:tc>
          <w:tcPr>
            <w:tcW w:w="191" w:type="dxa"/>
            <w:tcBorders>
              <w:top w:val="nil"/>
              <w:left w:val="nil"/>
              <w:bottom w:val="nil"/>
              <w:right w:val="nil"/>
            </w:tcBorders>
            <w:shd w:val="clear" w:color="auto" w:fill="auto"/>
            <w:noWrap/>
            <w:vAlign w:val="bottom"/>
            <w:hideMark/>
          </w:tcPr>
          <w:p w14:paraId="3334F7D9"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1214FDBA"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2.20 [1.58-3.06]</w:t>
            </w:r>
          </w:p>
        </w:tc>
        <w:tc>
          <w:tcPr>
            <w:tcW w:w="850" w:type="dxa"/>
            <w:tcBorders>
              <w:top w:val="nil"/>
              <w:left w:val="nil"/>
              <w:bottom w:val="nil"/>
              <w:right w:val="nil"/>
            </w:tcBorders>
            <w:shd w:val="clear" w:color="auto" w:fill="auto"/>
            <w:noWrap/>
            <w:vAlign w:val="bottom"/>
            <w:hideMark/>
          </w:tcPr>
          <w:p w14:paraId="4A56946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15CC2526"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55A93CC3" w14:textId="77777777" w:rsidR="00966E2C" w:rsidRPr="00397EC7" w:rsidRDefault="00966E2C" w:rsidP="00643360">
            <w:pPr>
              <w:spacing w:after="0" w:line="240" w:lineRule="auto"/>
              <w:jc w:val="left"/>
              <w:rPr>
                <w:rFonts w:eastAsia="Times New Roman" w:cs="Arial"/>
                <w:i/>
                <w:iCs/>
                <w:color w:val="000000"/>
                <w:sz w:val="18"/>
                <w:szCs w:val="18"/>
                <w:lang w:val="en-GB" w:eastAsia="fr-FR"/>
              </w:rPr>
            </w:pPr>
            <w:r w:rsidRPr="00397EC7">
              <w:rPr>
                <w:rFonts w:eastAsia="Times New Roman" w:cs="Arial"/>
                <w:i/>
                <w:iCs/>
                <w:color w:val="000000"/>
                <w:sz w:val="18"/>
                <w:szCs w:val="18"/>
                <w:lang w:val="en-GB" w:eastAsia="fr-FR"/>
              </w:rPr>
              <w:t xml:space="preserve">      moderate or severe liver disease</w:t>
            </w:r>
          </w:p>
        </w:tc>
        <w:tc>
          <w:tcPr>
            <w:tcW w:w="2552" w:type="dxa"/>
            <w:tcBorders>
              <w:top w:val="nil"/>
              <w:left w:val="nil"/>
              <w:bottom w:val="nil"/>
              <w:right w:val="nil"/>
            </w:tcBorders>
            <w:shd w:val="clear" w:color="auto" w:fill="auto"/>
            <w:noWrap/>
            <w:vAlign w:val="bottom"/>
            <w:hideMark/>
          </w:tcPr>
          <w:p w14:paraId="588CD9E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18.5 [14.9-22.9]</w:t>
            </w:r>
          </w:p>
        </w:tc>
        <w:tc>
          <w:tcPr>
            <w:tcW w:w="850" w:type="dxa"/>
            <w:tcBorders>
              <w:top w:val="nil"/>
              <w:left w:val="nil"/>
              <w:bottom w:val="nil"/>
              <w:right w:val="nil"/>
            </w:tcBorders>
            <w:shd w:val="clear" w:color="auto" w:fill="auto"/>
            <w:noWrap/>
            <w:vAlign w:val="bottom"/>
            <w:hideMark/>
          </w:tcPr>
          <w:p w14:paraId="2E8F932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550D607D"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7D3B780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1.81 [0.58-5.65]</w:t>
            </w:r>
          </w:p>
        </w:tc>
        <w:tc>
          <w:tcPr>
            <w:tcW w:w="892" w:type="dxa"/>
            <w:tcBorders>
              <w:top w:val="nil"/>
              <w:left w:val="nil"/>
              <w:bottom w:val="nil"/>
              <w:right w:val="nil"/>
            </w:tcBorders>
            <w:shd w:val="clear" w:color="auto" w:fill="auto"/>
            <w:noWrap/>
            <w:vAlign w:val="bottom"/>
            <w:hideMark/>
          </w:tcPr>
          <w:p w14:paraId="6D78452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0.31</w:t>
            </w:r>
          </w:p>
        </w:tc>
        <w:tc>
          <w:tcPr>
            <w:tcW w:w="191" w:type="dxa"/>
            <w:tcBorders>
              <w:top w:val="nil"/>
              <w:left w:val="nil"/>
              <w:bottom w:val="nil"/>
              <w:right w:val="nil"/>
            </w:tcBorders>
            <w:shd w:val="clear" w:color="auto" w:fill="auto"/>
            <w:noWrap/>
            <w:vAlign w:val="bottom"/>
            <w:hideMark/>
          </w:tcPr>
          <w:p w14:paraId="3A012A27"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59BAFD4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3.95 [2.33-6.70]</w:t>
            </w:r>
          </w:p>
        </w:tc>
        <w:tc>
          <w:tcPr>
            <w:tcW w:w="850" w:type="dxa"/>
            <w:tcBorders>
              <w:top w:val="nil"/>
              <w:left w:val="nil"/>
              <w:bottom w:val="nil"/>
              <w:right w:val="nil"/>
            </w:tcBorders>
            <w:shd w:val="clear" w:color="auto" w:fill="auto"/>
            <w:noWrap/>
            <w:vAlign w:val="bottom"/>
            <w:hideMark/>
          </w:tcPr>
          <w:p w14:paraId="7594325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515CE6E3"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741268D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4.94 [3.37-7.24]</w:t>
            </w:r>
          </w:p>
        </w:tc>
        <w:tc>
          <w:tcPr>
            <w:tcW w:w="850" w:type="dxa"/>
            <w:tcBorders>
              <w:top w:val="nil"/>
              <w:left w:val="nil"/>
              <w:bottom w:val="nil"/>
              <w:right w:val="nil"/>
            </w:tcBorders>
            <w:shd w:val="clear" w:color="auto" w:fill="auto"/>
            <w:noWrap/>
            <w:vAlign w:val="bottom"/>
            <w:hideMark/>
          </w:tcPr>
          <w:p w14:paraId="014D83F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3325A31B" w14:textId="77777777" w:rsidTr="00D54129">
        <w:trPr>
          <w:trHeight w:val="170"/>
          <w:jc w:val="center"/>
        </w:trPr>
        <w:tc>
          <w:tcPr>
            <w:tcW w:w="3525" w:type="dxa"/>
            <w:tcBorders>
              <w:top w:val="nil"/>
              <w:left w:val="nil"/>
              <w:bottom w:val="nil"/>
              <w:right w:val="nil"/>
            </w:tcBorders>
            <w:shd w:val="clear" w:color="auto" w:fill="auto"/>
            <w:noWrap/>
            <w:vAlign w:val="bottom"/>
            <w:hideMark/>
          </w:tcPr>
          <w:p w14:paraId="53B9DFCC"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diabetes</w:t>
            </w:r>
          </w:p>
        </w:tc>
        <w:tc>
          <w:tcPr>
            <w:tcW w:w="2552" w:type="dxa"/>
            <w:tcBorders>
              <w:top w:val="nil"/>
              <w:left w:val="nil"/>
              <w:bottom w:val="nil"/>
              <w:right w:val="nil"/>
            </w:tcBorders>
            <w:shd w:val="clear" w:color="auto" w:fill="auto"/>
            <w:noWrap/>
            <w:vAlign w:val="bottom"/>
            <w:hideMark/>
          </w:tcPr>
          <w:p w14:paraId="1CCB74E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3.88 [3.41-4.41]</w:t>
            </w:r>
          </w:p>
        </w:tc>
        <w:tc>
          <w:tcPr>
            <w:tcW w:w="850" w:type="dxa"/>
            <w:tcBorders>
              <w:top w:val="nil"/>
              <w:left w:val="nil"/>
              <w:bottom w:val="nil"/>
              <w:right w:val="nil"/>
            </w:tcBorders>
            <w:shd w:val="clear" w:color="auto" w:fill="auto"/>
            <w:noWrap/>
            <w:vAlign w:val="bottom"/>
            <w:hideMark/>
          </w:tcPr>
          <w:p w14:paraId="4450B7B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67A462E8"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2471" w:type="dxa"/>
            <w:tcBorders>
              <w:top w:val="nil"/>
              <w:left w:val="nil"/>
              <w:bottom w:val="nil"/>
              <w:right w:val="nil"/>
            </w:tcBorders>
            <w:shd w:val="clear" w:color="auto" w:fill="auto"/>
            <w:noWrap/>
            <w:vAlign w:val="bottom"/>
            <w:hideMark/>
          </w:tcPr>
          <w:p w14:paraId="28735B6A"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3.91 [3.10-4.92]</w:t>
            </w:r>
          </w:p>
        </w:tc>
        <w:tc>
          <w:tcPr>
            <w:tcW w:w="892" w:type="dxa"/>
            <w:tcBorders>
              <w:top w:val="nil"/>
              <w:left w:val="nil"/>
              <w:bottom w:val="nil"/>
              <w:right w:val="nil"/>
            </w:tcBorders>
            <w:shd w:val="clear" w:color="auto" w:fill="auto"/>
            <w:noWrap/>
            <w:vAlign w:val="bottom"/>
            <w:hideMark/>
          </w:tcPr>
          <w:p w14:paraId="6C86B20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066852B8"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6B3A1BB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4.20 [3.60-4.91]</w:t>
            </w:r>
          </w:p>
        </w:tc>
        <w:tc>
          <w:tcPr>
            <w:tcW w:w="850" w:type="dxa"/>
            <w:tcBorders>
              <w:top w:val="nil"/>
              <w:left w:val="nil"/>
              <w:bottom w:val="nil"/>
              <w:right w:val="nil"/>
            </w:tcBorders>
            <w:shd w:val="clear" w:color="auto" w:fill="auto"/>
            <w:noWrap/>
            <w:vAlign w:val="bottom"/>
            <w:hideMark/>
          </w:tcPr>
          <w:p w14:paraId="2F45D7C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2574C6CA"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nil"/>
              <w:right w:val="nil"/>
            </w:tcBorders>
            <w:shd w:val="clear" w:color="auto" w:fill="auto"/>
            <w:noWrap/>
            <w:vAlign w:val="bottom"/>
            <w:hideMark/>
          </w:tcPr>
          <w:p w14:paraId="0BFAFBC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2.10 [1.80-2.44]</w:t>
            </w:r>
          </w:p>
        </w:tc>
        <w:tc>
          <w:tcPr>
            <w:tcW w:w="850" w:type="dxa"/>
            <w:tcBorders>
              <w:top w:val="nil"/>
              <w:left w:val="nil"/>
              <w:bottom w:val="nil"/>
              <w:right w:val="nil"/>
            </w:tcBorders>
            <w:shd w:val="clear" w:color="auto" w:fill="auto"/>
            <w:noWrap/>
            <w:vAlign w:val="bottom"/>
            <w:hideMark/>
          </w:tcPr>
          <w:p w14:paraId="3699538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76526A19" w14:textId="77777777" w:rsidTr="00D54129">
        <w:trPr>
          <w:trHeight w:val="170"/>
          <w:jc w:val="center"/>
        </w:trPr>
        <w:tc>
          <w:tcPr>
            <w:tcW w:w="3525" w:type="dxa"/>
            <w:tcBorders>
              <w:top w:val="nil"/>
              <w:left w:val="nil"/>
              <w:right w:val="nil"/>
            </w:tcBorders>
            <w:shd w:val="clear" w:color="auto" w:fill="auto"/>
            <w:noWrap/>
            <w:vAlign w:val="bottom"/>
            <w:hideMark/>
          </w:tcPr>
          <w:p w14:paraId="45EF0678" w14:textId="77777777" w:rsidR="00966E2C" w:rsidRPr="00397EC7" w:rsidRDefault="00966E2C" w:rsidP="00643360">
            <w:pPr>
              <w:spacing w:after="0" w:line="240" w:lineRule="auto"/>
              <w:jc w:val="left"/>
              <w:rPr>
                <w:rFonts w:eastAsia="Times New Roman" w:cs="Arial"/>
                <w:i/>
                <w:iCs/>
                <w:color w:val="000000"/>
                <w:sz w:val="18"/>
                <w:szCs w:val="18"/>
                <w:lang w:val="en-GB" w:eastAsia="fr-FR"/>
              </w:rPr>
            </w:pPr>
            <w:r w:rsidRPr="00397EC7">
              <w:rPr>
                <w:rFonts w:eastAsia="Times New Roman" w:cs="Arial"/>
                <w:i/>
                <w:iCs/>
                <w:color w:val="000000"/>
                <w:sz w:val="18"/>
                <w:szCs w:val="18"/>
                <w:lang w:val="en-GB" w:eastAsia="fr-FR"/>
              </w:rPr>
              <w:t xml:space="preserve">      diabetes without end-organ damage</w:t>
            </w:r>
          </w:p>
        </w:tc>
        <w:tc>
          <w:tcPr>
            <w:tcW w:w="2552" w:type="dxa"/>
            <w:tcBorders>
              <w:top w:val="nil"/>
              <w:left w:val="nil"/>
              <w:right w:val="nil"/>
            </w:tcBorders>
            <w:shd w:val="clear" w:color="auto" w:fill="auto"/>
            <w:noWrap/>
            <w:vAlign w:val="bottom"/>
            <w:hideMark/>
          </w:tcPr>
          <w:p w14:paraId="7DD8044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1.70 [1.40-2.05]</w:t>
            </w:r>
          </w:p>
        </w:tc>
        <w:tc>
          <w:tcPr>
            <w:tcW w:w="850" w:type="dxa"/>
            <w:tcBorders>
              <w:top w:val="nil"/>
              <w:left w:val="nil"/>
              <w:right w:val="nil"/>
            </w:tcBorders>
            <w:shd w:val="clear" w:color="auto" w:fill="auto"/>
            <w:noWrap/>
            <w:vAlign w:val="bottom"/>
            <w:hideMark/>
          </w:tcPr>
          <w:p w14:paraId="6328299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right w:val="nil"/>
            </w:tcBorders>
            <w:shd w:val="clear" w:color="auto" w:fill="auto"/>
            <w:noWrap/>
            <w:vAlign w:val="bottom"/>
            <w:hideMark/>
          </w:tcPr>
          <w:p w14:paraId="16CFBEE7"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2471" w:type="dxa"/>
            <w:tcBorders>
              <w:top w:val="nil"/>
              <w:left w:val="nil"/>
              <w:right w:val="nil"/>
            </w:tcBorders>
            <w:shd w:val="clear" w:color="auto" w:fill="auto"/>
            <w:noWrap/>
            <w:vAlign w:val="bottom"/>
            <w:hideMark/>
          </w:tcPr>
          <w:p w14:paraId="3ADB56DF"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1.40 [0.97-2.04]</w:t>
            </w:r>
          </w:p>
        </w:tc>
        <w:tc>
          <w:tcPr>
            <w:tcW w:w="892" w:type="dxa"/>
            <w:tcBorders>
              <w:top w:val="nil"/>
              <w:left w:val="nil"/>
              <w:right w:val="nil"/>
            </w:tcBorders>
            <w:shd w:val="clear" w:color="auto" w:fill="auto"/>
            <w:noWrap/>
            <w:vAlign w:val="bottom"/>
            <w:hideMark/>
          </w:tcPr>
          <w:p w14:paraId="0BA0704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0.074</w:t>
            </w:r>
          </w:p>
        </w:tc>
        <w:tc>
          <w:tcPr>
            <w:tcW w:w="191" w:type="dxa"/>
            <w:tcBorders>
              <w:top w:val="nil"/>
              <w:left w:val="nil"/>
              <w:right w:val="nil"/>
            </w:tcBorders>
            <w:shd w:val="clear" w:color="auto" w:fill="auto"/>
            <w:noWrap/>
            <w:vAlign w:val="bottom"/>
            <w:hideMark/>
          </w:tcPr>
          <w:p w14:paraId="24FFD6F1"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right w:val="nil"/>
            </w:tcBorders>
            <w:shd w:val="clear" w:color="auto" w:fill="auto"/>
            <w:noWrap/>
            <w:vAlign w:val="bottom"/>
            <w:hideMark/>
          </w:tcPr>
          <w:p w14:paraId="05E5A72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1.41 [1.09-1.82]</w:t>
            </w:r>
          </w:p>
        </w:tc>
        <w:tc>
          <w:tcPr>
            <w:tcW w:w="850" w:type="dxa"/>
            <w:tcBorders>
              <w:top w:val="nil"/>
              <w:left w:val="nil"/>
              <w:right w:val="nil"/>
            </w:tcBorders>
            <w:shd w:val="clear" w:color="auto" w:fill="auto"/>
            <w:noWrap/>
            <w:vAlign w:val="bottom"/>
            <w:hideMark/>
          </w:tcPr>
          <w:p w14:paraId="564A679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0.0093</w:t>
            </w:r>
          </w:p>
        </w:tc>
        <w:tc>
          <w:tcPr>
            <w:tcW w:w="191" w:type="dxa"/>
            <w:tcBorders>
              <w:top w:val="nil"/>
              <w:left w:val="nil"/>
              <w:right w:val="nil"/>
            </w:tcBorders>
            <w:shd w:val="clear" w:color="auto" w:fill="auto"/>
            <w:noWrap/>
            <w:vAlign w:val="bottom"/>
            <w:hideMark/>
          </w:tcPr>
          <w:p w14:paraId="7F743529"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right w:val="nil"/>
            </w:tcBorders>
            <w:shd w:val="clear" w:color="auto" w:fill="auto"/>
            <w:noWrap/>
            <w:vAlign w:val="bottom"/>
            <w:hideMark/>
          </w:tcPr>
          <w:p w14:paraId="2828600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1.79 [1.51-2.12]</w:t>
            </w:r>
          </w:p>
        </w:tc>
        <w:tc>
          <w:tcPr>
            <w:tcW w:w="850" w:type="dxa"/>
            <w:tcBorders>
              <w:top w:val="nil"/>
              <w:left w:val="nil"/>
              <w:right w:val="nil"/>
            </w:tcBorders>
            <w:shd w:val="clear" w:color="auto" w:fill="auto"/>
            <w:noWrap/>
            <w:vAlign w:val="bottom"/>
            <w:hideMark/>
          </w:tcPr>
          <w:p w14:paraId="2FF8C96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1D6FBD6E" w14:textId="77777777" w:rsidTr="00D54129">
        <w:trPr>
          <w:trHeight w:val="170"/>
          <w:jc w:val="center"/>
        </w:trPr>
        <w:tc>
          <w:tcPr>
            <w:tcW w:w="3525" w:type="dxa"/>
            <w:tcBorders>
              <w:top w:val="nil"/>
              <w:left w:val="nil"/>
              <w:right w:val="nil"/>
            </w:tcBorders>
            <w:shd w:val="clear" w:color="auto" w:fill="auto"/>
            <w:noWrap/>
            <w:vAlign w:val="bottom"/>
            <w:hideMark/>
          </w:tcPr>
          <w:p w14:paraId="52BD3572" w14:textId="77777777" w:rsidR="00966E2C" w:rsidRPr="00397EC7" w:rsidRDefault="00966E2C" w:rsidP="00643360">
            <w:pPr>
              <w:spacing w:after="0" w:line="240" w:lineRule="auto"/>
              <w:jc w:val="left"/>
              <w:rPr>
                <w:rFonts w:eastAsia="Times New Roman" w:cs="Arial"/>
                <w:i/>
                <w:iCs/>
                <w:color w:val="000000"/>
                <w:sz w:val="18"/>
                <w:szCs w:val="18"/>
                <w:lang w:val="en-GB" w:eastAsia="fr-FR"/>
              </w:rPr>
            </w:pPr>
            <w:r w:rsidRPr="00397EC7">
              <w:rPr>
                <w:rFonts w:eastAsia="Times New Roman" w:cs="Arial"/>
                <w:i/>
                <w:iCs/>
                <w:color w:val="000000"/>
                <w:sz w:val="18"/>
                <w:szCs w:val="18"/>
                <w:lang w:val="en-GB" w:eastAsia="fr-FR"/>
              </w:rPr>
              <w:t xml:space="preserve">      diabetes with end-organ damage</w:t>
            </w:r>
          </w:p>
        </w:tc>
        <w:tc>
          <w:tcPr>
            <w:tcW w:w="2552" w:type="dxa"/>
            <w:tcBorders>
              <w:top w:val="nil"/>
              <w:left w:val="nil"/>
              <w:right w:val="nil"/>
            </w:tcBorders>
            <w:shd w:val="clear" w:color="auto" w:fill="auto"/>
            <w:noWrap/>
            <w:vAlign w:val="bottom"/>
            <w:hideMark/>
          </w:tcPr>
          <w:p w14:paraId="3FB833B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18.6 [15.9-21.7]</w:t>
            </w:r>
          </w:p>
        </w:tc>
        <w:tc>
          <w:tcPr>
            <w:tcW w:w="850" w:type="dxa"/>
            <w:tcBorders>
              <w:top w:val="nil"/>
              <w:left w:val="nil"/>
              <w:right w:val="nil"/>
            </w:tcBorders>
            <w:shd w:val="clear" w:color="auto" w:fill="auto"/>
            <w:noWrap/>
            <w:vAlign w:val="bottom"/>
            <w:hideMark/>
          </w:tcPr>
          <w:p w14:paraId="18A4395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right w:val="nil"/>
            </w:tcBorders>
            <w:shd w:val="clear" w:color="auto" w:fill="auto"/>
            <w:noWrap/>
            <w:vAlign w:val="bottom"/>
            <w:hideMark/>
          </w:tcPr>
          <w:p w14:paraId="6F3873E0"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2471" w:type="dxa"/>
            <w:tcBorders>
              <w:top w:val="nil"/>
              <w:left w:val="nil"/>
              <w:right w:val="nil"/>
            </w:tcBorders>
            <w:shd w:val="clear" w:color="auto" w:fill="auto"/>
            <w:noWrap/>
            <w:vAlign w:val="bottom"/>
            <w:hideMark/>
          </w:tcPr>
          <w:p w14:paraId="63C25E3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20.7 [15.8-27.0]</w:t>
            </w:r>
          </w:p>
        </w:tc>
        <w:tc>
          <w:tcPr>
            <w:tcW w:w="892" w:type="dxa"/>
            <w:tcBorders>
              <w:top w:val="nil"/>
              <w:left w:val="nil"/>
              <w:right w:val="nil"/>
            </w:tcBorders>
            <w:shd w:val="clear" w:color="auto" w:fill="auto"/>
            <w:noWrap/>
            <w:vAlign w:val="bottom"/>
            <w:hideMark/>
          </w:tcPr>
          <w:p w14:paraId="32A48DE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right w:val="nil"/>
            </w:tcBorders>
            <w:shd w:val="clear" w:color="auto" w:fill="auto"/>
            <w:noWrap/>
            <w:vAlign w:val="bottom"/>
            <w:hideMark/>
          </w:tcPr>
          <w:p w14:paraId="6DE4229E"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right w:val="nil"/>
            </w:tcBorders>
            <w:shd w:val="clear" w:color="auto" w:fill="auto"/>
            <w:noWrap/>
            <w:vAlign w:val="bottom"/>
            <w:hideMark/>
          </w:tcPr>
          <w:p w14:paraId="6410E97A"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23.0 [19.3-27.5]</w:t>
            </w:r>
          </w:p>
        </w:tc>
        <w:tc>
          <w:tcPr>
            <w:tcW w:w="850" w:type="dxa"/>
            <w:tcBorders>
              <w:top w:val="nil"/>
              <w:left w:val="nil"/>
              <w:right w:val="nil"/>
            </w:tcBorders>
            <w:shd w:val="clear" w:color="auto" w:fill="auto"/>
            <w:noWrap/>
            <w:vAlign w:val="bottom"/>
            <w:hideMark/>
          </w:tcPr>
          <w:p w14:paraId="77D9E4A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right w:val="nil"/>
            </w:tcBorders>
            <w:shd w:val="clear" w:color="auto" w:fill="auto"/>
            <w:noWrap/>
            <w:vAlign w:val="bottom"/>
            <w:hideMark/>
          </w:tcPr>
          <w:p w14:paraId="7D26CE9C"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right w:val="nil"/>
            </w:tcBorders>
            <w:shd w:val="clear" w:color="auto" w:fill="auto"/>
            <w:noWrap/>
            <w:vAlign w:val="bottom"/>
            <w:hideMark/>
          </w:tcPr>
          <w:p w14:paraId="54D129F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4.16 [3.15-5.50]</w:t>
            </w:r>
          </w:p>
        </w:tc>
        <w:tc>
          <w:tcPr>
            <w:tcW w:w="850" w:type="dxa"/>
            <w:tcBorders>
              <w:top w:val="nil"/>
              <w:left w:val="nil"/>
              <w:right w:val="nil"/>
            </w:tcBorders>
            <w:shd w:val="clear" w:color="auto" w:fill="auto"/>
            <w:noWrap/>
            <w:vAlign w:val="bottom"/>
            <w:hideMark/>
          </w:tcPr>
          <w:p w14:paraId="7744975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5F9619A6" w14:textId="77777777" w:rsidTr="00D54129">
        <w:trPr>
          <w:trHeight w:val="170"/>
          <w:jc w:val="center"/>
        </w:trPr>
        <w:tc>
          <w:tcPr>
            <w:tcW w:w="3525" w:type="dxa"/>
            <w:tcBorders>
              <w:left w:val="nil"/>
              <w:bottom w:val="nil"/>
              <w:right w:val="nil"/>
            </w:tcBorders>
            <w:shd w:val="clear" w:color="auto" w:fill="auto"/>
            <w:noWrap/>
            <w:vAlign w:val="bottom"/>
            <w:hideMark/>
          </w:tcPr>
          <w:p w14:paraId="62C2D523" w14:textId="4EB8BCDF" w:rsidR="00966E2C" w:rsidRPr="00397EC7" w:rsidRDefault="00966E2C" w:rsidP="00457B87">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w:t>
            </w:r>
            <w:proofErr w:type="spellStart"/>
            <w:r w:rsidRPr="00397EC7">
              <w:rPr>
                <w:rFonts w:eastAsia="Times New Roman" w:cs="Arial"/>
                <w:color w:val="000000"/>
                <w:sz w:val="18"/>
                <w:szCs w:val="18"/>
                <w:lang w:val="en-GB" w:eastAsia="fr-FR"/>
              </w:rPr>
              <w:t>cancer</w:t>
            </w:r>
            <w:r w:rsidR="00457B87" w:rsidRPr="00397EC7">
              <w:rPr>
                <w:rFonts w:eastAsia="Times New Roman" w:cs="Arial"/>
                <w:color w:val="000000"/>
                <w:sz w:val="18"/>
                <w:szCs w:val="18"/>
                <w:vertAlign w:val="superscript"/>
                <w:lang w:val="en-GB" w:eastAsia="fr-FR"/>
              </w:rPr>
              <w:t>a</w:t>
            </w:r>
            <w:proofErr w:type="spellEnd"/>
          </w:p>
        </w:tc>
        <w:tc>
          <w:tcPr>
            <w:tcW w:w="2552" w:type="dxa"/>
            <w:tcBorders>
              <w:left w:val="nil"/>
              <w:bottom w:val="nil"/>
              <w:right w:val="nil"/>
            </w:tcBorders>
            <w:shd w:val="clear" w:color="auto" w:fill="auto"/>
            <w:noWrap/>
            <w:vAlign w:val="bottom"/>
            <w:hideMark/>
          </w:tcPr>
          <w:p w14:paraId="6777980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3.34 [2.94-3.80]</w:t>
            </w:r>
          </w:p>
        </w:tc>
        <w:tc>
          <w:tcPr>
            <w:tcW w:w="850" w:type="dxa"/>
            <w:tcBorders>
              <w:left w:val="nil"/>
              <w:bottom w:val="nil"/>
              <w:right w:val="nil"/>
            </w:tcBorders>
            <w:shd w:val="clear" w:color="auto" w:fill="auto"/>
            <w:noWrap/>
            <w:vAlign w:val="bottom"/>
            <w:hideMark/>
          </w:tcPr>
          <w:p w14:paraId="7210F99F"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left w:val="nil"/>
              <w:bottom w:val="nil"/>
              <w:right w:val="nil"/>
            </w:tcBorders>
            <w:shd w:val="clear" w:color="auto" w:fill="auto"/>
            <w:noWrap/>
            <w:vAlign w:val="bottom"/>
            <w:hideMark/>
          </w:tcPr>
          <w:p w14:paraId="10452CDF"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2471" w:type="dxa"/>
            <w:tcBorders>
              <w:left w:val="nil"/>
              <w:bottom w:val="nil"/>
              <w:right w:val="nil"/>
            </w:tcBorders>
            <w:shd w:val="clear" w:color="auto" w:fill="auto"/>
            <w:noWrap/>
            <w:vAlign w:val="bottom"/>
            <w:hideMark/>
          </w:tcPr>
          <w:p w14:paraId="48D70DE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2.31 [1.79-2.98]</w:t>
            </w:r>
          </w:p>
        </w:tc>
        <w:tc>
          <w:tcPr>
            <w:tcW w:w="892" w:type="dxa"/>
            <w:tcBorders>
              <w:left w:val="nil"/>
              <w:bottom w:val="nil"/>
              <w:right w:val="nil"/>
            </w:tcBorders>
            <w:shd w:val="clear" w:color="auto" w:fill="auto"/>
            <w:noWrap/>
            <w:vAlign w:val="bottom"/>
            <w:hideMark/>
          </w:tcPr>
          <w:p w14:paraId="7D3D14C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left w:val="nil"/>
              <w:bottom w:val="nil"/>
              <w:right w:val="nil"/>
            </w:tcBorders>
            <w:shd w:val="clear" w:color="auto" w:fill="auto"/>
            <w:noWrap/>
            <w:vAlign w:val="bottom"/>
            <w:hideMark/>
          </w:tcPr>
          <w:p w14:paraId="2B542463"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left w:val="nil"/>
              <w:bottom w:val="nil"/>
              <w:right w:val="nil"/>
            </w:tcBorders>
            <w:shd w:val="clear" w:color="auto" w:fill="auto"/>
            <w:noWrap/>
            <w:vAlign w:val="bottom"/>
            <w:hideMark/>
          </w:tcPr>
          <w:p w14:paraId="5604C60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2.64 [2.23-3.12]</w:t>
            </w:r>
          </w:p>
        </w:tc>
        <w:tc>
          <w:tcPr>
            <w:tcW w:w="850" w:type="dxa"/>
            <w:tcBorders>
              <w:left w:val="nil"/>
              <w:bottom w:val="nil"/>
              <w:right w:val="nil"/>
            </w:tcBorders>
            <w:shd w:val="clear" w:color="auto" w:fill="auto"/>
            <w:noWrap/>
            <w:vAlign w:val="bottom"/>
            <w:hideMark/>
          </w:tcPr>
          <w:p w14:paraId="102EC3A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left w:val="nil"/>
              <w:bottom w:val="nil"/>
              <w:right w:val="nil"/>
            </w:tcBorders>
            <w:shd w:val="clear" w:color="auto" w:fill="auto"/>
            <w:noWrap/>
            <w:vAlign w:val="bottom"/>
            <w:hideMark/>
          </w:tcPr>
          <w:p w14:paraId="6D13C855"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left w:val="nil"/>
              <w:bottom w:val="nil"/>
              <w:right w:val="nil"/>
            </w:tcBorders>
            <w:shd w:val="clear" w:color="auto" w:fill="auto"/>
            <w:noWrap/>
            <w:vAlign w:val="bottom"/>
            <w:hideMark/>
          </w:tcPr>
          <w:p w14:paraId="2AF964B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4.04 [3.58-4.57]</w:t>
            </w:r>
          </w:p>
        </w:tc>
        <w:tc>
          <w:tcPr>
            <w:tcW w:w="850" w:type="dxa"/>
            <w:tcBorders>
              <w:left w:val="nil"/>
              <w:bottom w:val="nil"/>
              <w:right w:val="nil"/>
            </w:tcBorders>
            <w:shd w:val="clear" w:color="auto" w:fill="auto"/>
            <w:noWrap/>
            <w:vAlign w:val="bottom"/>
            <w:hideMark/>
          </w:tcPr>
          <w:p w14:paraId="3C99491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3D1FAFF2" w14:textId="77777777" w:rsidTr="00D54129">
        <w:trPr>
          <w:trHeight w:val="170"/>
          <w:jc w:val="center"/>
        </w:trPr>
        <w:tc>
          <w:tcPr>
            <w:tcW w:w="3525" w:type="dxa"/>
            <w:tcBorders>
              <w:top w:val="nil"/>
              <w:left w:val="nil"/>
              <w:right w:val="nil"/>
            </w:tcBorders>
            <w:shd w:val="clear" w:color="auto" w:fill="auto"/>
            <w:noWrap/>
            <w:vAlign w:val="bottom"/>
            <w:hideMark/>
          </w:tcPr>
          <w:p w14:paraId="1C62DFC8" w14:textId="4FA6A476" w:rsidR="00966E2C" w:rsidRPr="00397EC7" w:rsidRDefault="00966E2C" w:rsidP="00457B87">
            <w:pPr>
              <w:spacing w:after="0" w:line="240" w:lineRule="auto"/>
              <w:jc w:val="left"/>
              <w:rPr>
                <w:rFonts w:eastAsia="Times New Roman" w:cs="Arial"/>
                <w:i/>
                <w:iCs/>
                <w:color w:val="000000"/>
                <w:sz w:val="18"/>
                <w:szCs w:val="18"/>
                <w:lang w:val="en-GB" w:eastAsia="fr-FR"/>
              </w:rPr>
            </w:pPr>
            <w:r w:rsidRPr="00397EC7">
              <w:rPr>
                <w:rFonts w:eastAsia="Times New Roman" w:cs="Arial"/>
                <w:i/>
                <w:iCs/>
                <w:color w:val="000000"/>
                <w:sz w:val="18"/>
                <w:szCs w:val="18"/>
                <w:lang w:val="en-GB" w:eastAsia="fr-FR"/>
              </w:rPr>
              <w:t xml:space="preserve">      non metastatic </w:t>
            </w:r>
            <w:proofErr w:type="spellStart"/>
            <w:r w:rsidRPr="00397EC7">
              <w:rPr>
                <w:rFonts w:eastAsia="Times New Roman" w:cs="Arial"/>
                <w:i/>
                <w:iCs/>
                <w:color w:val="000000"/>
                <w:sz w:val="18"/>
                <w:szCs w:val="18"/>
                <w:lang w:val="en-GB" w:eastAsia="fr-FR"/>
              </w:rPr>
              <w:t>cancer</w:t>
            </w:r>
            <w:r w:rsidR="00457B87" w:rsidRPr="00397EC7">
              <w:rPr>
                <w:rFonts w:eastAsia="Times New Roman" w:cs="Arial"/>
                <w:i/>
                <w:iCs/>
                <w:color w:val="000000"/>
                <w:sz w:val="18"/>
                <w:szCs w:val="18"/>
                <w:vertAlign w:val="superscript"/>
                <w:lang w:val="en-GB" w:eastAsia="fr-FR"/>
              </w:rPr>
              <w:t>b</w:t>
            </w:r>
            <w:proofErr w:type="spellEnd"/>
          </w:p>
        </w:tc>
        <w:tc>
          <w:tcPr>
            <w:tcW w:w="2552" w:type="dxa"/>
            <w:tcBorders>
              <w:top w:val="nil"/>
              <w:left w:val="nil"/>
              <w:right w:val="nil"/>
            </w:tcBorders>
            <w:shd w:val="clear" w:color="auto" w:fill="auto"/>
            <w:noWrap/>
            <w:vAlign w:val="bottom"/>
            <w:hideMark/>
          </w:tcPr>
          <w:p w14:paraId="182FB36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2.78 [2.41-3.20]</w:t>
            </w:r>
          </w:p>
        </w:tc>
        <w:tc>
          <w:tcPr>
            <w:tcW w:w="850" w:type="dxa"/>
            <w:tcBorders>
              <w:top w:val="nil"/>
              <w:left w:val="nil"/>
              <w:right w:val="nil"/>
            </w:tcBorders>
            <w:shd w:val="clear" w:color="auto" w:fill="auto"/>
            <w:noWrap/>
            <w:vAlign w:val="bottom"/>
            <w:hideMark/>
          </w:tcPr>
          <w:p w14:paraId="790255A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right w:val="nil"/>
            </w:tcBorders>
            <w:shd w:val="clear" w:color="auto" w:fill="auto"/>
            <w:noWrap/>
            <w:vAlign w:val="bottom"/>
            <w:hideMark/>
          </w:tcPr>
          <w:p w14:paraId="699CBC56"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2471" w:type="dxa"/>
            <w:tcBorders>
              <w:top w:val="nil"/>
              <w:left w:val="nil"/>
              <w:right w:val="nil"/>
            </w:tcBorders>
            <w:shd w:val="clear" w:color="auto" w:fill="auto"/>
            <w:noWrap/>
            <w:vAlign w:val="bottom"/>
            <w:hideMark/>
          </w:tcPr>
          <w:p w14:paraId="3CF212F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2.16 [1.65-2.82]</w:t>
            </w:r>
          </w:p>
        </w:tc>
        <w:tc>
          <w:tcPr>
            <w:tcW w:w="892" w:type="dxa"/>
            <w:tcBorders>
              <w:top w:val="nil"/>
              <w:left w:val="nil"/>
              <w:right w:val="nil"/>
            </w:tcBorders>
            <w:shd w:val="clear" w:color="auto" w:fill="auto"/>
            <w:noWrap/>
            <w:vAlign w:val="bottom"/>
            <w:hideMark/>
          </w:tcPr>
          <w:p w14:paraId="2DCEAB3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right w:val="nil"/>
            </w:tcBorders>
            <w:shd w:val="clear" w:color="auto" w:fill="auto"/>
            <w:noWrap/>
            <w:vAlign w:val="bottom"/>
            <w:hideMark/>
          </w:tcPr>
          <w:p w14:paraId="6C8BC8ED"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804" w:type="dxa"/>
            <w:tcBorders>
              <w:top w:val="nil"/>
              <w:left w:val="nil"/>
              <w:right w:val="nil"/>
            </w:tcBorders>
            <w:shd w:val="clear" w:color="auto" w:fill="auto"/>
            <w:noWrap/>
            <w:vAlign w:val="bottom"/>
            <w:hideMark/>
          </w:tcPr>
          <w:p w14:paraId="49A82BC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2.22 [1.85-2.67]</w:t>
            </w:r>
          </w:p>
        </w:tc>
        <w:tc>
          <w:tcPr>
            <w:tcW w:w="850" w:type="dxa"/>
            <w:tcBorders>
              <w:top w:val="nil"/>
              <w:left w:val="nil"/>
              <w:right w:val="nil"/>
            </w:tcBorders>
            <w:shd w:val="clear" w:color="auto" w:fill="auto"/>
            <w:noWrap/>
            <w:vAlign w:val="bottom"/>
            <w:hideMark/>
          </w:tcPr>
          <w:p w14:paraId="53A4388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right w:val="nil"/>
            </w:tcBorders>
            <w:shd w:val="clear" w:color="auto" w:fill="auto"/>
            <w:noWrap/>
            <w:vAlign w:val="bottom"/>
            <w:hideMark/>
          </w:tcPr>
          <w:p w14:paraId="5E1A4918"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804" w:type="dxa"/>
            <w:tcBorders>
              <w:top w:val="nil"/>
              <w:left w:val="nil"/>
              <w:right w:val="nil"/>
            </w:tcBorders>
            <w:shd w:val="clear" w:color="auto" w:fill="auto"/>
            <w:noWrap/>
            <w:vAlign w:val="bottom"/>
            <w:hideMark/>
          </w:tcPr>
          <w:p w14:paraId="31730FB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2.93 [2.55-3.37]</w:t>
            </w:r>
          </w:p>
        </w:tc>
        <w:tc>
          <w:tcPr>
            <w:tcW w:w="850" w:type="dxa"/>
            <w:tcBorders>
              <w:top w:val="nil"/>
              <w:left w:val="nil"/>
              <w:right w:val="nil"/>
            </w:tcBorders>
            <w:shd w:val="clear" w:color="auto" w:fill="auto"/>
            <w:noWrap/>
            <w:vAlign w:val="bottom"/>
            <w:hideMark/>
          </w:tcPr>
          <w:p w14:paraId="262D90F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7A433BE1" w14:textId="77777777" w:rsidTr="00D54129">
        <w:trPr>
          <w:trHeight w:val="170"/>
          <w:jc w:val="center"/>
        </w:trPr>
        <w:tc>
          <w:tcPr>
            <w:tcW w:w="3525" w:type="dxa"/>
            <w:tcBorders>
              <w:top w:val="nil"/>
              <w:left w:val="nil"/>
              <w:bottom w:val="single" w:sz="4" w:space="0" w:color="auto"/>
              <w:right w:val="nil"/>
            </w:tcBorders>
            <w:shd w:val="clear" w:color="auto" w:fill="auto"/>
            <w:noWrap/>
            <w:vAlign w:val="bottom"/>
            <w:hideMark/>
          </w:tcPr>
          <w:p w14:paraId="03ADAAB0" w14:textId="632315A8" w:rsidR="00966E2C" w:rsidRPr="00397EC7" w:rsidRDefault="00966E2C" w:rsidP="00643360">
            <w:pPr>
              <w:spacing w:after="0" w:line="240" w:lineRule="auto"/>
              <w:jc w:val="left"/>
              <w:rPr>
                <w:rFonts w:eastAsia="Times New Roman" w:cs="Arial"/>
                <w:i/>
                <w:iCs/>
                <w:color w:val="000000"/>
                <w:sz w:val="18"/>
                <w:szCs w:val="18"/>
                <w:lang w:val="en-GB" w:eastAsia="fr-FR"/>
              </w:rPr>
            </w:pPr>
            <w:r w:rsidRPr="00397EC7">
              <w:rPr>
                <w:rFonts w:eastAsia="Times New Roman" w:cs="Arial"/>
                <w:i/>
                <w:iCs/>
                <w:color w:val="000000"/>
                <w:sz w:val="18"/>
                <w:szCs w:val="18"/>
                <w:lang w:val="en-GB" w:eastAsia="fr-FR"/>
              </w:rPr>
              <w:t xml:space="preserve">      metastatic solid </w:t>
            </w:r>
            <w:proofErr w:type="spellStart"/>
            <w:r w:rsidRPr="00397EC7">
              <w:rPr>
                <w:rFonts w:eastAsia="Times New Roman" w:cs="Arial"/>
                <w:i/>
                <w:iCs/>
                <w:color w:val="000000"/>
                <w:sz w:val="18"/>
                <w:szCs w:val="18"/>
                <w:lang w:val="en-GB" w:eastAsia="fr-FR"/>
              </w:rPr>
              <w:t>tumor</w:t>
            </w:r>
            <w:proofErr w:type="spellEnd"/>
          </w:p>
        </w:tc>
        <w:tc>
          <w:tcPr>
            <w:tcW w:w="2552" w:type="dxa"/>
            <w:tcBorders>
              <w:top w:val="nil"/>
              <w:left w:val="nil"/>
              <w:bottom w:val="single" w:sz="4" w:space="0" w:color="auto"/>
              <w:right w:val="nil"/>
            </w:tcBorders>
            <w:shd w:val="clear" w:color="auto" w:fill="auto"/>
            <w:noWrap/>
            <w:vAlign w:val="bottom"/>
            <w:hideMark/>
          </w:tcPr>
          <w:p w14:paraId="3879D84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10.8 [8.50-13.7]</w:t>
            </w:r>
          </w:p>
        </w:tc>
        <w:tc>
          <w:tcPr>
            <w:tcW w:w="850" w:type="dxa"/>
            <w:tcBorders>
              <w:top w:val="nil"/>
              <w:left w:val="nil"/>
              <w:bottom w:val="single" w:sz="4" w:space="0" w:color="auto"/>
              <w:right w:val="nil"/>
            </w:tcBorders>
            <w:shd w:val="clear" w:color="auto" w:fill="auto"/>
            <w:noWrap/>
            <w:vAlign w:val="bottom"/>
            <w:hideMark/>
          </w:tcPr>
          <w:p w14:paraId="356A504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single" w:sz="4" w:space="0" w:color="auto"/>
              <w:right w:val="nil"/>
            </w:tcBorders>
            <w:shd w:val="clear" w:color="auto" w:fill="auto"/>
            <w:noWrap/>
            <w:vAlign w:val="bottom"/>
            <w:hideMark/>
          </w:tcPr>
          <w:p w14:paraId="4A9616F2"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2471" w:type="dxa"/>
            <w:tcBorders>
              <w:top w:val="nil"/>
              <w:left w:val="nil"/>
              <w:bottom w:val="single" w:sz="4" w:space="0" w:color="auto"/>
              <w:right w:val="nil"/>
            </w:tcBorders>
            <w:shd w:val="clear" w:color="auto" w:fill="auto"/>
            <w:noWrap/>
            <w:vAlign w:val="bottom"/>
            <w:hideMark/>
          </w:tcPr>
          <w:p w14:paraId="7AFB1E5F"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4.32 [2.30-8.11]</w:t>
            </w:r>
          </w:p>
        </w:tc>
        <w:tc>
          <w:tcPr>
            <w:tcW w:w="892" w:type="dxa"/>
            <w:tcBorders>
              <w:top w:val="nil"/>
              <w:left w:val="nil"/>
              <w:bottom w:val="single" w:sz="4" w:space="0" w:color="auto"/>
              <w:right w:val="nil"/>
            </w:tcBorders>
            <w:shd w:val="clear" w:color="auto" w:fill="auto"/>
            <w:noWrap/>
            <w:vAlign w:val="bottom"/>
            <w:hideMark/>
          </w:tcPr>
          <w:p w14:paraId="0EC9284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single" w:sz="4" w:space="0" w:color="auto"/>
              <w:right w:val="nil"/>
            </w:tcBorders>
            <w:shd w:val="clear" w:color="auto" w:fill="auto"/>
            <w:noWrap/>
            <w:vAlign w:val="bottom"/>
            <w:hideMark/>
          </w:tcPr>
          <w:p w14:paraId="561A4EA8"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804" w:type="dxa"/>
            <w:tcBorders>
              <w:top w:val="nil"/>
              <w:left w:val="nil"/>
              <w:bottom w:val="single" w:sz="4" w:space="0" w:color="auto"/>
              <w:right w:val="nil"/>
            </w:tcBorders>
            <w:shd w:val="clear" w:color="auto" w:fill="auto"/>
            <w:noWrap/>
            <w:vAlign w:val="bottom"/>
            <w:hideMark/>
          </w:tcPr>
          <w:p w14:paraId="4A48655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8.12 [5.87-11.2]</w:t>
            </w:r>
          </w:p>
        </w:tc>
        <w:tc>
          <w:tcPr>
            <w:tcW w:w="850" w:type="dxa"/>
            <w:tcBorders>
              <w:top w:val="nil"/>
              <w:left w:val="nil"/>
              <w:bottom w:val="single" w:sz="4" w:space="0" w:color="auto"/>
              <w:right w:val="nil"/>
            </w:tcBorders>
            <w:shd w:val="clear" w:color="auto" w:fill="auto"/>
            <w:noWrap/>
            <w:vAlign w:val="bottom"/>
            <w:hideMark/>
          </w:tcPr>
          <w:p w14:paraId="56647A1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single" w:sz="4" w:space="0" w:color="auto"/>
              <w:right w:val="nil"/>
            </w:tcBorders>
            <w:shd w:val="clear" w:color="auto" w:fill="auto"/>
            <w:noWrap/>
            <w:vAlign w:val="bottom"/>
            <w:hideMark/>
          </w:tcPr>
          <w:p w14:paraId="67ABD89B"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c>
          <w:tcPr>
            <w:tcW w:w="1804" w:type="dxa"/>
            <w:tcBorders>
              <w:top w:val="nil"/>
              <w:left w:val="nil"/>
              <w:bottom w:val="single" w:sz="4" w:space="0" w:color="auto"/>
              <w:right w:val="nil"/>
            </w:tcBorders>
            <w:shd w:val="clear" w:color="auto" w:fill="auto"/>
            <w:noWrap/>
            <w:vAlign w:val="bottom"/>
            <w:hideMark/>
          </w:tcPr>
          <w:p w14:paraId="46A1AAD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18.8 [15.6-22.7]</w:t>
            </w:r>
          </w:p>
        </w:tc>
        <w:tc>
          <w:tcPr>
            <w:tcW w:w="850" w:type="dxa"/>
            <w:tcBorders>
              <w:top w:val="nil"/>
              <w:left w:val="nil"/>
              <w:bottom w:val="single" w:sz="4" w:space="0" w:color="auto"/>
              <w:right w:val="nil"/>
            </w:tcBorders>
            <w:shd w:val="clear" w:color="auto" w:fill="auto"/>
            <w:noWrap/>
            <w:vAlign w:val="bottom"/>
            <w:hideMark/>
          </w:tcPr>
          <w:p w14:paraId="4324EA7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bl>
    <w:p w14:paraId="3D583A13" w14:textId="448B896B" w:rsidR="00D54129" w:rsidRPr="00397EC7" w:rsidRDefault="00A6091F" w:rsidP="00D54129">
      <w:pPr>
        <w:pStyle w:val="Lgende"/>
        <w:spacing w:before="240"/>
        <w:rPr>
          <w:rFonts w:cs="Arial"/>
          <w:sz w:val="20"/>
          <w:lang w:val="en-GB"/>
        </w:rPr>
      </w:pPr>
      <w:r w:rsidRPr="00397EC7">
        <w:rPr>
          <w:rStyle w:val="Titredulivre"/>
          <w:rFonts w:cs="Times New Roman"/>
          <w:lang w:val="en-GB"/>
        </w:rPr>
        <w:lastRenderedPageBreak/>
        <w:t xml:space="preserve">Supplemental Table </w:t>
      </w:r>
      <w:r w:rsidR="00814A7A" w:rsidRPr="00397EC7">
        <w:rPr>
          <w:rFonts w:cs="Arial"/>
          <w:sz w:val="20"/>
          <w:lang w:val="en-GB"/>
        </w:rPr>
        <w:t>5</w:t>
      </w:r>
      <w:r w:rsidR="00D54129" w:rsidRPr="00397EC7">
        <w:rPr>
          <w:rFonts w:cs="Arial"/>
          <w:sz w:val="20"/>
          <w:lang w:val="en-GB"/>
        </w:rPr>
        <w:t>: Characteristics associated with cardiovascular adverse events: unadjusted logistic regression models (N = 4,088,799) (continued).</w:t>
      </w:r>
    </w:p>
    <w:tbl>
      <w:tblPr>
        <w:tblW w:w="16254" w:type="dxa"/>
        <w:jc w:val="center"/>
        <w:tblCellMar>
          <w:left w:w="70" w:type="dxa"/>
          <w:right w:w="70" w:type="dxa"/>
        </w:tblCellMar>
        <w:tblLook w:val="04A0" w:firstRow="1" w:lastRow="0" w:firstColumn="1" w:lastColumn="0" w:noHBand="0" w:noVBand="1"/>
      </w:tblPr>
      <w:tblGrid>
        <w:gridCol w:w="3211"/>
        <w:gridCol w:w="2835"/>
        <w:gridCol w:w="881"/>
        <w:gridCol w:w="191"/>
        <w:gridCol w:w="2796"/>
        <w:gridCol w:w="959"/>
        <w:gridCol w:w="191"/>
        <w:gridCol w:w="1760"/>
        <w:gridCol w:w="768"/>
        <w:gridCol w:w="191"/>
        <w:gridCol w:w="1621"/>
        <w:gridCol w:w="850"/>
      </w:tblGrid>
      <w:tr w:rsidR="00D54129" w:rsidRPr="00397EC7" w14:paraId="2DB8451E" w14:textId="77777777" w:rsidTr="00D54129">
        <w:trPr>
          <w:trHeight w:val="170"/>
          <w:tblHeader/>
          <w:jc w:val="center"/>
        </w:trPr>
        <w:tc>
          <w:tcPr>
            <w:tcW w:w="3211" w:type="dxa"/>
            <w:tcBorders>
              <w:top w:val="single" w:sz="4" w:space="0" w:color="auto"/>
              <w:left w:val="nil"/>
              <w:right w:val="nil"/>
            </w:tcBorders>
            <w:shd w:val="clear" w:color="auto" w:fill="auto"/>
            <w:noWrap/>
            <w:vAlign w:val="bottom"/>
            <w:hideMark/>
          </w:tcPr>
          <w:p w14:paraId="24FB8455" w14:textId="77777777" w:rsidR="00D54129" w:rsidRPr="00397EC7" w:rsidRDefault="00D54129" w:rsidP="00DB5008">
            <w:pPr>
              <w:spacing w:after="0" w:line="240" w:lineRule="auto"/>
              <w:jc w:val="left"/>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3716" w:type="dxa"/>
            <w:gridSpan w:val="2"/>
            <w:tcBorders>
              <w:top w:val="single" w:sz="4" w:space="0" w:color="auto"/>
              <w:left w:val="nil"/>
              <w:bottom w:val="single" w:sz="4" w:space="0" w:color="auto"/>
              <w:right w:val="nil"/>
            </w:tcBorders>
            <w:shd w:val="clear" w:color="auto" w:fill="auto"/>
            <w:noWrap/>
            <w:vAlign w:val="bottom"/>
            <w:hideMark/>
          </w:tcPr>
          <w:p w14:paraId="601075E3"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Shock</w:t>
            </w:r>
          </w:p>
        </w:tc>
        <w:tc>
          <w:tcPr>
            <w:tcW w:w="191" w:type="dxa"/>
            <w:tcBorders>
              <w:top w:val="single" w:sz="4" w:space="0" w:color="auto"/>
              <w:left w:val="nil"/>
              <w:bottom w:val="nil"/>
              <w:right w:val="nil"/>
            </w:tcBorders>
            <w:shd w:val="clear" w:color="auto" w:fill="auto"/>
            <w:noWrap/>
            <w:vAlign w:val="bottom"/>
            <w:hideMark/>
          </w:tcPr>
          <w:p w14:paraId="72876A77"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w:t>
            </w:r>
          </w:p>
        </w:tc>
        <w:tc>
          <w:tcPr>
            <w:tcW w:w="3755" w:type="dxa"/>
            <w:gridSpan w:val="2"/>
            <w:tcBorders>
              <w:top w:val="single" w:sz="4" w:space="0" w:color="auto"/>
              <w:left w:val="nil"/>
              <w:bottom w:val="single" w:sz="4" w:space="0" w:color="auto"/>
              <w:right w:val="nil"/>
            </w:tcBorders>
            <w:shd w:val="clear" w:color="auto" w:fill="auto"/>
            <w:noWrap/>
            <w:vAlign w:val="bottom"/>
            <w:hideMark/>
          </w:tcPr>
          <w:p w14:paraId="500C51BD"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Myocardial infarction</w:t>
            </w:r>
          </w:p>
        </w:tc>
        <w:tc>
          <w:tcPr>
            <w:tcW w:w="191" w:type="dxa"/>
            <w:tcBorders>
              <w:top w:val="single" w:sz="4" w:space="0" w:color="auto"/>
              <w:left w:val="nil"/>
              <w:bottom w:val="nil"/>
              <w:right w:val="nil"/>
            </w:tcBorders>
            <w:shd w:val="clear" w:color="auto" w:fill="auto"/>
            <w:noWrap/>
            <w:vAlign w:val="bottom"/>
            <w:hideMark/>
          </w:tcPr>
          <w:p w14:paraId="03A898E7"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w:t>
            </w:r>
          </w:p>
        </w:tc>
        <w:tc>
          <w:tcPr>
            <w:tcW w:w="2528" w:type="dxa"/>
            <w:gridSpan w:val="2"/>
            <w:tcBorders>
              <w:top w:val="single" w:sz="4" w:space="0" w:color="auto"/>
              <w:left w:val="nil"/>
              <w:bottom w:val="single" w:sz="4" w:space="0" w:color="auto"/>
              <w:right w:val="nil"/>
            </w:tcBorders>
            <w:shd w:val="clear" w:color="auto" w:fill="auto"/>
            <w:noWrap/>
            <w:vAlign w:val="bottom"/>
            <w:hideMark/>
          </w:tcPr>
          <w:p w14:paraId="75FE9634"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Stroke</w:t>
            </w:r>
          </w:p>
        </w:tc>
        <w:tc>
          <w:tcPr>
            <w:tcW w:w="191" w:type="dxa"/>
            <w:tcBorders>
              <w:top w:val="single" w:sz="4" w:space="0" w:color="auto"/>
              <w:left w:val="nil"/>
              <w:bottom w:val="nil"/>
              <w:right w:val="nil"/>
            </w:tcBorders>
            <w:shd w:val="clear" w:color="auto" w:fill="auto"/>
            <w:noWrap/>
            <w:vAlign w:val="bottom"/>
            <w:hideMark/>
          </w:tcPr>
          <w:p w14:paraId="42D54340"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w:t>
            </w:r>
          </w:p>
        </w:tc>
        <w:tc>
          <w:tcPr>
            <w:tcW w:w="2471" w:type="dxa"/>
            <w:gridSpan w:val="2"/>
            <w:tcBorders>
              <w:top w:val="single" w:sz="4" w:space="0" w:color="auto"/>
              <w:left w:val="nil"/>
              <w:bottom w:val="single" w:sz="4" w:space="0" w:color="auto"/>
              <w:right w:val="nil"/>
            </w:tcBorders>
            <w:shd w:val="clear" w:color="auto" w:fill="auto"/>
            <w:noWrap/>
            <w:vAlign w:val="bottom"/>
            <w:hideMark/>
          </w:tcPr>
          <w:p w14:paraId="0A81B98E"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Pulmonary embolism</w:t>
            </w:r>
          </w:p>
        </w:tc>
      </w:tr>
      <w:tr w:rsidR="00D54129" w:rsidRPr="00397EC7" w14:paraId="64BE5ED6" w14:textId="77777777" w:rsidTr="00D54129">
        <w:trPr>
          <w:trHeight w:val="170"/>
          <w:tblHeader/>
          <w:jc w:val="center"/>
        </w:trPr>
        <w:tc>
          <w:tcPr>
            <w:tcW w:w="3211" w:type="dxa"/>
            <w:tcBorders>
              <w:left w:val="nil"/>
              <w:bottom w:val="single" w:sz="4" w:space="0" w:color="auto"/>
              <w:right w:val="nil"/>
            </w:tcBorders>
            <w:shd w:val="clear" w:color="auto" w:fill="auto"/>
            <w:noWrap/>
            <w:vAlign w:val="bottom"/>
            <w:hideMark/>
          </w:tcPr>
          <w:p w14:paraId="11406326"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2835" w:type="dxa"/>
            <w:tcBorders>
              <w:top w:val="nil"/>
              <w:left w:val="nil"/>
              <w:bottom w:val="single" w:sz="4" w:space="0" w:color="auto"/>
              <w:right w:val="nil"/>
            </w:tcBorders>
            <w:shd w:val="clear" w:color="auto" w:fill="auto"/>
            <w:noWrap/>
            <w:vAlign w:val="bottom"/>
            <w:hideMark/>
          </w:tcPr>
          <w:p w14:paraId="6E2854B6"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OR [95% CI]</w:t>
            </w:r>
          </w:p>
        </w:tc>
        <w:tc>
          <w:tcPr>
            <w:tcW w:w="881" w:type="dxa"/>
            <w:tcBorders>
              <w:top w:val="nil"/>
              <w:left w:val="nil"/>
              <w:bottom w:val="single" w:sz="4" w:space="0" w:color="auto"/>
              <w:right w:val="nil"/>
            </w:tcBorders>
            <w:shd w:val="clear" w:color="auto" w:fill="auto"/>
            <w:noWrap/>
            <w:vAlign w:val="bottom"/>
            <w:hideMark/>
          </w:tcPr>
          <w:p w14:paraId="1C46B4E4"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 value</w:t>
            </w:r>
          </w:p>
        </w:tc>
        <w:tc>
          <w:tcPr>
            <w:tcW w:w="191" w:type="dxa"/>
            <w:tcBorders>
              <w:top w:val="nil"/>
              <w:left w:val="nil"/>
              <w:bottom w:val="single" w:sz="4" w:space="0" w:color="auto"/>
              <w:right w:val="nil"/>
            </w:tcBorders>
            <w:shd w:val="clear" w:color="auto" w:fill="auto"/>
            <w:noWrap/>
            <w:vAlign w:val="bottom"/>
            <w:hideMark/>
          </w:tcPr>
          <w:p w14:paraId="5F966285"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2796" w:type="dxa"/>
            <w:tcBorders>
              <w:top w:val="nil"/>
              <w:left w:val="nil"/>
              <w:bottom w:val="single" w:sz="4" w:space="0" w:color="auto"/>
              <w:right w:val="nil"/>
            </w:tcBorders>
            <w:shd w:val="clear" w:color="auto" w:fill="auto"/>
            <w:noWrap/>
            <w:vAlign w:val="bottom"/>
            <w:hideMark/>
          </w:tcPr>
          <w:p w14:paraId="274E8466"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OR [95% CI]</w:t>
            </w:r>
          </w:p>
        </w:tc>
        <w:tc>
          <w:tcPr>
            <w:tcW w:w="959" w:type="dxa"/>
            <w:tcBorders>
              <w:top w:val="nil"/>
              <w:left w:val="nil"/>
              <w:bottom w:val="single" w:sz="4" w:space="0" w:color="auto"/>
              <w:right w:val="nil"/>
            </w:tcBorders>
            <w:shd w:val="clear" w:color="auto" w:fill="auto"/>
            <w:noWrap/>
            <w:vAlign w:val="bottom"/>
            <w:hideMark/>
          </w:tcPr>
          <w:p w14:paraId="0A3A0F1B"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 value</w:t>
            </w:r>
          </w:p>
        </w:tc>
        <w:tc>
          <w:tcPr>
            <w:tcW w:w="191" w:type="dxa"/>
            <w:tcBorders>
              <w:top w:val="nil"/>
              <w:left w:val="nil"/>
              <w:bottom w:val="single" w:sz="4" w:space="0" w:color="auto"/>
              <w:right w:val="nil"/>
            </w:tcBorders>
            <w:shd w:val="clear" w:color="auto" w:fill="auto"/>
            <w:noWrap/>
            <w:vAlign w:val="bottom"/>
            <w:hideMark/>
          </w:tcPr>
          <w:p w14:paraId="70622E4F"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760" w:type="dxa"/>
            <w:tcBorders>
              <w:top w:val="nil"/>
              <w:left w:val="nil"/>
              <w:bottom w:val="single" w:sz="4" w:space="0" w:color="auto"/>
              <w:right w:val="nil"/>
            </w:tcBorders>
            <w:shd w:val="clear" w:color="auto" w:fill="auto"/>
            <w:noWrap/>
            <w:vAlign w:val="bottom"/>
            <w:hideMark/>
          </w:tcPr>
          <w:p w14:paraId="0197930D"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OR [95% CI]</w:t>
            </w:r>
          </w:p>
        </w:tc>
        <w:tc>
          <w:tcPr>
            <w:tcW w:w="768" w:type="dxa"/>
            <w:tcBorders>
              <w:top w:val="nil"/>
              <w:left w:val="nil"/>
              <w:bottom w:val="single" w:sz="4" w:space="0" w:color="auto"/>
              <w:right w:val="nil"/>
            </w:tcBorders>
            <w:shd w:val="clear" w:color="auto" w:fill="auto"/>
            <w:noWrap/>
            <w:vAlign w:val="bottom"/>
            <w:hideMark/>
          </w:tcPr>
          <w:p w14:paraId="2EF10110"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 value</w:t>
            </w:r>
          </w:p>
        </w:tc>
        <w:tc>
          <w:tcPr>
            <w:tcW w:w="191" w:type="dxa"/>
            <w:tcBorders>
              <w:top w:val="nil"/>
              <w:left w:val="nil"/>
              <w:bottom w:val="single" w:sz="4" w:space="0" w:color="auto"/>
              <w:right w:val="nil"/>
            </w:tcBorders>
            <w:shd w:val="clear" w:color="auto" w:fill="auto"/>
            <w:noWrap/>
            <w:vAlign w:val="bottom"/>
            <w:hideMark/>
          </w:tcPr>
          <w:p w14:paraId="6EC28426"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621" w:type="dxa"/>
            <w:tcBorders>
              <w:top w:val="nil"/>
              <w:left w:val="nil"/>
              <w:bottom w:val="single" w:sz="4" w:space="0" w:color="auto"/>
              <w:right w:val="nil"/>
            </w:tcBorders>
            <w:shd w:val="clear" w:color="auto" w:fill="auto"/>
            <w:noWrap/>
            <w:vAlign w:val="bottom"/>
            <w:hideMark/>
          </w:tcPr>
          <w:p w14:paraId="37549A22"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OR [95% CI]</w:t>
            </w:r>
          </w:p>
        </w:tc>
        <w:tc>
          <w:tcPr>
            <w:tcW w:w="850" w:type="dxa"/>
            <w:tcBorders>
              <w:top w:val="nil"/>
              <w:left w:val="nil"/>
              <w:bottom w:val="single" w:sz="4" w:space="0" w:color="auto"/>
              <w:right w:val="nil"/>
            </w:tcBorders>
            <w:shd w:val="clear" w:color="auto" w:fill="auto"/>
            <w:noWrap/>
            <w:vAlign w:val="bottom"/>
            <w:hideMark/>
          </w:tcPr>
          <w:p w14:paraId="43A9D0DC"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 value</w:t>
            </w:r>
          </w:p>
        </w:tc>
      </w:tr>
      <w:tr w:rsidR="00D54129" w:rsidRPr="00397EC7" w14:paraId="397CD16F" w14:textId="77777777" w:rsidTr="00D54129">
        <w:trPr>
          <w:trHeight w:val="170"/>
          <w:jc w:val="center"/>
        </w:trPr>
        <w:tc>
          <w:tcPr>
            <w:tcW w:w="3211" w:type="dxa"/>
            <w:tcBorders>
              <w:top w:val="single" w:sz="4" w:space="0" w:color="auto"/>
              <w:left w:val="nil"/>
              <w:right w:val="nil"/>
            </w:tcBorders>
            <w:shd w:val="clear" w:color="000000" w:fill="F2F2F2"/>
            <w:noWrap/>
            <w:vAlign w:val="bottom"/>
            <w:hideMark/>
          </w:tcPr>
          <w:p w14:paraId="112DDEF9" w14:textId="047B6293" w:rsidR="00D54129" w:rsidRPr="00397EC7" w:rsidRDefault="00D54129" w:rsidP="00DB5008">
            <w:pPr>
              <w:spacing w:after="0" w:line="240" w:lineRule="auto"/>
              <w:jc w:val="left"/>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Patient characteristics (continued)</w:t>
            </w:r>
          </w:p>
        </w:tc>
        <w:tc>
          <w:tcPr>
            <w:tcW w:w="2835" w:type="dxa"/>
            <w:tcBorders>
              <w:top w:val="single" w:sz="4" w:space="0" w:color="auto"/>
              <w:left w:val="nil"/>
              <w:right w:val="nil"/>
            </w:tcBorders>
            <w:shd w:val="clear" w:color="000000" w:fill="F2F2F2"/>
            <w:noWrap/>
            <w:vAlign w:val="bottom"/>
            <w:hideMark/>
          </w:tcPr>
          <w:p w14:paraId="27CFA345"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881" w:type="dxa"/>
            <w:tcBorders>
              <w:top w:val="single" w:sz="4" w:space="0" w:color="auto"/>
              <w:left w:val="nil"/>
              <w:right w:val="nil"/>
            </w:tcBorders>
            <w:shd w:val="clear" w:color="000000" w:fill="F2F2F2"/>
            <w:noWrap/>
            <w:vAlign w:val="bottom"/>
            <w:hideMark/>
          </w:tcPr>
          <w:p w14:paraId="63B74A02"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91" w:type="dxa"/>
            <w:tcBorders>
              <w:top w:val="single" w:sz="4" w:space="0" w:color="auto"/>
              <w:left w:val="nil"/>
              <w:right w:val="nil"/>
            </w:tcBorders>
            <w:shd w:val="clear" w:color="000000" w:fill="F2F2F2"/>
            <w:noWrap/>
            <w:vAlign w:val="bottom"/>
            <w:hideMark/>
          </w:tcPr>
          <w:p w14:paraId="099F148F"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2796" w:type="dxa"/>
            <w:tcBorders>
              <w:top w:val="single" w:sz="4" w:space="0" w:color="auto"/>
              <w:left w:val="nil"/>
              <w:right w:val="nil"/>
            </w:tcBorders>
            <w:shd w:val="clear" w:color="000000" w:fill="F2F2F2"/>
            <w:noWrap/>
            <w:vAlign w:val="bottom"/>
            <w:hideMark/>
          </w:tcPr>
          <w:p w14:paraId="36E45FA8"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959" w:type="dxa"/>
            <w:tcBorders>
              <w:top w:val="single" w:sz="4" w:space="0" w:color="auto"/>
              <w:left w:val="nil"/>
              <w:right w:val="nil"/>
            </w:tcBorders>
            <w:shd w:val="clear" w:color="000000" w:fill="F2F2F2"/>
            <w:noWrap/>
            <w:vAlign w:val="bottom"/>
            <w:hideMark/>
          </w:tcPr>
          <w:p w14:paraId="7236823A"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91" w:type="dxa"/>
            <w:tcBorders>
              <w:top w:val="single" w:sz="4" w:space="0" w:color="auto"/>
              <w:left w:val="nil"/>
              <w:right w:val="nil"/>
            </w:tcBorders>
            <w:shd w:val="clear" w:color="000000" w:fill="F2F2F2"/>
            <w:noWrap/>
            <w:vAlign w:val="bottom"/>
            <w:hideMark/>
          </w:tcPr>
          <w:p w14:paraId="302ECEE0"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760" w:type="dxa"/>
            <w:tcBorders>
              <w:top w:val="single" w:sz="4" w:space="0" w:color="auto"/>
              <w:left w:val="nil"/>
              <w:right w:val="nil"/>
            </w:tcBorders>
            <w:shd w:val="clear" w:color="000000" w:fill="F2F2F2"/>
            <w:noWrap/>
            <w:vAlign w:val="bottom"/>
            <w:hideMark/>
          </w:tcPr>
          <w:p w14:paraId="0EC33F1F"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768" w:type="dxa"/>
            <w:tcBorders>
              <w:top w:val="single" w:sz="4" w:space="0" w:color="auto"/>
              <w:left w:val="nil"/>
              <w:right w:val="nil"/>
            </w:tcBorders>
            <w:shd w:val="clear" w:color="000000" w:fill="F2F2F2"/>
            <w:noWrap/>
            <w:vAlign w:val="bottom"/>
            <w:hideMark/>
          </w:tcPr>
          <w:p w14:paraId="73593045"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91" w:type="dxa"/>
            <w:tcBorders>
              <w:top w:val="single" w:sz="4" w:space="0" w:color="auto"/>
              <w:left w:val="nil"/>
              <w:right w:val="nil"/>
            </w:tcBorders>
            <w:shd w:val="clear" w:color="000000" w:fill="F2F2F2"/>
            <w:noWrap/>
            <w:vAlign w:val="bottom"/>
            <w:hideMark/>
          </w:tcPr>
          <w:p w14:paraId="3F9DC71F"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621" w:type="dxa"/>
            <w:tcBorders>
              <w:top w:val="single" w:sz="4" w:space="0" w:color="auto"/>
              <w:left w:val="nil"/>
              <w:right w:val="nil"/>
            </w:tcBorders>
            <w:shd w:val="clear" w:color="000000" w:fill="F2F2F2"/>
            <w:noWrap/>
            <w:vAlign w:val="bottom"/>
            <w:hideMark/>
          </w:tcPr>
          <w:p w14:paraId="22ECB413"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850" w:type="dxa"/>
            <w:tcBorders>
              <w:top w:val="single" w:sz="4" w:space="0" w:color="auto"/>
              <w:left w:val="nil"/>
              <w:right w:val="nil"/>
            </w:tcBorders>
            <w:shd w:val="clear" w:color="000000" w:fill="F2F2F2"/>
            <w:noWrap/>
            <w:vAlign w:val="bottom"/>
            <w:hideMark/>
          </w:tcPr>
          <w:p w14:paraId="6DC4FF23"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r>
      <w:tr w:rsidR="00D54129" w:rsidRPr="00397EC7" w14:paraId="63F78759" w14:textId="77777777" w:rsidTr="00D54129">
        <w:trPr>
          <w:trHeight w:val="170"/>
          <w:jc w:val="center"/>
        </w:trPr>
        <w:tc>
          <w:tcPr>
            <w:tcW w:w="3211" w:type="dxa"/>
            <w:tcBorders>
              <w:left w:val="nil"/>
              <w:bottom w:val="nil"/>
              <w:right w:val="nil"/>
            </w:tcBorders>
            <w:shd w:val="clear" w:color="auto" w:fill="auto"/>
            <w:noWrap/>
            <w:vAlign w:val="bottom"/>
            <w:hideMark/>
          </w:tcPr>
          <w:p w14:paraId="564C8B1C" w14:textId="77777777" w:rsidR="00D54129" w:rsidRPr="00397EC7" w:rsidRDefault="00D54129" w:rsidP="00DB5008">
            <w:pPr>
              <w:spacing w:after="0" w:line="240" w:lineRule="auto"/>
              <w:jc w:val="left"/>
              <w:rPr>
                <w:rFonts w:eastAsia="Times New Roman" w:cs="Arial"/>
                <w:b/>
                <w:bCs/>
                <w:i/>
                <w:iCs/>
                <w:color w:val="000000"/>
                <w:sz w:val="18"/>
                <w:szCs w:val="18"/>
                <w:lang w:val="en-GB" w:eastAsia="fr-FR"/>
              </w:rPr>
            </w:pPr>
            <w:proofErr w:type="spellStart"/>
            <w:r w:rsidRPr="00397EC7">
              <w:rPr>
                <w:rFonts w:eastAsia="Times New Roman" w:cs="Arial"/>
                <w:b/>
                <w:bCs/>
                <w:i/>
                <w:iCs/>
                <w:color w:val="000000"/>
                <w:sz w:val="18"/>
                <w:szCs w:val="18"/>
                <w:lang w:val="en-GB" w:eastAsia="fr-FR"/>
              </w:rPr>
              <w:t>Charlson</w:t>
            </w:r>
            <w:proofErr w:type="spellEnd"/>
            <w:r w:rsidRPr="00397EC7">
              <w:rPr>
                <w:rFonts w:eastAsia="Times New Roman" w:cs="Arial"/>
                <w:b/>
                <w:bCs/>
                <w:i/>
                <w:iCs/>
                <w:color w:val="000000"/>
                <w:sz w:val="18"/>
                <w:szCs w:val="18"/>
                <w:lang w:val="en-GB" w:eastAsia="fr-FR"/>
              </w:rPr>
              <w:t xml:space="preserve"> index</w:t>
            </w:r>
          </w:p>
        </w:tc>
        <w:tc>
          <w:tcPr>
            <w:tcW w:w="2835" w:type="dxa"/>
            <w:tcBorders>
              <w:left w:val="nil"/>
              <w:bottom w:val="nil"/>
              <w:right w:val="nil"/>
            </w:tcBorders>
            <w:shd w:val="clear" w:color="auto" w:fill="auto"/>
            <w:noWrap/>
            <w:vAlign w:val="bottom"/>
            <w:hideMark/>
          </w:tcPr>
          <w:p w14:paraId="5181968D"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881" w:type="dxa"/>
            <w:tcBorders>
              <w:left w:val="nil"/>
              <w:bottom w:val="nil"/>
              <w:right w:val="nil"/>
            </w:tcBorders>
            <w:shd w:val="clear" w:color="auto" w:fill="auto"/>
            <w:noWrap/>
            <w:vAlign w:val="bottom"/>
            <w:hideMark/>
          </w:tcPr>
          <w:p w14:paraId="73796FD8"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left w:val="nil"/>
              <w:bottom w:val="nil"/>
              <w:right w:val="nil"/>
            </w:tcBorders>
            <w:shd w:val="clear" w:color="auto" w:fill="auto"/>
            <w:noWrap/>
            <w:vAlign w:val="bottom"/>
            <w:hideMark/>
          </w:tcPr>
          <w:p w14:paraId="14C49C65"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2796" w:type="dxa"/>
            <w:tcBorders>
              <w:left w:val="nil"/>
              <w:bottom w:val="nil"/>
              <w:right w:val="nil"/>
            </w:tcBorders>
            <w:shd w:val="clear" w:color="auto" w:fill="auto"/>
            <w:noWrap/>
            <w:vAlign w:val="bottom"/>
            <w:hideMark/>
          </w:tcPr>
          <w:p w14:paraId="55B089F5"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959" w:type="dxa"/>
            <w:tcBorders>
              <w:left w:val="nil"/>
              <w:bottom w:val="nil"/>
              <w:right w:val="nil"/>
            </w:tcBorders>
            <w:shd w:val="clear" w:color="auto" w:fill="auto"/>
            <w:noWrap/>
            <w:vAlign w:val="bottom"/>
            <w:hideMark/>
          </w:tcPr>
          <w:p w14:paraId="70A96FD7"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left w:val="nil"/>
              <w:bottom w:val="nil"/>
              <w:right w:val="nil"/>
            </w:tcBorders>
            <w:shd w:val="clear" w:color="auto" w:fill="auto"/>
            <w:noWrap/>
            <w:vAlign w:val="bottom"/>
            <w:hideMark/>
          </w:tcPr>
          <w:p w14:paraId="2F348444"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760" w:type="dxa"/>
            <w:tcBorders>
              <w:left w:val="nil"/>
              <w:bottom w:val="nil"/>
              <w:right w:val="nil"/>
            </w:tcBorders>
            <w:shd w:val="clear" w:color="auto" w:fill="auto"/>
            <w:noWrap/>
            <w:vAlign w:val="bottom"/>
            <w:hideMark/>
          </w:tcPr>
          <w:p w14:paraId="0CC2F39B"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768" w:type="dxa"/>
            <w:tcBorders>
              <w:left w:val="nil"/>
              <w:bottom w:val="nil"/>
              <w:right w:val="nil"/>
            </w:tcBorders>
            <w:shd w:val="clear" w:color="auto" w:fill="auto"/>
            <w:noWrap/>
            <w:vAlign w:val="bottom"/>
            <w:hideMark/>
          </w:tcPr>
          <w:p w14:paraId="2E083F0D"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left w:val="nil"/>
              <w:bottom w:val="nil"/>
              <w:right w:val="nil"/>
            </w:tcBorders>
            <w:shd w:val="clear" w:color="auto" w:fill="auto"/>
            <w:noWrap/>
            <w:vAlign w:val="bottom"/>
            <w:hideMark/>
          </w:tcPr>
          <w:p w14:paraId="0D67A2FA"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621" w:type="dxa"/>
            <w:tcBorders>
              <w:left w:val="nil"/>
              <w:bottom w:val="nil"/>
              <w:right w:val="nil"/>
            </w:tcBorders>
            <w:shd w:val="clear" w:color="auto" w:fill="auto"/>
            <w:noWrap/>
            <w:vAlign w:val="bottom"/>
            <w:hideMark/>
          </w:tcPr>
          <w:p w14:paraId="5BE40EB6"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850" w:type="dxa"/>
            <w:tcBorders>
              <w:left w:val="nil"/>
              <w:bottom w:val="nil"/>
              <w:right w:val="nil"/>
            </w:tcBorders>
            <w:shd w:val="clear" w:color="auto" w:fill="auto"/>
            <w:noWrap/>
            <w:vAlign w:val="bottom"/>
            <w:hideMark/>
          </w:tcPr>
          <w:p w14:paraId="5715374E"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r>
      <w:tr w:rsidR="00D54129" w:rsidRPr="00397EC7" w14:paraId="7E3D8420" w14:textId="77777777" w:rsidTr="00D54129">
        <w:trPr>
          <w:trHeight w:val="170"/>
          <w:jc w:val="center"/>
        </w:trPr>
        <w:tc>
          <w:tcPr>
            <w:tcW w:w="3211" w:type="dxa"/>
            <w:tcBorders>
              <w:top w:val="nil"/>
              <w:left w:val="nil"/>
              <w:bottom w:val="nil"/>
              <w:right w:val="nil"/>
            </w:tcBorders>
            <w:shd w:val="clear" w:color="auto" w:fill="auto"/>
            <w:noWrap/>
            <w:vAlign w:val="bottom"/>
            <w:hideMark/>
          </w:tcPr>
          <w:p w14:paraId="2A103D45"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0</w:t>
            </w:r>
          </w:p>
        </w:tc>
        <w:tc>
          <w:tcPr>
            <w:tcW w:w="2835" w:type="dxa"/>
            <w:tcBorders>
              <w:top w:val="nil"/>
              <w:left w:val="nil"/>
              <w:bottom w:val="nil"/>
              <w:right w:val="nil"/>
            </w:tcBorders>
            <w:shd w:val="clear" w:color="auto" w:fill="auto"/>
            <w:noWrap/>
            <w:vAlign w:val="bottom"/>
            <w:hideMark/>
          </w:tcPr>
          <w:p w14:paraId="4C0B5509"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81" w:type="dxa"/>
            <w:tcBorders>
              <w:top w:val="nil"/>
              <w:left w:val="nil"/>
              <w:bottom w:val="nil"/>
              <w:right w:val="nil"/>
            </w:tcBorders>
            <w:shd w:val="clear" w:color="auto" w:fill="auto"/>
            <w:noWrap/>
            <w:vAlign w:val="bottom"/>
            <w:hideMark/>
          </w:tcPr>
          <w:p w14:paraId="69CA135B"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08558924"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547ADFF3"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59" w:type="dxa"/>
            <w:tcBorders>
              <w:top w:val="nil"/>
              <w:left w:val="nil"/>
              <w:bottom w:val="nil"/>
              <w:right w:val="nil"/>
            </w:tcBorders>
            <w:shd w:val="clear" w:color="auto" w:fill="auto"/>
            <w:noWrap/>
            <w:vAlign w:val="bottom"/>
            <w:hideMark/>
          </w:tcPr>
          <w:p w14:paraId="08EE5E1F"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3B9D93DE"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273E85DD"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768" w:type="dxa"/>
            <w:tcBorders>
              <w:top w:val="nil"/>
              <w:left w:val="nil"/>
              <w:bottom w:val="nil"/>
              <w:right w:val="nil"/>
            </w:tcBorders>
            <w:shd w:val="clear" w:color="auto" w:fill="auto"/>
            <w:noWrap/>
            <w:vAlign w:val="bottom"/>
            <w:hideMark/>
          </w:tcPr>
          <w:p w14:paraId="24A23D70"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7F1BB678"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6534100E"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0" w:type="dxa"/>
            <w:tcBorders>
              <w:top w:val="nil"/>
              <w:left w:val="nil"/>
              <w:bottom w:val="nil"/>
              <w:right w:val="nil"/>
            </w:tcBorders>
            <w:shd w:val="clear" w:color="auto" w:fill="auto"/>
            <w:noWrap/>
            <w:vAlign w:val="bottom"/>
            <w:hideMark/>
          </w:tcPr>
          <w:p w14:paraId="1958C9AC"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r>
      <w:tr w:rsidR="00D54129" w:rsidRPr="00397EC7" w14:paraId="2AD24D37" w14:textId="77777777" w:rsidTr="00D54129">
        <w:trPr>
          <w:trHeight w:val="170"/>
          <w:jc w:val="center"/>
        </w:trPr>
        <w:tc>
          <w:tcPr>
            <w:tcW w:w="3211" w:type="dxa"/>
            <w:tcBorders>
              <w:top w:val="nil"/>
              <w:left w:val="nil"/>
              <w:bottom w:val="nil"/>
              <w:right w:val="nil"/>
            </w:tcBorders>
            <w:shd w:val="clear" w:color="auto" w:fill="auto"/>
            <w:noWrap/>
            <w:vAlign w:val="bottom"/>
            <w:hideMark/>
          </w:tcPr>
          <w:p w14:paraId="1902CC1E"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1</w:t>
            </w:r>
          </w:p>
        </w:tc>
        <w:tc>
          <w:tcPr>
            <w:tcW w:w="2835" w:type="dxa"/>
            <w:tcBorders>
              <w:top w:val="nil"/>
              <w:left w:val="nil"/>
              <w:bottom w:val="nil"/>
              <w:right w:val="nil"/>
            </w:tcBorders>
            <w:shd w:val="clear" w:color="auto" w:fill="auto"/>
            <w:noWrap/>
            <w:vAlign w:val="bottom"/>
            <w:hideMark/>
          </w:tcPr>
          <w:p w14:paraId="1B5D648E"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4.34 [3.50-5.39]</w:t>
            </w:r>
          </w:p>
        </w:tc>
        <w:tc>
          <w:tcPr>
            <w:tcW w:w="881" w:type="dxa"/>
            <w:tcBorders>
              <w:top w:val="nil"/>
              <w:left w:val="nil"/>
              <w:bottom w:val="nil"/>
              <w:right w:val="nil"/>
            </w:tcBorders>
            <w:shd w:val="clear" w:color="auto" w:fill="auto"/>
            <w:noWrap/>
            <w:vAlign w:val="bottom"/>
            <w:hideMark/>
          </w:tcPr>
          <w:p w14:paraId="68E76444"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0FFE65E3"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2D977F7F"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3.42 [2.49-4.68]</w:t>
            </w:r>
          </w:p>
        </w:tc>
        <w:tc>
          <w:tcPr>
            <w:tcW w:w="959" w:type="dxa"/>
            <w:tcBorders>
              <w:top w:val="nil"/>
              <w:left w:val="nil"/>
              <w:bottom w:val="nil"/>
              <w:right w:val="nil"/>
            </w:tcBorders>
            <w:shd w:val="clear" w:color="auto" w:fill="auto"/>
            <w:noWrap/>
            <w:vAlign w:val="bottom"/>
            <w:hideMark/>
          </w:tcPr>
          <w:p w14:paraId="2802F04C"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13C96030"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2F7BDD5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11.7 [8.66-15.8]</w:t>
            </w:r>
          </w:p>
        </w:tc>
        <w:tc>
          <w:tcPr>
            <w:tcW w:w="768" w:type="dxa"/>
            <w:tcBorders>
              <w:top w:val="nil"/>
              <w:left w:val="nil"/>
              <w:bottom w:val="nil"/>
              <w:right w:val="nil"/>
            </w:tcBorders>
            <w:shd w:val="clear" w:color="auto" w:fill="auto"/>
            <w:noWrap/>
            <w:vAlign w:val="bottom"/>
            <w:hideMark/>
          </w:tcPr>
          <w:p w14:paraId="3DE72C85"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68A3C2F4"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6D7B0645"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2.08 [1.75-2.47]</w:t>
            </w:r>
          </w:p>
        </w:tc>
        <w:tc>
          <w:tcPr>
            <w:tcW w:w="850" w:type="dxa"/>
            <w:tcBorders>
              <w:top w:val="nil"/>
              <w:left w:val="nil"/>
              <w:bottom w:val="nil"/>
              <w:right w:val="nil"/>
            </w:tcBorders>
            <w:shd w:val="clear" w:color="auto" w:fill="auto"/>
            <w:noWrap/>
            <w:vAlign w:val="bottom"/>
            <w:hideMark/>
          </w:tcPr>
          <w:p w14:paraId="23AC7A08"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D54129" w:rsidRPr="00397EC7" w14:paraId="14BC55EE" w14:textId="77777777" w:rsidTr="00D54129">
        <w:trPr>
          <w:trHeight w:val="170"/>
          <w:jc w:val="center"/>
        </w:trPr>
        <w:tc>
          <w:tcPr>
            <w:tcW w:w="3211" w:type="dxa"/>
            <w:tcBorders>
              <w:top w:val="nil"/>
              <w:left w:val="nil"/>
              <w:bottom w:val="nil"/>
              <w:right w:val="nil"/>
            </w:tcBorders>
            <w:shd w:val="clear" w:color="auto" w:fill="auto"/>
            <w:noWrap/>
            <w:vAlign w:val="bottom"/>
            <w:hideMark/>
          </w:tcPr>
          <w:p w14:paraId="60E8F552"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≥2</w:t>
            </w:r>
          </w:p>
        </w:tc>
        <w:tc>
          <w:tcPr>
            <w:tcW w:w="2835" w:type="dxa"/>
            <w:tcBorders>
              <w:top w:val="nil"/>
              <w:left w:val="nil"/>
              <w:bottom w:val="nil"/>
              <w:right w:val="nil"/>
            </w:tcBorders>
            <w:shd w:val="clear" w:color="auto" w:fill="auto"/>
            <w:noWrap/>
            <w:vAlign w:val="bottom"/>
            <w:hideMark/>
          </w:tcPr>
          <w:p w14:paraId="6418296C"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22.7 [19.3-26.8]</w:t>
            </w:r>
          </w:p>
        </w:tc>
        <w:tc>
          <w:tcPr>
            <w:tcW w:w="881" w:type="dxa"/>
            <w:tcBorders>
              <w:top w:val="nil"/>
              <w:left w:val="nil"/>
              <w:bottom w:val="nil"/>
              <w:right w:val="nil"/>
            </w:tcBorders>
            <w:shd w:val="clear" w:color="auto" w:fill="auto"/>
            <w:noWrap/>
            <w:vAlign w:val="bottom"/>
            <w:hideMark/>
          </w:tcPr>
          <w:p w14:paraId="0DF9FDE3"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4A8DA549"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370AC7B9"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10.2 [7.92-13.0]</w:t>
            </w:r>
          </w:p>
        </w:tc>
        <w:tc>
          <w:tcPr>
            <w:tcW w:w="959" w:type="dxa"/>
            <w:tcBorders>
              <w:top w:val="nil"/>
              <w:left w:val="nil"/>
              <w:bottom w:val="nil"/>
              <w:right w:val="nil"/>
            </w:tcBorders>
            <w:shd w:val="clear" w:color="auto" w:fill="auto"/>
            <w:noWrap/>
            <w:vAlign w:val="bottom"/>
            <w:hideMark/>
          </w:tcPr>
          <w:p w14:paraId="339CD4C2"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229AD412"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28C675DB"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42.7 [32.7-55.8]</w:t>
            </w:r>
          </w:p>
        </w:tc>
        <w:tc>
          <w:tcPr>
            <w:tcW w:w="768" w:type="dxa"/>
            <w:tcBorders>
              <w:top w:val="nil"/>
              <w:left w:val="nil"/>
              <w:bottom w:val="nil"/>
              <w:right w:val="nil"/>
            </w:tcBorders>
            <w:shd w:val="clear" w:color="auto" w:fill="auto"/>
            <w:noWrap/>
            <w:vAlign w:val="bottom"/>
            <w:hideMark/>
          </w:tcPr>
          <w:p w14:paraId="60A418B1"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125418BE"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3F45EDB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6.49 [5.72-7.36]</w:t>
            </w:r>
          </w:p>
        </w:tc>
        <w:tc>
          <w:tcPr>
            <w:tcW w:w="850" w:type="dxa"/>
            <w:tcBorders>
              <w:top w:val="nil"/>
              <w:left w:val="nil"/>
              <w:bottom w:val="nil"/>
              <w:right w:val="nil"/>
            </w:tcBorders>
            <w:shd w:val="clear" w:color="auto" w:fill="auto"/>
            <w:noWrap/>
            <w:vAlign w:val="bottom"/>
            <w:hideMark/>
          </w:tcPr>
          <w:p w14:paraId="78BD6443"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D54129" w:rsidRPr="00397EC7" w14:paraId="7FEFFB6F" w14:textId="77777777" w:rsidTr="00D54129">
        <w:trPr>
          <w:trHeight w:val="170"/>
          <w:jc w:val="center"/>
        </w:trPr>
        <w:tc>
          <w:tcPr>
            <w:tcW w:w="3211" w:type="dxa"/>
            <w:tcBorders>
              <w:top w:val="nil"/>
              <w:left w:val="nil"/>
              <w:bottom w:val="nil"/>
              <w:right w:val="nil"/>
            </w:tcBorders>
            <w:shd w:val="clear" w:color="auto" w:fill="auto"/>
            <w:noWrap/>
            <w:vAlign w:val="bottom"/>
            <w:hideMark/>
          </w:tcPr>
          <w:p w14:paraId="18393B0B" w14:textId="77777777" w:rsidR="00D54129" w:rsidRPr="00397EC7" w:rsidRDefault="00D54129" w:rsidP="00DB5008">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Medical history of urolithiasis</w:t>
            </w:r>
          </w:p>
        </w:tc>
        <w:tc>
          <w:tcPr>
            <w:tcW w:w="2835" w:type="dxa"/>
            <w:tcBorders>
              <w:top w:val="nil"/>
              <w:left w:val="nil"/>
              <w:bottom w:val="nil"/>
              <w:right w:val="nil"/>
            </w:tcBorders>
            <w:shd w:val="clear" w:color="auto" w:fill="auto"/>
            <w:noWrap/>
            <w:vAlign w:val="bottom"/>
            <w:hideMark/>
          </w:tcPr>
          <w:p w14:paraId="669AD595"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881" w:type="dxa"/>
            <w:tcBorders>
              <w:top w:val="nil"/>
              <w:left w:val="nil"/>
              <w:bottom w:val="nil"/>
              <w:right w:val="nil"/>
            </w:tcBorders>
            <w:shd w:val="clear" w:color="auto" w:fill="auto"/>
            <w:noWrap/>
            <w:vAlign w:val="bottom"/>
            <w:hideMark/>
          </w:tcPr>
          <w:p w14:paraId="5D00A4FF"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91" w:type="dxa"/>
            <w:tcBorders>
              <w:top w:val="nil"/>
              <w:left w:val="nil"/>
              <w:bottom w:val="nil"/>
              <w:right w:val="nil"/>
            </w:tcBorders>
            <w:shd w:val="clear" w:color="auto" w:fill="auto"/>
            <w:noWrap/>
            <w:vAlign w:val="bottom"/>
            <w:hideMark/>
          </w:tcPr>
          <w:p w14:paraId="7CC6ABBE"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2796" w:type="dxa"/>
            <w:tcBorders>
              <w:top w:val="nil"/>
              <w:left w:val="nil"/>
              <w:bottom w:val="nil"/>
              <w:right w:val="nil"/>
            </w:tcBorders>
            <w:shd w:val="clear" w:color="auto" w:fill="auto"/>
            <w:noWrap/>
            <w:vAlign w:val="bottom"/>
            <w:hideMark/>
          </w:tcPr>
          <w:p w14:paraId="6CB78172"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959" w:type="dxa"/>
            <w:tcBorders>
              <w:top w:val="nil"/>
              <w:left w:val="nil"/>
              <w:bottom w:val="nil"/>
              <w:right w:val="nil"/>
            </w:tcBorders>
            <w:shd w:val="clear" w:color="auto" w:fill="auto"/>
            <w:noWrap/>
            <w:vAlign w:val="bottom"/>
            <w:hideMark/>
          </w:tcPr>
          <w:p w14:paraId="56EDE222"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7F090598"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760" w:type="dxa"/>
            <w:tcBorders>
              <w:top w:val="nil"/>
              <w:left w:val="nil"/>
              <w:bottom w:val="nil"/>
              <w:right w:val="nil"/>
            </w:tcBorders>
            <w:shd w:val="clear" w:color="auto" w:fill="auto"/>
            <w:noWrap/>
            <w:vAlign w:val="bottom"/>
            <w:hideMark/>
          </w:tcPr>
          <w:p w14:paraId="182890DB"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768" w:type="dxa"/>
            <w:tcBorders>
              <w:top w:val="nil"/>
              <w:left w:val="nil"/>
              <w:bottom w:val="nil"/>
              <w:right w:val="nil"/>
            </w:tcBorders>
            <w:shd w:val="clear" w:color="auto" w:fill="auto"/>
            <w:noWrap/>
            <w:vAlign w:val="bottom"/>
            <w:hideMark/>
          </w:tcPr>
          <w:p w14:paraId="6749E5F7"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19082EB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621" w:type="dxa"/>
            <w:tcBorders>
              <w:top w:val="nil"/>
              <w:left w:val="nil"/>
              <w:bottom w:val="nil"/>
              <w:right w:val="nil"/>
            </w:tcBorders>
            <w:shd w:val="clear" w:color="auto" w:fill="auto"/>
            <w:noWrap/>
            <w:vAlign w:val="bottom"/>
            <w:hideMark/>
          </w:tcPr>
          <w:p w14:paraId="69F4F13A"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850" w:type="dxa"/>
            <w:tcBorders>
              <w:top w:val="nil"/>
              <w:left w:val="nil"/>
              <w:bottom w:val="nil"/>
              <w:right w:val="nil"/>
            </w:tcBorders>
            <w:shd w:val="clear" w:color="auto" w:fill="auto"/>
            <w:noWrap/>
            <w:vAlign w:val="bottom"/>
            <w:hideMark/>
          </w:tcPr>
          <w:p w14:paraId="74D73A99"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r>
      <w:tr w:rsidR="00D54129" w:rsidRPr="00397EC7" w14:paraId="1B59FEB1" w14:textId="77777777" w:rsidTr="00D54129">
        <w:trPr>
          <w:trHeight w:val="170"/>
          <w:jc w:val="center"/>
        </w:trPr>
        <w:tc>
          <w:tcPr>
            <w:tcW w:w="3211" w:type="dxa"/>
            <w:tcBorders>
              <w:top w:val="nil"/>
              <w:left w:val="nil"/>
              <w:bottom w:val="nil"/>
              <w:right w:val="nil"/>
            </w:tcBorders>
            <w:shd w:val="clear" w:color="auto" w:fill="auto"/>
            <w:noWrap/>
            <w:vAlign w:val="bottom"/>
            <w:hideMark/>
          </w:tcPr>
          <w:p w14:paraId="348DDB45"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no</w:t>
            </w:r>
          </w:p>
        </w:tc>
        <w:tc>
          <w:tcPr>
            <w:tcW w:w="2835" w:type="dxa"/>
            <w:tcBorders>
              <w:top w:val="nil"/>
              <w:left w:val="nil"/>
              <w:bottom w:val="nil"/>
              <w:right w:val="nil"/>
            </w:tcBorders>
            <w:shd w:val="clear" w:color="auto" w:fill="auto"/>
            <w:noWrap/>
            <w:vAlign w:val="bottom"/>
            <w:hideMark/>
          </w:tcPr>
          <w:p w14:paraId="4121A8FA"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81" w:type="dxa"/>
            <w:tcBorders>
              <w:top w:val="nil"/>
              <w:left w:val="nil"/>
              <w:bottom w:val="nil"/>
              <w:right w:val="nil"/>
            </w:tcBorders>
            <w:shd w:val="clear" w:color="auto" w:fill="auto"/>
            <w:noWrap/>
            <w:vAlign w:val="bottom"/>
            <w:hideMark/>
          </w:tcPr>
          <w:p w14:paraId="435C608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91" w:type="dxa"/>
            <w:tcBorders>
              <w:top w:val="nil"/>
              <w:left w:val="nil"/>
              <w:bottom w:val="nil"/>
              <w:right w:val="nil"/>
            </w:tcBorders>
            <w:shd w:val="clear" w:color="auto" w:fill="auto"/>
            <w:noWrap/>
            <w:vAlign w:val="bottom"/>
            <w:hideMark/>
          </w:tcPr>
          <w:p w14:paraId="49EFEF7D"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2796" w:type="dxa"/>
            <w:tcBorders>
              <w:top w:val="nil"/>
              <w:left w:val="nil"/>
              <w:bottom w:val="nil"/>
              <w:right w:val="nil"/>
            </w:tcBorders>
            <w:shd w:val="clear" w:color="auto" w:fill="auto"/>
            <w:noWrap/>
            <w:vAlign w:val="bottom"/>
            <w:hideMark/>
          </w:tcPr>
          <w:p w14:paraId="14C35D16"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59" w:type="dxa"/>
            <w:tcBorders>
              <w:top w:val="nil"/>
              <w:left w:val="nil"/>
              <w:bottom w:val="nil"/>
              <w:right w:val="nil"/>
            </w:tcBorders>
            <w:shd w:val="clear" w:color="auto" w:fill="auto"/>
            <w:noWrap/>
            <w:vAlign w:val="bottom"/>
            <w:hideMark/>
          </w:tcPr>
          <w:p w14:paraId="25D6E431"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3FFD056A"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760" w:type="dxa"/>
            <w:tcBorders>
              <w:top w:val="nil"/>
              <w:left w:val="nil"/>
              <w:bottom w:val="nil"/>
              <w:right w:val="nil"/>
            </w:tcBorders>
            <w:shd w:val="clear" w:color="auto" w:fill="auto"/>
            <w:noWrap/>
            <w:vAlign w:val="bottom"/>
            <w:hideMark/>
          </w:tcPr>
          <w:p w14:paraId="68C596A3"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768" w:type="dxa"/>
            <w:tcBorders>
              <w:top w:val="nil"/>
              <w:left w:val="nil"/>
              <w:bottom w:val="nil"/>
              <w:right w:val="nil"/>
            </w:tcBorders>
            <w:shd w:val="clear" w:color="auto" w:fill="auto"/>
            <w:noWrap/>
            <w:vAlign w:val="bottom"/>
            <w:hideMark/>
          </w:tcPr>
          <w:p w14:paraId="7F30D0F7"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0ECD8733"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621" w:type="dxa"/>
            <w:tcBorders>
              <w:top w:val="nil"/>
              <w:left w:val="nil"/>
              <w:bottom w:val="nil"/>
              <w:right w:val="nil"/>
            </w:tcBorders>
            <w:shd w:val="clear" w:color="auto" w:fill="auto"/>
            <w:noWrap/>
            <w:vAlign w:val="bottom"/>
            <w:hideMark/>
          </w:tcPr>
          <w:p w14:paraId="7DC85F8E"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0" w:type="dxa"/>
            <w:tcBorders>
              <w:top w:val="nil"/>
              <w:left w:val="nil"/>
              <w:bottom w:val="nil"/>
              <w:right w:val="nil"/>
            </w:tcBorders>
            <w:shd w:val="clear" w:color="auto" w:fill="auto"/>
            <w:noWrap/>
            <w:vAlign w:val="bottom"/>
            <w:hideMark/>
          </w:tcPr>
          <w:p w14:paraId="0B06B4FD"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r>
      <w:tr w:rsidR="00D54129" w:rsidRPr="00397EC7" w14:paraId="14024273" w14:textId="77777777" w:rsidTr="00D54129">
        <w:trPr>
          <w:trHeight w:val="170"/>
          <w:jc w:val="center"/>
        </w:trPr>
        <w:tc>
          <w:tcPr>
            <w:tcW w:w="3211" w:type="dxa"/>
            <w:tcBorders>
              <w:top w:val="nil"/>
              <w:left w:val="nil"/>
              <w:bottom w:val="nil"/>
              <w:right w:val="nil"/>
            </w:tcBorders>
            <w:shd w:val="clear" w:color="auto" w:fill="auto"/>
            <w:noWrap/>
            <w:vAlign w:val="bottom"/>
            <w:hideMark/>
          </w:tcPr>
          <w:p w14:paraId="668C894A"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yes</w:t>
            </w:r>
          </w:p>
        </w:tc>
        <w:tc>
          <w:tcPr>
            <w:tcW w:w="2835" w:type="dxa"/>
            <w:tcBorders>
              <w:top w:val="nil"/>
              <w:left w:val="nil"/>
              <w:bottom w:val="nil"/>
              <w:right w:val="nil"/>
            </w:tcBorders>
            <w:shd w:val="clear" w:color="auto" w:fill="auto"/>
            <w:noWrap/>
            <w:vAlign w:val="bottom"/>
            <w:hideMark/>
          </w:tcPr>
          <w:p w14:paraId="387BD68B"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1.23 [0.73-2.09]</w:t>
            </w:r>
          </w:p>
        </w:tc>
        <w:tc>
          <w:tcPr>
            <w:tcW w:w="881" w:type="dxa"/>
            <w:tcBorders>
              <w:top w:val="nil"/>
              <w:left w:val="nil"/>
              <w:bottom w:val="nil"/>
              <w:right w:val="nil"/>
            </w:tcBorders>
            <w:shd w:val="clear" w:color="auto" w:fill="auto"/>
            <w:noWrap/>
            <w:vAlign w:val="bottom"/>
            <w:hideMark/>
          </w:tcPr>
          <w:p w14:paraId="01E2533D"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0.43</w:t>
            </w:r>
          </w:p>
        </w:tc>
        <w:tc>
          <w:tcPr>
            <w:tcW w:w="191" w:type="dxa"/>
            <w:tcBorders>
              <w:top w:val="nil"/>
              <w:left w:val="nil"/>
              <w:bottom w:val="nil"/>
              <w:right w:val="nil"/>
            </w:tcBorders>
            <w:shd w:val="clear" w:color="auto" w:fill="auto"/>
            <w:noWrap/>
            <w:vAlign w:val="bottom"/>
            <w:hideMark/>
          </w:tcPr>
          <w:p w14:paraId="629FFC3D"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2796" w:type="dxa"/>
            <w:tcBorders>
              <w:top w:val="nil"/>
              <w:left w:val="nil"/>
              <w:bottom w:val="nil"/>
              <w:right w:val="nil"/>
            </w:tcBorders>
            <w:shd w:val="clear" w:color="auto" w:fill="auto"/>
            <w:noWrap/>
            <w:vAlign w:val="bottom"/>
            <w:hideMark/>
          </w:tcPr>
          <w:p w14:paraId="2E9C890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1.44 [0.6-3.47]</w:t>
            </w:r>
          </w:p>
        </w:tc>
        <w:tc>
          <w:tcPr>
            <w:tcW w:w="959" w:type="dxa"/>
            <w:tcBorders>
              <w:top w:val="nil"/>
              <w:left w:val="nil"/>
              <w:bottom w:val="nil"/>
              <w:right w:val="nil"/>
            </w:tcBorders>
            <w:shd w:val="clear" w:color="auto" w:fill="auto"/>
            <w:noWrap/>
            <w:vAlign w:val="bottom"/>
            <w:hideMark/>
          </w:tcPr>
          <w:p w14:paraId="4641AC5B"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0.42</w:t>
            </w:r>
          </w:p>
        </w:tc>
        <w:tc>
          <w:tcPr>
            <w:tcW w:w="191" w:type="dxa"/>
            <w:tcBorders>
              <w:top w:val="nil"/>
              <w:left w:val="nil"/>
              <w:bottom w:val="nil"/>
              <w:right w:val="nil"/>
            </w:tcBorders>
            <w:shd w:val="clear" w:color="auto" w:fill="auto"/>
            <w:noWrap/>
            <w:vAlign w:val="bottom"/>
            <w:hideMark/>
          </w:tcPr>
          <w:p w14:paraId="607DFE9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760" w:type="dxa"/>
            <w:tcBorders>
              <w:top w:val="nil"/>
              <w:left w:val="nil"/>
              <w:bottom w:val="nil"/>
              <w:right w:val="nil"/>
            </w:tcBorders>
            <w:shd w:val="clear" w:color="auto" w:fill="auto"/>
            <w:noWrap/>
            <w:vAlign w:val="bottom"/>
            <w:hideMark/>
          </w:tcPr>
          <w:p w14:paraId="5C9CD765"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1.07 [0.54-2.15]</w:t>
            </w:r>
          </w:p>
        </w:tc>
        <w:tc>
          <w:tcPr>
            <w:tcW w:w="768" w:type="dxa"/>
            <w:tcBorders>
              <w:top w:val="nil"/>
              <w:left w:val="nil"/>
              <w:bottom w:val="nil"/>
              <w:right w:val="nil"/>
            </w:tcBorders>
            <w:shd w:val="clear" w:color="auto" w:fill="auto"/>
            <w:noWrap/>
            <w:vAlign w:val="bottom"/>
            <w:hideMark/>
          </w:tcPr>
          <w:p w14:paraId="0800372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0.84</w:t>
            </w:r>
          </w:p>
        </w:tc>
        <w:tc>
          <w:tcPr>
            <w:tcW w:w="191" w:type="dxa"/>
            <w:tcBorders>
              <w:top w:val="nil"/>
              <w:left w:val="nil"/>
              <w:bottom w:val="nil"/>
              <w:right w:val="nil"/>
            </w:tcBorders>
            <w:shd w:val="clear" w:color="auto" w:fill="auto"/>
            <w:noWrap/>
            <w:vAlign w:val="bottom"/>
            <w:hideMark/>
          </w:tcPr>
          <w:p w14:paraId="0B509782"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621" w:type="dxa"/>
            <w:tcBorders>
              <w:top w:val="nil"/>
              <w:left w:val="nil"/>
              <w:bottom w:val="nil"/>
              <w:right w:val="nil"/>
            </w:tcBorders>
            <w:shd w:val="clear" w:color="auto" w:fill="auto"/>
            <w:noWrap/>
            <w:vAlign w:val="bottom"/>
            <w:hideMark/>
          </w:tcPr>
          <w:p w14:paraId="2DD0FC84"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0.60 [0.29-1.26]</w:t>
            </w:r>
          </w:p>
        </w:tc>
        <w:tc>
          <w:tcPr>
            <w:tcW w:w="850" w:type="dxa"/>
            <w:tcBorders>
              <w:top w:val="nil"/>
              <w:left w:val="nil"/>
              <w:bottom w:val="nil"/>
              <w:right w:val="nil"/>
            </w:tcBorders>
            <w:shd w:val="clear" w:color="auto" w:fill="auto"/>
            <w:noWrap/>
            <w:vAlign w:val="bottom"/>
            <w:hideMark/>
          </w:tcPr>
          <w:p w14:paraId="457426D3"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0.1795</w:t>
            </w:r>
          </w:p>
        </w:tc>
      </w:tr>
      <w:tr w:rsidR="00D54129" w:rsidRPr="00397EC7" w14:paraId="5C8BBAB7" w14:textId="77777777" w:rsidTr="00D54129">
        <w:trPr>
          <w:trHeight w:val="170"/>
          <w:jc w:val="center"/>
        </w:trPr>
        <w:tc>
          <w:tcPr>
            <w:tcW w:w="3211" w:type="dxa"/>
            <w:tcBorders>
              <w:top w:val="nil"/>
              <w:left w:val="nil"/>
              <w:bottom w:val="nil"/>
              <w:right w:val="nil"/>
            </w:tcBorders>
            <w:shd w:val="clear" w:color="auto" w:fill="auto"/>
            <w:noWrap/>
            <w:vAlign w:val="bottom"/>
            <w:hideMark/>
          </w:tcPr>
          <w:p w14:paraId="35BBE86E" w14:textId="77777777" w:rsidR="00D54129" w:rsidRPr="00397EC7" w:rsidRDefault="00D54129" w:rsidP="00DB5008">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Previous treatment (during previous 6 months)</w:t>
            </w:r>
          </w:p>
        </w:tc>
        <w:tc>
          <w:tcPr>
            <w:tcW w:w="2835" w:type="dxa"/>
            <w:tcBorders>
              <w:top w:val="nil"/>
              <w:left w:val="nil"/>
              <w:bottom w:val="nil"/>
              <w:right w:val="nil"/>
            </w:tcBorders>
            <w:shd w:val="clear" w:color="auto" w:fill="auto"/>
            <w:noWrap/>
            <w:vAlign w:val="bottom"/>
            <w:hideMark/>
          </w:tcPr>
          <w:p w14:paraId="04D095B6"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881" w:type="dxa"/>
            <w:tcBorders>
              <w:top w:val="nil"/>
              <w:left w:val="nil"/>
              <w:bottom w:val="nil"/>
              <w:right w:val="nil"/>
            </w:tcBorders>
            <w:shd w:val="clear" w:color="auto" w:fill="auto"/>
            <w:noWrap/>
            <w:vAlign w:val="bottom"/>
            <w:hideMark/>
          </w:tcPr>
          <w:p w14:paraId="510C211C"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595F1FA3"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314DA2B5"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959" w:type="dxa"/>
            <w:tcBorders>
              <w:top w:val="nil"/>
              <w:left w:val="nil"/>
              <w:bottom w:val="nil"/>
              <w:right w:val="nil"/>
            </w:tcBorders>
            <w:shd w:val="clear" w:color="auto" w:fill="auto"/>
            <w:noWrap/>
            <w:vAlign w:val="bottom"/>
            <w:hideMark/>
          </w:tcPr>
          <w:p w14:paraId="0A67C237"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49925DE5"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0F28F096"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768" w:type="dxa"/>
            <w:tcBorders>
              <w:top w:val="nil"/>
              <w:left w:val="nil"/>
              <w:bottom w:val="nil"/>
              <w:right w:val="nil"/>
            </w:tcBorders>
            <w:shd w:val="clear" w:color="auto" w:fill="auto"/>
            <w:noWrap/>
            <w:vAlign w:val="bottom"/>
            <w:hideMark/>
          </w:tcPr>
          <w:p w14:paraId="30A26E87"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6277082F"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0B81D66F"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850" w:type="dxa"/>
            <w:tcBorders>
              <w:top w:val="nil"/>
              <w:left w:val="nil"/>
              <w:bottom w:val="nil"/>
              <w:right w:val="nil"/>
            </w:tcBorders>
            <w:shd w:val="clear" w:color="auto" w:fill="auto"/>
            <w:noWrap/>
            <w:vAlign w:val="bottom"/>
            <w:hideMark/>
          </w:tcPr>
          <w:p w14:paraId="0F0C0E42"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r>
      <w:tr w:rsidR="00D54129" w:rsidRPr="00397EC7" w14:paraId="5C601857" w14:textId="77777777" w:rsidTr="00D54129">
        <w:trPr>
          <w:trHeight w:val="170"/>
          <w:jc w:val="center"/>
        </w:trPr>
        <w:tc>
          <w:tcPr>
            <w:tcW w:w="3211" w:type="dxa"/>
            <w:tcBorders>
              <w:top w:val="nil"/>
              <w:left w:val="nil"/>
              <w:bottom w:val="nil"/>
              <w:right w:val="nil"/>
            </w:tcBorders>
            <w:shd w:val="clear" w:color="auto" w:fill="auto"/>
            <w:noWrap/>
            <w:vAlign w:val="bottom"/>
            <w:hideMark/>
          </w:tcPr>
          <w:p w14:paraId="7786D5EB"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antiplatelet drugs</w:t>
            </w:r>
          </w:p>
        </w:tc>
        <w:tc>
          <w:tcPr>
            <w:tcW w:w="2835" w:type="dxa"/>
            <w:tcBorders>
              <w:top w:val="nil"/>
              <w:left w:val="nil"/>
              <w:bottom w:val="nil"/>
              <w:right w:val="nil"/>
            </w:tcBorders>
            <w:shd w:val="clear" w:color="auto" w:fill="auto"/>
            <w:noWrap/>
            <w:vAlign w:val="bottom"/>
            <w:hideMark/>
          </w:tcPr>
          <w:p w14:paraId="0AC9979A"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4.85 [4.32-5.45]</w:t>
            </w:r>
          </w:p>
        </w:tc>
        <w:tc>
          <w:tcPr>
            <w:tcW w:w="881" w:type="dxa"/>
            <w:tcBorders>
              <w:top w:val="nil"/>
              <w:left w:val="nil"/>
              <w:bottom w:val="nil"/>
              <w:right w:val="nil"/>
            </w:tcBorders>
            <w:shd w:val="clear" w:color="auto" w:fill="auto"/>
            <w:noWrap/>
            <w:vAlign w:val="bottom"/>
            <w:hideMark/>
          </w:tcPr>
          <w:p w14:paraId="72C9B2C1"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3EDB7EB7"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0598FBD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6.84 [5.56-8.42]</w:t>
            </w:r>
          </w:p>
        </w:tc>
        <w:tc>
          <w:tcPr>
            <w:tcW w:w="959" w:type="dxa"/>
            <w:tcBorders>
              <w:top w:val="nil"/>
              <w:left w:val="nil"/>
              <w:bottom w:val="nil"/>
              <w:right w:val="nil"/>
            </w:tcBorders>
            <w:shd w:val="clear" w:color="auto" w:fill="auto"/>
            <w:noWrap/>
            <w:vAlign w:val="bottom"/>
            <w:hideMark/>
          </w:tcPr>
          <w:p w14:paraId="590213E9"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3FC2C350"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2DCB9C98"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7.61 [6.60-8.78]</w:t>
            </w:r>
          </w:p>
        </w:tc>
        <w:tc>
          <w:tcPr>
            <w:tcW w:w="768" w:type="dxa"/>
            <w:tcBorders>
              <w:top w:val="nil"/>
              <w:left w:val="nil"/>
              <w:bottom w:val="nil"/>
              <w:right w:val="nil"/>
            </w:tcBorders>
            <w:shd w:val="clear" w:color="auto" w:fill="auto"/>
            <w:noWrap/>
            <w:vAlign w:val="bottom"/>
            <w:hideMark/>
          </w:tcPr>
          <w:p w14:paraId="77434676"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6AF31580"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0A8CBA4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2.05 [1.79-2.34]</w:t>
            </w:r>
          </w:p>
        </w:tc>
        <w:tc>
          <w:tcPr>
            <w:tcW w:w="850" w:type="dxa"/>
            <w:tcBorders>
              <w:top w:val="nil"/>
              <w:left w:val="nil"/>
              <w:bottom w:val="nil"/>
              <w:right w:val="nil"/>
            </w:tcBorders>
            <w:shd w:val="clear" w:color="auto" w:fill="auto"/>
            <w:noWrap/>
            <w:vAlign w:val="bottom"/>
            <w:hideMark/>
          </w:tcPr>
          <w:p w14:paraId="53D2E320"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D54129" w:rsidRPr="00397EC7" w14:paraId="16EBA549" w14:textId="77777777" w:rsidTr="00D54129">
        <w:trPr>
          <w:trHeight w:val="170"/>
          <w:jc w:val="center"/>
        </w:trPr>
        <w:tc>
          <w:tcPr>
            <w:tcW w:w="3211" w:type="dxa"/>
            <w:tcBorders>
              <w:top w:val="nil"/>
              <w:left w:val="nil"/>
              <w:bottom w:val="nil"/>
              <w:right w:val="nil"/>
            </w:tcBorders>
            <w:shd w:val="clear" w:color="auto" w:fill="auto"/>
            <w:noWrap/>
            <w:vAlign w:val="bottom"/>
            <w:hideMark/>
          </w:tcPr>
          <w:p w14:paraId="6D92BA03"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anticoagulants</w:t>
            </w:r>
          </w:p>
        </w:tc>
        <w:tc>
          <w:tcPr>
            <w:tcW w:w="2835" w:type="dxa"/>
            <w:tcBorders>
              <w:top w:val="nil"/>
              <w:left w:val="nil"/>
              <w:bottom w:val="nil"/>
              <w:right w:val="nil"/>
            </w:tcBorders>
            <w:shd w:val="clear" w:color="auto" w:fill="auto"/>
            <w:noWrap/>
            <w:vAlign w:val="bottom"/>
            <w:hideMark/>
          </w:tcPr>
          <w:p w14:paraId="30F70152"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8.96 [7.92-10.1]</w:t>
            </w:r>
          </w:p>
        </w:tc>
        <w:tc>
          <w:tcPr>
            <w:tcW w:w="881" w:type="dxa"/>
            <w:tcBorders>
              <w:top w:val="nil"/>
              <w:left w:val="nil"/>
              <w:bottom w:val="nil"/>
              <w:right w:val="nil"/>
            </w:tcBorders>
            <w:shd w:val="clear" w:color="auto" w:fill="auto"/>
            <w:noWrap/>
            <w:vAlign w:val="bottom"/>
            <w:hideMark/>
          </w:tcPr>
          <w:p w14:paraId="0EFA86C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3C11278E"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79275351"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3.43 [2.57-4.57]</w:t>
            </w:r>
          </w:p>
        </w:tc>
        <w:tc>
          <w:tcPr>
            <w:tcW w:w="959" w:type="dxa"/>
            <w:tcBorders>
              <w:top w:val="nil"/>
              <w:left w:val="nil"/>
              <w:bottom w:val="nil"/>
              <w:right w:val="nil"/>
            </w:tcBorders>
            <w:shd w:val="clear" w:color="auto" w:fill="auto"/>
            <w:noWrap/>
            <w:vAlign w:val="bottom"/>
            <w:hideMark/>
          </w:tcPr>
          <w:p w14:paraId="74B4375E"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40BD1566"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30EAB476"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8.64 [7.41-10.1]</w:t>
            </w:r>
          </w:p>
        </w:tc>
        <w:tc>
          <w:tcPr>
            <w:tcW w:w="768" w:type="dxa"/>
            <w:tcBorders>
              <w:top w:val="nil"/>
              <w:left w:val="nil"/>
              <w:bottom w:val="nil"/>
              <w:right w:val="nil"/>
            </w:tcBorders>
            <w:shd w:val="clear" w:color="auto" w:fill="auto"/>
            <w:noWrap/>
            <w:vAlign w:val="bottom"/>
            <w:hideMark/>
          </w:tcPr>
          <w:p w14:paraId="3719D481"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74FA3732"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3E246D4E"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22.5 [20.0-25.2]</w:t>
            </w:r>
          </w:p>
        </w:tc>
        <w:tc>
          <w:tcPr>
            <w:tcW w:w="850" w:type="dxa"/>
            <w:tcBorders>
              <w:top w:val="nil"/>
              <w:left w:val="nil"/>
              <w:bottom w:val="nil"/>
              <w:right w:val="nil"/>
            </w:tcBorders>
            <w:shd w:val="clear" w:color="auto" w:fill="auto"/>
            <w:noWrap/>
            <w:vAlign w:val="bottom"/>
            <w:hideMark/>
          </w:tcPr>
          <w:p w14:paraId="168211A5"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D54129" w:rsidRPr="00397EC7" w14:paraId="6966AFFF" w14:textId="77777777" w:rsidTr="00D54129">
        <w:trPr>
          <w:trHeight w:val="170"/>
          <w:jc w:val="center"/>
        </w:trPr>
        <w:tc>
          <w:tcPr>
            <w:tcW w:w="3211" w:type="dxa"/>
            <w:tcBorders>
              <w:top w:val="single" w:sz="4" w:space="0" w:color="auto"/>
              <w:left w:val="nil"/>
              <w:bottom w:val="nil"/>
              <w:right w:val="nil"/>
            </w:tcBorders>
            <w:shd w:val="clear" w:color="000000" w:fill="F2F2F2"/>
            <w:noWrap/>
            <w:vAlign w:val="bottom"/>
            <w:hideMark/>
          </w:tcPr>
          <w:p w14:paraId="693099CA" w14:textId="77777777" w:rsidR="00D54129" w:rsidRPr="00397EC7" w:rsidRDefault="00D54129" w:rsidP="00DB5008">
            <w:pPr>
              <w:spacing w:after="0" w:line="240" w:lineRule="auto"/>
              <w:jc w:val="left"/>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Colonoscopy characteristics</w:t>
            </w:r>
          </w:p>
        </w:tc>
        <w:tc>
          <w:tcPr>
            <w:tcW w:w="2835" w:type="dxa"/>
            <w:tcBorders>
              <w:top w:val="single" w:sz="4" w:space="0" w:color="auto"/>
              <w:left w:val="nil"/>
              <w:bottom w:val="nil"/>
              <w:right w:val="nil"/>
            </w:tcBorders>
            <w:shd w:val="clear" w:color="000000" w:fill="F2F2F2"/>
            <w:noWrap/>
            <w:vAlign w:val="bottom"/>
            <w:hideMark/>
          </w:tcPr>
          <w:p w14:paraId="0888C409"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881" w:type="dxa"/>
            <w:tcBorders>
              <w:top w:val="single" w:sz="4" w:space="0" w:color="auto"/>
              <w:left w:val="nil"/>
              <w:bottom w:val="nil"/>
              <w:right w:val="nil"/>
            </w:tcBorders>
            <w:shd w:val="clear" w:color="000000" w:fill="F2F2F2"/>
            <w:noWrap/>
            <w:vAlign w:val="bottom"/>
            <w:hideMark/>
          </w:tcPr>
          <w:p w14:paraId="01D54518"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191" w:type="dxa"/>
            <w:tcBorders>
              <w:top w:val="single" w:sz="4" w:space="0" w:color="auto"/>
              <w:left w:val="nil"/>
              <w:bottom w:val="nil"/>
              <w:right w:val="nil"/>
            </w:tcBorders>
            <w:shd w:val="clear" w:color="000000" w:fill="F2F2F2"/>
            <w:noWrap/>
            <w:vAlign w:val="bottom"/>
            <w:hideMark/>
          </w:tcPr>
          <w:p w14:paraId="6DC8698E"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2796" w:type="dxa"/>
            <w:tcBorders>
              <w:top w:val="single" w:sz="4" w:space="0" w:color="auto"/>
              <w:left w:val="nil"/>
              <w:bottom w:val="nil"/>
              <w:right w:val="nil"/>
            </w:tcBorders>
            <w:shd w:val="clear" w:color="000000" w:fill="F2F2F2"/>
            <w:noWrap/>
            <w:vAlign w:val="bottom"/>
            <w:hideMark/>
          </w:tcPr>
          <w:p w14:paraId="3C866380"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959" w:type="dxa"/>
            <w:tcBorders>
              <w:top w:val="single" w:sz="4" w:space="0" w:color="auto"/>
              <w:left w:val="nil"/>
              <w:bottom w:val="nil"/>
              <w:right w:val="nil"/>
            </w:tcBorders>
            <w:shd w:val="clear" w:color="000000" w:fill="F2F2F2"/>
            <w:noWrap/>
            <w:vAlign w:val="bottom"/>
            <w:hideMark/>
          </w:tcPr>
          <w:p w14:paraId="0AA3FA19"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191" w:type="dxa"/>
            <w:tcBorders>
              <w:top w:val="single" w:sz="4" w:space="0" w:color="auto"/>
              <w:left w:val="nil"/>
              <w:bottom w:val="nil"/>
              <w:right w:val="nil"/>
            </w:tcBorders>
            <w:shd w:val="clear" w:color="000000" w:fill="F2F2F2"/>
            <w:noWrap/>
            <w:vAlign w:val="bottom"/>
            <w:hideMark/>
          </w:tcPr>
          <w:p w14:paraId="4FBE4754"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1760" w:type="dxa"/>
            <w:tcBorders>
              <w:top w:val="single" w:sz="4" w:space="0" w:color="auto"/>
              <w:left w:val="nil"/>
              <w:bottom w:val="nil"/>
              <w:right w:val="nil"/>
            </w:tcBorders>
            <w:shd w:val="clear" w:color="000000" w:fill="F2F2F2"/>
            <w:noWrap/>
            <w:vAlign w:val="bottom"/>
            <w:hideMark/>
          </w:tcPr>
          <w:p w14:paraId="51C34ED6"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768" w:type="dxa"/>
            <w:tcBorders>
              <w:top w:val="single" w:sz="4" w:space="0" w:color="auto"/>
              <w:left w:val="nil"/>
              <w:bottom w:val="nil"/>
              <w:right w:val="nil"/>
            </w:tcBorders>
            <w:shd w:val="clear" w:color="000000" w:fill="F2F2F2"/>
            <w:noWrap/>
            <w:vAlign w:val="bottom"/>
            <w:hideMark/>
          </w:tcPr>
          <w:p w14:paraId="4CB4421B"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191" w:type="dxa"/>
            <w:tcBorders>
              <w:top w:val="single" w:sz="4" w:space="0" w:color="auto"/>
              <w:left w:val="nil"/>
              <w:bottom w:val="nil"/>
              <w:right w:val="nil"/>
            </w:tcBorders>
            <w:shd w:val="clear" w:color="000000" w:fill="F2F2F2"/>
            <w:noWrap/>
            <w:vAlign w:val="bottom"/>
            <w:hideMark/>
          </w:tcPr>
          <w:p w14:paraId="3A58E1E5"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1621" w:type="dxa"/>
            <w:tcBorders>
              <w:top w:val="single" w:sz="4" w:space="0" w:color="auto"/>
              <w:left w:val="nil"/>
              <w:bottom w:val="nil"/>
              <w:right w:val="nil"/>
            </w:tcBorders>
            <w:shd w:val="clear" w:color="000000" w:fill="F2F2F2"/>
            <w:noWrap/>
            <w:vAlign w:val="bottom"/>
            <w:hideMark/>
          </w:tcPr>
          <w:p w14:paraId="7EDEF118"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850" w:type="dxa"/>
            <w:tcBorders>
              <w:top w:val="single" w:sz="4" w:space="0" w:color="auto"/>
              <w:left w:val="nil"/>
              <w:bottom w:val="nil"/>
              <w:right w:val="nil"/>
            </w:tcBorders>
            <w:shd w:val="clear" w:color="000000" w:fill="F2F2F2"/>
            <w:noWrap/>
            <w:vAlign w:val="bottom"/>
            <w:hideMark/>
          </w:tcPr>
          <w:p w14:paraId="49D41CEE"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r>
      <w:tr w:rsidR="00D54129" w:rsidRPr="00397EC7" w14:paraId="27D55E7E" w14:textId="77777777" w:rsidTr="00D54129">
        <w:trPr>
          <w:trHeight w:val="170"/>
          <w:jc w:val="center"/>
        </w:trPr>
        <w:tc>
          <w:tcPr>
            <w:tcW w:w="3211" w:type="dxa"/>
            <w:tcBorders>
              <w:top w:val="nil"/>
              <w:left w:val="nil"/>
              <w:bottom w:val="nil"/>
              <w:right w:val="nil"/>
            </w:tcBorders>
            <w:shd w:val="clear" w:color="auto" w:fill="auto"/>
            <w:noWrap/>
            <w:vAlign w:val="bottom"/>
            <w:hideMark/>
          </w:tcPr>
          <w:p w14:paraId="237ACC2A" w14:textId="77777777" w:rsidR="00D54129" w:rsidRPr="00397EC7" w:rsidRDefault="00D54129" w:rsidP="00DB5008">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Bowel preparation</w:t>
            </w:r>
          </w:p>
        </w:tc>
        <w:tc>
          <w:tcPr>
            <w:tcW w:w="2835" w:type="dxa"/>
            <w:tcBorders>
              <w:top w:val="nil"/>
              <w:left w:val="nil"/>
              <w:bottom w:val="nil"/>
              <w:right w:val="nil"/>
            </w:tcBorders>
            <w:shd w:val="clear" w:color="auto" w:fill="auto"/>
            <w:noWrap/>
            <w:vAlign w:val="bottom"/>
            <w:hideMark/>
          </w:tcPr>
          <w:p w14:paraId="38F72AC5"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881" w:type="dxa"/>
            <w:tcBorders>
              <w:top w:val="nil"/>
              <w:left w:val="nil"/>
              <w:bottom w:val="nil"/>
              <w:right w:val="nil"/>
            </w:tcBorders>
            <w:shd w:val="clear" w:color="auto" w:fill="auto"/>
            <w:noWrap/>
            <w:vAlign w:val="bottom"/>
            <w:hideMark/>
          </w:tcPr>
          <w:p w14:paraId="7D30944A"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4BB5DB16"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1AA2ACBE"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959" w:type="dxa"/>
            <w:tcBorders>
              <w:top w:val="nil"/>
              <w:left w:val="nil"/>
              <w:bottom w:val="nil"/>
              <w:right w:val="nil"/>
            </w:tcBorders>
            <w:shd w:val="clear" w:color="auto" w:fill="auto"/>
            <w:noWrap/>
            <w:vAlign w:val="bottom"/>
            <w:hideMark/>
          </w:tcPr>
          <w:p w14:paraId="6DC9AF04"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6D4C1CEB"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1BFE55F0"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768" w:type="dxa"/>
            <w:tcBorders>
              <w:top w:val="nil"/>
              <w:left w:val="nil"/>
              <w:bottom w:val="nil"/>
              <w:right w:val="nil"/>
            </w:tcBorders>
            <w:shd w:val="clear" w:color="auto" w:fill="auto"/>
            <w:noWrap/>
            <w:vAlign w:val="bottom"/>
            <w:hideMark/>
          </w:tcPr>
          <w:p w14:paraId="0733A7B1"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63B4DA0F"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2C1E6A76"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850" w:type="dxa"/>
            <w:tcBorders>
              <w:top w:val="nil"/>
              <w:left w:val="nil"/>
              <w:bottom w:val="nil"/>
              <w:right w:val="nil"/>
            </w:tcBorders>
            <w:shd w:val="clear" w:color="auto" w:fill="auto"/>
            <w:noWrap/>
            <w:vAlign w:val="bottom"/>
            <w:hideMark/>
          </w:tcPr>
          <w:p w14:paraId="25E6F1C2"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r>
      <w:tr w:rsidR="00D54129" w:rsidRPr="00397EC7" w14:paraId="5EEFF91B" w14:textId="77777777" w:rsidTr="00D54129">
        <w:trPr>
          <w:trHeight w:val="170"/>
          <w:jc w:val="center"/>
        </w:trPr>
        <w:tc>
          <w:tcPr>
            <w:tcW w:w="3211" w:type="dxa"/>
            <w:tcBorders>
              <w:top w:val="nil"/>
              <w:left w:val="nil"/>
              <w:bottom w:val="nil"/>
              <w:right w:val="nil"/>
            </w:tcBorders>
            <w:shd w:val="clear" w:color="auto" w:fill="auto"/>
            <w:noWrap/>
            <w:vAlign w:val="bottom"/>
            <w:hideMark/>
          </w:tcPr>
          <w:p w14:paraId="3F96D866"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polyethylene glycol</w:t>
            </w:r>
          </w:p>
        </w:tc>
        <w:tc>
          <w:tcPr>
            <w:tcW w:w="2835" w:type="dxa"/>
            <w:tcBorders>
              <w:top w:val="nil"/>
              <w:left w:val="nil"/>
              <w:bottom w:val="nil"/>
              <w:right w:val="nil"/>
            </w:tcBorders>
            <w:shd w:val="clear" w:color="auto" w:fill="auto"/>
            <w:noWrap/>
            <w:vAlign w:val="bottom"/>
            <w:hideMark/>
          </w:tcPr>
          <w:p w14:paraId="18F8859E"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81" w:type="dxa"/>
            <w:tcBorders>
              <w:top w:val="nil"/>
              <w:left w:val="nil"/>
              <w:bottom w:val="nil"/>
              <w:right w:val="nil"/>
            </w:tcBorders>
            <w:shd w:val="clear" w:color="auto" w:fill="auto"/>
            <w:noWrap/>
            <w:vAlign w:val="bottom"/>
            <w:hideMark/>
          </w:tcPr>
          <w:p w14:paraId="112AB998"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2F1EC2BA"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4A21307D"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59" w:type="dxa"/>
            <w:tcBorders>
              <w:top w:val="nil"/>
              <w:left w:val="nil"/>
              <w:bottom w:val="nil"/>
              <w:right w:val="nil"/>
            </w:tcBorders>
            <w:shd w:val="clear" w:color="auto" w:fill="auto"/>
            <w:noWrap/>
            <w:vAlign w:val="bottom"/>
            <w:hideMark/>
          </w:tcPr>
          <w:p w14:paraId="764DF9DB"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28774D95"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03E80CBF"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768" w:type="dxa"/>
            <w:tcBorders>
              <w:top w:val="nil"/>
              <w:left w:val="nil"/>
              <w:bottom w:val="nil"/>
              <w:right w:val="nil"/>
            </w:tcBorders>
            <w:shd w:val="clear" w:color="auto" w:fill="auto"/>
            <w:noWrap/>
            <w:vAlign w:val="bottom"/>
            <w:hideMark/>
          </w:tcPr>
          <w:p w14:paraId="783DB707"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72A377DC"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043A178E"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0" w:type="dxa"/>
            <w:tcBorders>
              <w:top w:val="nil"/>
              <w:left w:val="nil"/>
              <w:bottom w:val="nil"/>
              <w:right w:val="nil"/>
            </w:tcBorders>
            <w:shd w:val="clear" w:color="auto" w:fill="auto"/>
            <w:noWrap/>
            <w:vAlign w:val="bottom"/>
            <w:hideMark/>
          </w:tcPr>
          <w:p w14:paraId="43A653F7"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r>
      <w:tr w:rsidR="00D54129" w:rsidRPr="00397EC7" w14:paraId="5060DEF6" w14:textId="77777777" w:rsidTr="00D54129">
        <w:trPr>
          <w:trHeight w:val="170"/>
          <w:jc w:val="center"/>
        </w:trPr>
        <w:tc>
          <w:tcPr>
            <w:tcW w:w="3211" w:type="dxa"/>
            <w:tcBorders>
              <w:top w:val="nil"/>
              <w:left w:val="nil"/>
              <w:bottom w:val="nil"/>
              <w:right w:val="nil"/>
            </w:tcBorders>
            <w:shd w:val="clear" w:color="auto" w:fill="auto"/>
            <w:noWrap/>
            <w:vAlign w:val="bottom"/>
            <w:hideMark/>
          </w:tcPr>
          <w:p w14:paraId="37345A80"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phosphate preparation</w:t>
            </w:r>
          </w:p>
        </w:tc>
        <w:tc>
          <w:tcPr>
            <w:tcW w:w="2835" w:type="dxa"/>
            <w:tcBorders>
              <w:top w:val="nil"/>
              <w:left w:val="nil"/>
              <w:bottom w:val="nil"/>
              <w:right w:val="nil"/>
            </w:tcBorders>
            <w:shd w:val="clear" w:color="auto" w:fill="auto"/>
            <w:noWrap/>
            <w:vAlign w:val="bottom"/>
            <w:hideMark/>
          </w:tcPr>
          <w:p w14:paraId="6E80A43C"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0.69 [0.41-1.15]</w:t>
            </w:r>
          </w:p>
        </w:tc>
        <w:tc>
          <w:tcPr>
            <w:tcW w:w="881" w:type="dxa"/>
            <w:tcBorders>
              <w:top w:val="nil"/>
              <w:left w:val="nil"/>
              <w:bottom w:val="nil"/>
              <w:right w:val="nil"/>
            </w:tcBorders>
            <w:shd w:val="clear" w:color="auto" w:fill="auto"/>
            <w:noWrap/>
            <w:vAlign w:val="bottom"/>
            <w:hideMark/>
          </w:tcPr>
          <w:p w14:paraId="5829736D"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0.16</w:t>
            </w:r>
          </w:p>
        </w:tc>
        <w:tc>
          <w:tcPr>
            <w:tcW w:w="191" w:type="dxa"/>
            <w:tcBorders>
              <w:top w:val="nil"/>
              <w:left w:val="nil"/>
              <w:bottom w:val="nil"/>
              <w:right w:val="nil"/>
            </w:tcBorders>
            <w:shd w:val="clear" w:color="auto" w:fill="auto"/>
            <w:noWrap/>
            <w:vAlign w:val="bottom"/>
            <w:hideMark/>
          </w:tcPr>
          <w:p w14:paraId="493E1083"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6D0C4B5A"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0.74 [0.45-1.21]</w:t>
            </w:r>
          </w:p>
        </w:tc>
        <w:tc>
          <w:tcPr>
            <w:tcW w:w="959" w:type="dxa"/>
            <w:tcBorders>
              <w:top w:val="nil"/>
              <w:left w:val="nil"/>
              <w:bottom w:val="nil"/>
              <w:right w:val="nil"/>
            </w:tcBorders>
            <w:shd w:val="clear" w:color="auto" w:fill="auto"/>
            <w:noWrap/>
            <w:vAlign w:val="bottom"/>
            <w:hideMark/>
          </w:tcPr>
          <w:p w14:paraId="0BB3ACC4"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0.23</w:t>
            </w:r>
          </w:p>
        </w:tc>
        <w:tc>
          <w:tcPr>
            <w:tcW w:w="191" w:type="dxa"/>
            <w:tcBorders>
              <w:top w:val="nil"/>
              <w:left w:val="nil"/>
              <w:bottom w:val="nil"/>
              <w:right w:val="nil"/>
            </w:tcBorders>
            <w:shd w:val="clear" w:color="auto" w:fill="auto"/>
            <w:noWrap/>
            <w:vAlign w:val="bottom"/>
            <w:hideMark/>
          </w:tcPr>
          <w:p w14:paraId="06F7926E"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62B9346A"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0.62 [0.42-0.92]</w:t>
            </w:r>
          </w:p>
        </w:tc>
        <w:tc>
          <w:tcPr>
            <w:tcW w:w="768" w:type="dxa"/>
            <w:tcBorders>
              <w:top w:val="nil"/>
              <w:left w:val="nil"/>
              <w:bottom w:val="nil"/>
              <w:right w:val="nil"/>
            </w:tcBorders>
            <w:shd w:val="clear" w:color="auto" w:fill="auto"/>
            <w:noWrap/>
            <w:vAlign w:val="bottom"/>
            <w:hideMark/>
          </w:tcPr>
          <w:p w14:paraId="761CB805"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0.016</w:t>
            </w:r>
          </w:p>
        </w:tc>
        <w:tc>
          <w:tcPr>
            <w:tcW w:w="191" w:type="dxa"/>
            <w:tcBorders>
              <w:top w:val="nil"/>
              <w:left w:val="nil"/>
              <w:bottom w:val="nil"/>
              <w:right w:val="nil"/>
            </w:tcBorders>
            <w:shd w:val="clear" w:color="auto" w:fill="auto"/>
            <w:noWrap/>
            <w:vAlign w:val="bottom"/>
            <w:hideMark/>
          </w:tcPr>
          <w:p w14:paraId="46CC9F23"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3301DD34"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0.47 [0.34-0.66]</w:t>
            </w:r>
          </w:p>
        </w:tc>
        <w:tc>
          <w:tcPr>
            <w:tcW w:w="850" w:type="dxa"/>
            <w:tcBorders>
              <w:top w:val="nil"/>
              <w:left w:val="nil"/>
              <w:bottom w:val="nil"/>
              <w:right w:val="nil"/>
            </w:tcBorders>
            <w:shd w:val="clear" w:color="auto" w:fill="auto"/>
            <w:noWrap/>
            <w:vAlign w:val="bottom"/>
            <w:hideMark/>
          </w:tcPr>
          <w:p w14:paraId="698FE569"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D54129" w:rsidRPr="00397EC7" w14:paraId="1173ED29" w14:textId="77777777" w:rsidTr="00D54129">
        <w:trPr>
          <w:trHeight w:val="170"/>
          <w:jc w:val="center"/>
        </w:trPr>
        <w:tc>
          <w:tcPr>
            <w:tcW w:w="3211" w:type="dxa"/>
            <w:tcBorders>
              <w:top w:val="nil"/>
              <w:left w:val="nil"/>
              <w:bottom w:val="nil"/>
              <w:right w:val="nil"/>
            </w:tcBorders>
            <w:shd w:val="clear" w:color="auto" w:fill="auto"/>
            <w:noWrap/>
            <w:vAlign w:val="bottom"/>
            <w:hideMark/>
          </w:tcPr>
          <w:p w14:paraId="2F5659D6"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magnesium preparation</w:t>
            </w:r>
          </w:p>
        </w:tc>
        <w:tc>
          <w:tcPr>
            <w:tcW w:w="2835" w:type="dxa"/>
            <w:tcBorders>
              <w:top w:val="nil"/>
              <w:left w:val="nil"/>
              <w:bottom w:val="nil"/>
              <w:right w:val="nil"/>
            </w:tcBorders>
            <w:shd w:val="clear" w:color="auto" w:fill="auto"/>
            <w:noWrap/>
            <w:vAlign w:val="bottom"/>
            <w:hideMark/>
          </w:tcPr>
          <w:p w14:paraId="1EC131BF"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0.78 [0.52-1.16]</w:t>
            </w:r>
          </w:p>
        </w:tc>
        <w:tc>
          <w:tcPr>
            <w:tcW w:w="881" w:type="dxa"/>
            <w:tcBorders>
              <w:top w:val="nil"/>
              <w:left w:val="nil"/>
              <w:bottom w:val="nil"/>
              <w:right w:val="nil"/>
            </w:tcBorders>
            <w:shd w:val="clear" w:color="auto" w:fill="auto"/>
            <w:noWrap/>
            <w:vAlign w:val="bottom"/>
            <w:hideMark/>
          </w:tcPr>
          <w:p w14:paraId="749E3F68"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0.22</w:t>
            </w:r>
          </w:p>
        </w:tc>
        <w:tc>
          <w:tcPr>
            <w:tcW w:w="191" w:type="dxa"/>
            <w:tcBorders>
              <w:top w:val="nil"/>
              <w:left w:val="nil"/>
              <w:bottom w:val="nil"/>
              <w:right w:val="nil"/>
            </w:tcBorders>
            <w:shd w:val="clear" w:color="auto" w:fill="auto"/>
            <w:noWrap/>
            <w:vAlign w:val="bottom"/>
            <w:hideMark/>
          </w:tcPr>
          <w:p w14:paraId="75F35C82"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1430DE71"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0.79 [0.54-1.17]</w:t>
            </w:r>
          </w:p>
        </w:tc>
        <w:tc>
          <w:tcPr>
            <w:tcW w:w="959" w:type="dxa"/>
            <w:tcBorders>
              <w:top w:val="nil"/>
              <w:left w:val="nil"/>
              <w:bottom w:val="nil"/>
              <w:right w:val="nil"/>
            </w:tcBorders>
            <w:shd w:val="clear" w:color="auto" w:fill="auto"/>
            <w:noWrap/>
            <w:vAlign w:val="bottom"/>
            <w:hideMark/>
          </w:tcPr>
          <w:p w14:paraId="31D2483A"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0.25</w:t>
            </w:r>
          </w:p>
        </w:tc>
        <w:tc>
          <w:tcPr>
            <w:tcW w:w="191" w:type="dxa"/>
            <w:tcBorders>
              <w:top w:val="nil"/>
              <w:left w:val="nil"/>
              <w:bottom w:val="nil"/>
              <w:right w:val="nil"/>
            </w:tcBorders>
            <w:shd w:val="clear" w:color="auto" w:fill="auto"/>
            <w:noWrap/>
            <w:vAlign w:val="bottom"/>
            <w:hideMark/>
          </w:tcPr>
          <w:p w14:paraId="6B29B53B"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3A1A824F"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0.53 [0.38-0.74]</w:t>
            </w:r>
          </w:p>
        </w:tc>
        <w:tc>
          <w:tcPr>
            <w:tcW w:w="768" w:type="dxa"/>
            <w:tcBorders>
              <w:top w:val="nil"/>
              <w:left w:val="nil"/>
              <w:bottom w:val="nil"/>
              <w:right w:val="nil"/>
            </w:tcBorders>
            <w:shd w:val="clear" w:color="auto" w:fill="auto"/>
            <w:noWrap/>
            <w:vAlign w:val="bottom"/>
            <w:hideMark/>
          </w:tcPr>
          <w:p w14:paraId="2605DD81"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0.0002</w:t>
            </w:r>
          </w:p>
        </w:tc>
        <w:tc>
          <w:tcPr>
            <w:tcW w:w="191" w:type="dxa"/>
            <w:tcBorders>
              <w:top w:val="nil"/>
              <w:left w:val="nil"/>
              <w:bottom w:val="nil"/>
              <w:right w:val="nil"/>
            </w:tcBorders>
            <w:shd w:val="clear" w:color="auto" w:fill="auto"/>
            <w:noWrap/>
            <w:vAlign w:val="bottom"/>
            <w:hideMark/>
          </w:tcPr>
          <w:p w14:paraId="4A0F584F"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49BB9C40"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0.61 [0.48-0.77]</w:t>
            </w:r>
          </w:p>
        </w:tc>
        <w:tc>
          <w:tcPr>
            <w:tcW w:w="850" w:type="dxa"/>
            <w:tcBorders>
              <w:top w:val="nil"/>
              <w:left w:val="nil"/>
              <w:bottom w:val="nil"/>
              <w:right w:val="nil"/>
            </w:tcBorders>
            <w:shd w:val="clear" w:color="auto" w:fill="auto"/>
            <w:noWrap/>
            <w:vAlign w:val="bottom"/>
            <w:hideMark/>
          </w:tcPr>
          <w:p w14:paraId="3D661D04"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D54129" w:rsidRPr="00397EC7" w14:paraId="0883108B" w14:textId="77777777" w:rsidTr="00D54129">
        <w:trPr>
          <w:trHeight w:val="170"/>
          <w:jc w:val="center"/>
        </w:trPr>
        <w:tc>
          <w:tcPr>
            <w:tcW w:w="3211" w:type="dxa"/>
            <w:tcBorders>
              <w:top w:val="nil"/>
              <w:left w:val="nil"/>
              <w:bottom w:val="nil"/>
              <w:right w:val="nil"/>
            </w:tcBorders>
            <w:shd w:val="clear" w:color="auto" w:fill="auto"/>
            <w:noWrap/>
            <w:vAlign w:val="bottom"/>
            <w:hideMark/>
          </w:tcPr>
          <w:p w14:paraId="275DF50B"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not retrieved</w:t>
            </w:r>
          </w:p>
        </w:tc>
        <w:tc>
          <w:tcPr>
            <w:tcW w:w="2835" w:type="dxa"/>
            <w:tcBorders>
              <w:top w:val="nil"/>
              <w:left w:val="nil"/>
              <w:bottom w:val="nil"/>
              <w:right w:val="nil"/>
            </w:tcBorders>
            <w:shd w:val="clear" w:color="auto" w:fill="auto"/>
            <w:noWrap/>
            <w:vAlign w:val="bottom"/>
            <w:hideMark/>
          </w:tcPr>
          <w:p w14:paraId="5A8E74D8"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50.3 [40.8-61.9]</w:t>
            </w:r>
          </w:p>
        </w:tc>
        <w:tc>
          <w:tcPr>
            <w:tcW w:w="881" w:type="dxa"/>
            <w:tcBorders>
              <w:top w:val="nil"/>
              <w:left w:val="nil"/>
              <w:bottom w:val="nil"/>
              <w:right w:val="nil"/>
            </w:tcBorders>
            <w:shd w:val="clear" w:color="auto" w:fill="auto"/>
            <w:noWrap/>
            <w:vAlign w:val="bottom"/>
            <w:hideMark/>
          </w:tcPr>
          <w:p w14:paraId="2625781C"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067D8465"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184CCF5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9.66 [7.61-12.3]</w:t>
            </w:r>
          </w:p>
        </w:tc>
        <w:tc>
          <w:tcPr>
            <w:tcW w:w="959" w:type="dxa"/>
            <w:tcBorders>
              <w:top w:val="nil"/>
              <w:left w:val="nil"/>
              <w:bottom w:val="nil"/>
              <w:right w:val="nil"/>
            </w:tcBorders>
            <w:shd w:val="clear" w:color="auto" w:fill="auto"/>
            <w:noWrap/>
            <w:vAlign w:val="bottom"/>
            <w:hideMark/>
          </w:tcPr>
          <w:p w14:paraId="55BAFC5E"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01709218"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56A1646E"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12.7 [10.8-15.1]</w:t>
            </w:r>
          </w:p>
        </w:tc>
        <w:tc>
          <w:tcPr>
            <w:tcW w:w="768" w:type="dxa"/>
            <w:tcBorders>
              <w:top w:val="nil"/>
              <w:left w:val="nil"/>
              <w:bottom w:val="nil"/>
              <w:right w:val="nil"/>
            </w:tcBorders>
            <w:shd w:val="clear" w:color="auto" w:fill="auto"/>
            <w:noWrap/>
            <w:vAlign w:val="bottom"/>
            <w:hideMark/>
          </w:tcPr>
          <w:p w14:paraId="0896B545"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18B4C6D3"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6A3C4D50"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10.5 [9.20-11.9]</w:t>
            </w:r>
          </w:p>
        </w:tc>
        <w:tc>
          <w:tcPr>
            <w:tcW w:w="850" w:type="dxa"/>
            <w:tcBorders>
              <w:top w:val="nil"/>
              <w:left w:val="nil"/>
              <w:bottom w:val="nil"/>
              <w:right w:val="nil"/>
            </w:tcBorders>
            <w:shd w:val="clear" w:color="auto" w:fill="auto"/>
            <w:noWrap/>
            <w:vAlign w:val="bottom"/>
            <w:hideMark/>
          </w:tcPr>
          <w:p w14:paraId="266EECE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D54129" w:rsidRPr="00397EC7" w14:paraId="5D5CD1E4" w14:textId="77777777" w:rsidTr="00D54129">
        <w:trPr>
          <w:trHeight w:val="170"/>
          <w:jc w:val="center"/>
        </w:trPr>
        <w:tc>
          <w:tcPr>
            <w:tcW w:w="3211" w:type="dxa"/>
            <w:tcBorders>
              <w:top w:val="nil"/>
              <w:left w:val="nil"/>
              <w:bottom w:val="nil"/>
              <w:right w:val="nil"/>
            </w:tcBorders>
            <w:shd w:val="clear" w:color="auto" w:fill="auto"/>
            <w:noWrap/>
            <w:vAlign w:val="bottom"/>
            <w:hideMark/>
          </w:tcPr>
          <w:p w14:paraId="271E67EF" w14:textId="77777777" w:rsidR="00D54129" w:rsidRPr="00397EC7" w:rsidRDefault="00D54129" w:rsidP="00DB5008">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Polypectomy</w:t>
            </w:r>
          </w:p>
        </w:tc>
        <w:tc>
          <w:tcPr>
            <w:tcW w:w="2835" w:type="dxa"/>
            <w:tcBorders>
              <w:top w:val="nil"/>
              <w:left w:val="nil"/>
              <w:bottom w:val="nil"/>
              <w:right w:val="nil"/>
            </w:tcBorders>
            <w:shd w:val="clear" w:color="auto" w:fill="auto"/>
            <w:noWrap/>
            <w:vAlign w:val="bottom"/>
            <w:hideMark/>
          </w:tcPr>
          <w:p w14:paraId="54860195"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881" w:type="dxa"/>
            <w:tcBorders>
              <w:top w:val="nil"/>
              <w:left w:val="nil"/>
              <w:bottom w:val="nil"/>
              <w:right w:val="nil"/>
            </w:tcBorders>
            <w:shd w:val="clear" w:color="auto" w:fill="auto"/>
            <w:noWrap/>
            <w:vAlign w:val="bottom"/>
            <w:hideMark/>
          </w:tcPr>
          <w:p w14:paraId="33F78F17"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3B3936A7"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1CF28195"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959" w:type="dxa"/>
            <w:tcBorders>
              <w:top w:val="nil"/>
              <w:left w:val="nil"/>
              <w:bottom w:val="nil"/>
              <w:right w:val="nil"/>
            </w:tcBorders>
            <w:shd w:val="clear" w:color="auto" w:fill="auto"/>
            <w:noWrap/>
            <w:vAlign w:val="bottom"/>
            <w:hideMark/>
          </w:tcPr>
          <w:p w14:paraId="1E61ED99"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2DE4D076"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3E1E1C74"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768" w:type="dxa"/>
            <w:tcBorders>
              <w:top w:val="nil"/>
              <w:left w:val="nil"/>
              <w:bottom w:val="nil"/>
              <w:right w:val="nil"/>
            </w:tcBorders>
            <w:shd w:val="clear" w:color="auto" w:fill="auto"/>
            <w:noWrap/>
            <w:vAlign w:val="bottom"/>
            <w:hideMark/>
          </w:tcPr>
          <w:p w14:paraId="243662F6"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557F4285"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0E27C947"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850" w:type="dxa"/>
            <w:tcBorders>
              <w:top w:val="nil"/>
              <w:left w:val="nil"/>
              <w:bottom w:val="nil"/>
              <w:right w:val="nil"/>
            </w:tcBorders>
            <w:shd w:val="clear" w:color="auto" w:fill="auto"/>
            <w:noWrap/>
            <w:vAlign w:val="bottom"/>
            <w:hideMark/>
          </w:tcPr>
          <w:p w14:paraId="27615DEB"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r>
      <w:tr w:rsidR="00D54129" w:rsidRPr="00397EC7" w14:paraId="2117D4DA" w14:textId="77777777" w:rsidTr="00D54129">
        <w:trPr>
          <w:trHeight w:val="170"/>
          <w:jc w:val="center"/>
        </w:trPr>
        <w:tc>
          <w:tcPr>
            <w:tcW w:w="3211" w:type="dxa"/>
            <w:tcBorders>
              <w:top w:val="nil"/>
              <w:left w:val="nil"/>
              <w:bottom w:val="nil"/>
              <w:right w:val="nil"/>
            </w:tcBorders>
            <w:shd w:val="clear" w:color="auto" w:fill="auto"/>
            <w:noWrap/>
            <w:vAlign w:val="bottom"/>
            <w:hideMark/>
          </w:tcPr>
          <w:p w14:paraId="4CED09A5"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no polypectomy</w:t>
            </w:r>
          </w:p>
        </w:tc>
        <w:tc>
          <w:tcPr>
            <w:tcW w:w="2835" w:type="dxa"/>
            <w:tcBorders>
              <w:top w:val="nil"/>
              <w:left w:val="nil"/>
              <w:bottom w:val="nil"/>
              <w:right w:val="nil"/>
            </w:tcBorders>
            <w:shd w:val="clear" w:color="auto" w:fill="auto"/>
            <w:noWrap/>
            <w:vAlign w:val="bottom"/>
            <w:hideMark/>
          </w:tcPr>
          <w:p w14:paraId="3C97D569"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81" w:type="dxa"/>
            <w:tcBorders>
              <w:top w:val="nil"/>
              <w:left w:val="nil"/>
              <w:bottom w:val="nil"/>
              <w:right w:val="nil"/>
            </w:tcBorders>
            <w:shd w:val="clear" w:color="auto" w:fill="auto"/>
            <w:noWrap/>
            <w:vAlign w:val="bottom"/>
            <w:hideMark/>
          </w:tcPr>
          <w:p w14:paraId="27E2E826"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46F0CCD3"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1EEE9E62"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59" w:type="dxa"/>
            <w:tcBorders>
              <w:top w:val="nil"/>
              <w:left w:val="nil"/>
              <w:bottom w:val="nil"/>
              <w:right w:val="nil"/>
            </w:tcBorders>
            <w:shd w:val="clear" w:color="auto" w:fill="auto"/>
            <w:noWrap/>
            <w:vAlign w:val="bottom"/>
            <w:hideMark/>
          </w:tcPr>
          <w:p w14:paraId="433EE660"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5F18C35F"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540BECD3"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768" w:type="dxa"/>
            <w:tcBorders>
              <w:top w:val="nil"/>
              <w:left w:val="nil"/>
              <w:bottom w:val="nil"/>
              <w:right w:val="nil"/>
            </w:tcBorders>
            <w:shd w:val="clear" w:color="auto" w:fill="auto"/>
            <w:noWrap/>
            <w:vAlign w:val="bottom"/>
            <w:hideMark/>
          </w:tcPr>
          <w:p w14:paraId="68894845"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75A6754D"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0DEEFCF1"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0" w:type="dxa"/>
            <w:tcBorders>
              <w:top w:val="nil"/>
              <w:left w:val="nil"/>
              <w:bottom w:val="nil"/>
              <w:right w:val="nil"/>
            </w:tcBorders>
            <w:shd w:val="clear" w:color="auto" w:fill="auto"/>
            <w:noWrap/>
            <w:vAlign w:val="bottom"/>
            <w:hideMark/>
          </w:tcPr>
          <w:p w14:paraId="246A67AB"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r>
      <w:tr w:rsidR="00D54129" w:rsidRPr="00397EC7" w14:paraId="449EB6E3" w14:textId="77777777" w:rsidTr="00D54129">
        <w:trPr>
          <w:trHeight w:val="170"/>
          <w:jc w:val="center"/>
        </w:trPr>
        <w:tc>
          <w:tcPr>
            <w:tcW w:w="3211" w:type="dxa"/>
            <w:tcBorders>
              <w:top w:val="nil"/>
              <w:left w:val="nil"/>
              <w:bottom w:val="nil"/>
              <w:right w:val="nil"/>
            </w:tcBorders>
            <w:shd w:val="clear" w:color="auto" w:fill="auto"/>
            <w:noWrap/>
            <w:vAlign w:val="bottom"/>
            <w:hideMark/>
          </w:tcPr>
          <w:p w14:paraId="2A4D7ED9"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polyp &lt;1 cm</w:t>
            </w:r>
          </w:p>
        </w:tc>
        <w:tc>
          <w:tcPr>
            <w:tcW w:w="2835" w:type="dxa"/>
            <w:tcBorders>
              <w:top w:val="nil"/>
              <w:left w:val="nil"/>
              <w:bottom w:val="nil"/>
              <w:right w:val="nil"/>
            </w:tcBorders>
            <w:shd w:val="clear" w:color="auto" w:fill="auto"/>
            <w:noWrap/>
            <w:vAlign w:val="bottom"/>
            <w:hideMark/>
          </w:tcPr>
          <w:p w14:paraId="7A08018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0.15 [0.12-0.20]</w:t>
            </w:r>
          </w:p>
        </w:tc>
        <w:tc>
          <w:tcPr>
            <w:tcW w:w="881" w:type="dxa"/>
            <w:tcBorders>
              <w:top w:val="nil"/>
              <w:left w:val="nil"/>
              <w:bottom w:val="nil"/>
              <w:right w:val="nil"/>
            </w:tcBorders>
            <w:shd w:val="clear" w:color="auto" w:fill="auto"/>
            <w:noWrap/>
            <w:vAlign w:val="bottom"/>
            <w:hideMark/>
          </w:tcPr>
          <w:p w14:paraId="202F88D0"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5AA05546"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53F443BB"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0.46 [0.35-0.62]</w:t>
            </w:r>
          </w:p>
        </w:tc>
        <w:tc>
          <w:tcPr>
            <w:tcW w:w="959" w:type="dxa"/>
            <w:tcBorders>
              <w:top w:val="nil"/>
              <w:left w:val="nil"/>
              <w:bottom w:val="nil"/>
              <w:right w:val="nil"/>
            </w:tcBorders>
            <w:shd w:val="clear" w:color="auto" w:fill="auto"/>
            <w:noWrap/>
            <w:vAlign w:val="bottom"/>
            <w:hideMark/>
          </w:tcPr>
          <w:p w14:paraId="5CD74CF3"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4AAFF552"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5B632BF8"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0.62 [0.51-0.74]</w:t>
            </w:r>
          </w:p>
        </w:tc>
        <w:tc>
          <w:tcPr>
            <w:tcW w:w="768" w:type="dxa"/>
            <w:tcBorders>
              <w:top w:val="nil"/>
              <w:left w:val="nil"/>
              <w:bottom w:val="nil"/>
              <w:right w:val="nil"/>
            </w:tcBorders>
            <w:shd w:val="clear" w:color="auto" w:fill="auto"/>
            <w:noWrap/>
            <w:vAlign w:val="bottom"/>
            <w:hideMark/>
          </w:tcPr>
          <w:p w14:paraId="069AB97D"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78CAB591"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13A46E9E"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0.44 [0.37-0.52]</w:t>
            </w:r>
          </w:p>
        </w:tc>
        <w:tc>
          <w:tcPr>
            <w:tcW w:w="850" w:type="dxa"/>
            <w:tcBorders>
              <w:top w:val="nil"/>
              <w:left w:val="nil"/>
              <w:bottom w:val="nil"/>
              <w:right w:val="nil"/>
            </w:tcBorders>
            <w:shd w:val="clear" w:color="auto" w:fill="auto"/>
            <w:noWrap/>
            <w:vAlign w:val="bottom"/>
            <w:hideMark/>
          </w:tcPr>
          <w:p w14:paraId="26346F4D"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D54129" w:rsidRPr="00397EC7" w14:paraId="3CBC20FD" w14:textId="77777777" w:rsidTr="00D54129">
        <w:trPr>
          <w:trHeight w:val="170"/>
          <w:jc w:val="center"/>
        </w:trPr>
        <w:tc>
          <w:tcPr>
            <w:tcW w:w="3211" w:type="dxa"/>
            <w:tcBorders>
              <w:top w:val="nil"/>
              <w:left w:val="nil"/>
              <w:bottom w:val="nil"/>
              <w:right w:val="nil"/>
            </w:tcBorders>
            <w:shd w:val="clear" w:color="auto" w:fill="auto"/>
            <w:noWrap/>
            <w:vAlign w:val="bottom"/>
            <w:hideMark/>
          </w:tcPr>
          <w:p w14:paraId="17DAFB1C"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polyp &gt;1 cm</w:t>
            </w:r>
          </w:p>
        </w:tc>
        <w:tc>
          <w:tcPr>
            <w:tcW w:w="2835" w:type="dxa"/>
            <w:tcBorders>
              <w:top w:val="nil"/>
              <w:left w:val="nil"/>
              <w:bottom w:val="nil"/>
              <w:right w:val="nil"/>
            </w:tcBorders>
            <w:shd w:val="clear" w:color="auto" w:fill="auto"/>
            <w:noWrap/>
            <w:vAlign w:val="bottom"/>
            <w:hideMark/>
          </w:tcPr>
          <w:p w14:paraId="46E01014"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0.65 [0.49-0.87]</w:t>
            </w:r>
          </w:p>
        </w:tc>
        <w:tc>
          <w:tcPr>
            <w:tcW w:w="881" w:type="dxa"/>
            <w:tcBorders>
              <w:top w:val="nil"/>
              <w:left w:val="nil"/>
              <w:bottom w:val="nil"/>
              <w:right w:val="nil"/>
            </w:tcBorders>
            <w:shd w:val="clear" w:color="auto" w:fill="auto"/>
            <w:noWrap/>
            <w:vAlign w:val="bottom"/>
            <w:hideMark/>
          </w:tcPr>
          <w:p w14:paraId="1CD59DDE"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0.0032</w:t>
            </w:r>
          </w:p>
        </w:tc>
        <w:tc>
          <w:tcPr>
            <w:tcW w:w="191" w:type="dxa"/>
            <w:tcBorders>
              <w:top w:val="nil"/>
              <w:left w:val="nil"/>
              <w:bottom w:val="nil"/>
              <w:right w:val="nil"/>
            </w:tcBorders>
            <w:shd w:val="clear" w:color="auto" w:fill="auto"/>
            <w:noWrap/>
            <w:vAlign w:val="bottom"/>
            <w:hideMark/>
          </w:tcPr>
          <w:p w14:paraId="4A1615E1"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4C523679"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0.91 [0.57-1.45]</w:t>
            </w:r>
          </w:p>
        </w:tc>
        <w:tc>
          <w:tcPr>
            <w:tcW w:w="959" w:type="dxa"/>
            <w:tcBorders>
              <w:top w:val="nil"/>
              <w:left w:val="nil"/>
              <w:bottom w:val="nil"/>
              <w:right w:val="nil"/>
            </w:tcBorders>
            <w:shd w:val="clear" w:color="auto" w:fill="auto"/>
            <w:noWrap/>
            <w:vAlign w:val="bottom"/>
            <w:hideMark/>
          </w:tcPr>
          <w:p w14:paraId="0900A2B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0.70</w:t>
            </w:r>
          </w:p>
        </w:tc>
        <w:tc>
          <w:tcPr>
            <w:tcW w:w="191" w:type="dxa"/>
            <w:tcBorders>
              <w:top w:val="nil"/>
              <w:left w:val="nil"/>
              <w:bottom w:val="nil"/>
              <w:right w:val="nil"/>
            </w:tcBorders>
            <w:shd w:val="clear" w:color="auto" w:fill="auto"/>
            <w:noWrap/>
            <w:vAlign w:val="bottom"/>
            <w:hideMark/>
          </w:tcPr>
          <w:p w14:paraId="786F0963"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56C82309"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1.30 [0.98-1.72]</w:t>
            </w:r>
          </w:p>
        </w:tc>
        <w:tc>
          <w:tcPr>
            <w:tcW w:w="768" w:type="dxa"/>
            <w:tcBorders>
              <w:top w:val="nil"/>
              <w:left w:val="nil"/>
              <w:bottom w:val="nil"/>
              <w:right w:val="nil"/>
            </w:tcBorders>
            <w:shd w:val="clear" w:color="auto" w:fill="auto"/>
            <w:noWrap/>
            <w:vAlign w:val="bottom"/>
            <w:hideMark/>
          </w:tcPr>
          <w:p w14:paraId="56F4E4B6"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0.066</w:t>
            </w:r>
          </w:p>
        </w:tc>
        <w:tc>
          <w:tcPr>
            <w:tcW w:w="191" w:type="dxa"/>
            <w:tcBorders>
              <w:top w:val="nil"/>
              <w:left w:val="nil"/>
              <w:bottom w:val="nil"/>
              <w:right w:val="nil"/>
            </w:tcBorders>
            <w:shd w:val="clear" w:color="auto" w:fill="auto"/>
            <w:noWrap/>
            <w:vAlign w:val="bottom"/>
            <w:hideMark/>
          </w:tcPr>
          <w:p w14:paraId="0BF70F29"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200D40BC"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0.92 [0.71-1.18]</w:t>
            </w:r>
          </w:p>
        </w:tc>
        <w:tc>
          <w:tcPr>
            <w:tcW w:w="850" w:type="dxa"/>
            <w:tcBorders>
              <w:top w:val="nil"/>
              <w:left w:val="nil"/>
              <w:bottom w:val="nil"/>
              <w:right w:val="nil"/>
            </w:tcBorders>
            <w:shd w:val="clear" w:color="auto" w:fill="auto"/>
            <w:noWrap/>
            <w:vAlign w:val="bottom"/>
            <w:hideMark/>
          </w:tcPr>
          <w:p w14:paraId="37791F8C"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0.51</w:t>
            </w:r>
          </w:p>
        </w:tc>
      </w:tr>
      <w:tr w:rsidR="00D54129" w:rsidRPr="00397EC7" w14:paraId="3C1B5B3C" w14:textId="77777777" w:rsidTr="00D54129">
        <w:trPr>
          <w:trHeight w:val="170"/>
          <w:jc w:val="center"/>
        </w:trPr>
        <w:tc>
          <w:tcPr>
            <w:tcW w:w="3211" w:type="dxa"/>
            <w:tcBorders>
              <w:top w:val="nil"/>
              <w:left w:val="nil"/>
              <w:bottom w:val="nil"/>
              <w:right w:val="nil"/>
            </w:tcBorders>
            <w:shd w:val="clear" w:color="auto" w:fill="auto"/>
            <w:noWrap/>
            <w:vAlign w:val="bottom"/>
            <w:hideMark/>
          </w:tcPr>
          <w:p w14:paraId="184A6FAA" w14:textId="77777777" w:rsidR="00D54129" w:rsidRPr="00397EC7" w:rsidRDefault="00D54129" w:rsidP="00DB5008">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Sedation</w:t>
            </w:r>
          </w:p>
        </w:tc>
        <w:tc>
          <w:tcPr>
            <w:tcW w:w="2835" w:type="dxa"/>
            <w:tcBorders>
              <w:top w:val="nil"/>
              <w:left w:val="nil"/>
              <w:bottom w:val="nil"/>
              <w:right w:val="nil"/>
            </w:tcBorders>
            <w:shd w:val="clear" w:color="auto" w:fill="auto"/>
            <w:noWrap/>
            <w:vAlign w:val="bottom"/>
            <w:hideMark/>
          </w:tcPr>
          <w:p w14:paraId="7AAA99DB"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881" w:type="dxa"/>
            <w:tcBorders>
              <w:top w:val="nil"/>
              <w:left w:val="nil"/>
              <w:bottom w:val="nil"/>
              <w:right w:val="nil"/>
            </w:tcBorders>
            <w:shd w:val="clear" w:color="auto" w:fill="auto"/>
            <w:noWrap/>
            <w:vAlign w:val="bottom"/>
            <w:hideMark/>
          </w:tcPr>
          <w:p w14:paraId="7DDD633C"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3134FE97"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5917C231"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959" w:type="dxa"/>
            <w:tcBorders>
              <w:top w:val="nil"/>
              <w:left w:val="nil"/>
              <w:bottom w:val="nil"/>
              <w:right w:val="nil"/>
            </w:tcBorders>
            <w:shd w:val="clear" w:color="auto" w:fill="auto"/>
            <w:noWrap/>
            <w:vAlign w:val="bottom"/>
            <w:hideMark/>
          </w:tcPr>
          <w:p w14:paraId="7F81BBBF"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2F0C8872"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0EDB5336"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768" w:type="dxa"/>
            <w:tcBorders>
              <w:top w:val="nil"/>
              <w:left w:val="nil"/>
              <w:bottom w:val="nil"/>
              <w:right w:val="nil"/>
            </w:tcBorders>
            <w:shd w:val="clear" w:color="auto" w:fill="auto"/>
            <w:noWrap/>
            <w:vAlign w:val="bottom"/>
            <w:hideMark/>
          </w:tcPr>
          <w:p w14:paraId="0F13F146"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0B1BB5D1"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411ACCEC"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850" w:type="dxa"/>
            <w:tcBorders>
              <w:top w:val="nil"/>
              <w:left w:val="nil"/>
              <w:bottom w:val="nil"/>
              <w:right w:val="nil"/>
            </w:tcBorders>
            <w:shd w:val="clear" w:color="auto" w:fill="auto"/>
            <w:noWrap/>
            <w:vAlign w:val="bottom"/>
            <w:hideMark/>
          </w:tcPr>
          <w:p w14:paraId="3C3443D7"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r>
      <w:tr w:rsidR="00D54129" w:rsidRPr="00397EC7" w14:paraId="74A18E6D" w14:textId="77777777" w:rsidTr="00D54129">
        <w:trPr>
          <w:trHeight w:val="170"/>
          <w:jc w:val="center"/>
        </w:trPr>
        <w:tc>
          <w:tcPr>
            <w:tcW w:w="3211" w:type="dxa"/>
            <w:tcBorders>
              <w:top w:val="nil"/>
              <w:left w:val="nil"/>
              <w:bottom w:val="nil"/>
              <w:right w:val="nil"/>
            </w:tcBorders>
            <w:shd w:val="clear" w:color="auto" w:fill="auto"/>
            <w:noWrap/>
            <w:vAlign w:val="bottom"/>
            <w:hideMark/>
          </w:tcPr>
          <w:p w14:paraId="0087D542"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no</w:t>
            </w:r>
          </w:p>
        </w:tc>
        <w:tc>
          <w:tcPr>
            <w:tcW w:w="2835" w:type="dxa"/>
            <w:tcBorders>
              <w:top w:val="nil"/>
              <w:left w:val="nil"/>
              <w:bottom w:val="nil"/>
              <w:right w:val="nil"/>
            </w:tcBorders>
            <w:shd w:val="clear" w:color="auto" w:fill="auto"/>
            <w:noWrap/>
            <w:vAlign w:val="bottom"/>
            <w:hideMark/>
          </w:tcPr>
          <w:p w14:paraId="760CEAE3"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81" w:type="dxa"/>
            <w:tcBorders>
              <w:top w:val="nil"/>
              <w:left w:val="nil"/>
              <w:bottom w:val="nil"/>
              <w:right w:val="nil"/>
            </w:tcBorders>
            <w:shd w:val="clear" w:color="auto" w:fill="auto"/>
            <w:noWrap/>
            <w:vAlign w:val="bottom"/>
            <w:hideMark/>
          </w:tcPr>
          <w:p w14:paraId="689C0338"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44347135"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2AE7CD61"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59" w:type="dxa"/>
            <w:tcBorders>
              <w:top w:val="nil"/>
              <w:left w:val="nil"/>
              <w:bottom w:val="nil"/>
              <w:right w:val="nil"/>
            </w:tcBorders>
            <w:shd w:val="clear" w:color="auto" w:fill="auto"/>
            <w:noWrap/>
            <w:vAlign w:val="bottom"/>
            <w:hideMark/>
          </w:tcPr>
          <w:p w14:paraId="19BED4E3"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48F9C95A"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31AE6713"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768" w:type="dxa"/>
            <w:tcBorders>
              <w:top w:val="nil"/>
              <w:left w:val="nil"/>
              <w:bottom w:val="nil"/>
              <w:right w:val="nil"/>
            </w:tcBorders>
            <w:shd w:val="clear" w:color="auto" w:fill="auto"/>
            <w:noWrap/>
            <w:vAlign w:val="bottom"/>
            <w:hideMark/>
          </w:tcPr>
          <w:p w14:paraId="0AB51487"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5FE1439A"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5FEB4C80"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0" w:type="dxa"/>
            <w:tcBorders>
              <w:top w:val="nil"/>
              <w:left w:val="nil"/>
              <w:bottom w:val="nil"/>
              <w:right w:val="nil"/>
            </w:tcBorders>
            <w:shd w:val="clear" w:color="auto" w:fill="auto"/>
            <w:noWrap/>
            <w:vAlign w:val="bottom"/>
            <w:hideMark/>
          </w:tcPr>
          <w:p w14:paraId="60E2B75E"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r>
      <w:tr w:rsidR="00D54129" w:rsidRPr="00397EC7" w14:paraId="3FDDE6F8" w14:textId="77777777" w:rsidTr="00ED57E0">
        <w:trPr>
          <w:trHeight w:val="170"/>
          <w:jc w:val="center"/>
        </w:trPr>
        <w:tc>
          <w:tcPr>
            <w:tcW w:w="3211" w:type="dxa"/>
            <w:tcBorders>
              <w:top w:val="nil"/>
              <w:left w:val="nil"/>
              <w:right w:val="nil"/>
            </w:tcBorders>
            <w:shd w:val="clear" w:color="auto" w:fill="auto"/>
            <w:noWrap/>
            <w:vAlign w:val="bottom"/>
            <w:hideMark/>
          </w:tcPr>
          <w:p w14:paraId="74E1E068"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yes</w:t>
            </w:r>
          </w:p>
        </w:tc>
        <w:tc>
          <w:tcPr>
            <w:tcW w:w="2835" w:type="dxa"/>
            <w:tcBorders>
              <w:top w:val="nil"/>
              <w:left w:val="nil"/>
              <w:right w:val="nil"/>
            </w:tcBorders>
            <w:shd w:val="clear" w:color="auto" w:fill="auto"/>
            <w:noWrap/>
            <w:vAlign w:val="bottom"/>
            <w:hideMark/>
          </w:tcPr>
          <w:p w14:paraId="186AFCE1"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0.04 [0.04-0.05]</w:t>
            </w:r>
          </w:p>
        </w:tc>
        <w:tc>
          <w:tcPr>
            <w:tcW w:w="881" w:type="dxa"/>
            <w:tcBorders>
              <w:top w:val="nil"/>
              <w:left w:val="nil"/>
              <w:right w:val="nil"/>
            </w:tcBorders>
            <w:shd w:val="clear" w:color="auto" w:fill="auto"/>
            <w:noWrap/>
            <w:vAlign w:val="bottom"/>
            <w:hideMark/>
          </w:tcPr>
          <w:p w14:paraId="5B740A65"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right w:val="nil"/>
            </w:tcBorders>
            <w:shd w:val="clear" w:color="auto" w:fill="auto"/>
            <w:noWrap/>
            <w:vAlign w:val="bottom"/>
            <w:hideMark/>
          </w:tcPr>
          <w:p w14:paraId="0DBFA98C"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right w:val="nil"/>
            </w:tcBorders>
            <w:shd w:val="clear" w:color="auto" w:fill="auto"/>
            <w:noWrap/>
            <w:vAlign w:val="bottom"/>
            <w:hideMark/>
          </w:tcPr>
          <w:p w14:paraId="0CD82612"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0.08 [0.06-0.10]</w:t>
            </w:r>
          </w:p>
        </w:tc>
        <w:tc>
          <w:tcPr>
            <w:tcW w:w="959" w:type="dxa"/>
            <w:tcBorders>
              <w:top w:val="nil"/>
              <w:left w:val="nil"/>
              <w:right w:val="nil"/>
            </w:tcBorders>
            <w:shd w:val="clear" w:color="auto" w:fill="auto"/>
            <w:noWrap/>
            <w:vAlign w:val="bottom"/>
            <w:hideMark/>
          </w:tcPr>
          <w:p w14:paraId="5B393B95"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right w:val="nil"/>
            </w:tcBorders>
            <w:shd w:val="clear" w:color="auto" w:fill="auto"/>
            <w:noWrap/>
            <w:vAlign w:val="bottom"/>
            <w:hideMark/>
          </w:tcPr>
          <w:p w14:paraId="3DAFA210"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right w:val="nil"/>
            </w:tcBorders>
            <w:shd w:val="clear" w:color="auto" w:fill="auto"/>
            <w:noWrap/>
            <w:vAlign w:val="bottom"/>
            <w:hideMark/>
          </w:tcPr>
          <w:p w14:paraId="15E91EF9"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0.13 [0.11-0.16]</w:t>
            </w:r>
          </w:p>
        </w:tc>
        <w:tc>
          <w:tcPr>
            <w:tcW w:w="768" w:type="dxa"/>
            <w:tcBorders>
              <w:top w:val="nil"/>
              <w:left w:val="nil"/>
              <w:right w:val="nil"/>
            </w:tcBorders>
            <w:shd w:val="clear" w:color="auto" w:fill="auto"/>
            <w:noWrap/>
            <w:vAlign w:val="bottom"/>
            <w:hideMark/>
          </w:tcPr>
          <w:p w14:paraId="2B560429"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right w:val="nil"/>
            </w:tcBorders>
            <w:shd w:val="clear" w:color="auto" w:fill="auto"/>
            <w:noWrap/>
            <w:vAlign w:val="bottom"/>
            <w:hideMark/>
          </w:tcPr>
          <w:p w14:paraId="1DEA5A3C"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right w:val="nil"/>
            </w:tcBorders>
            <w:shd w:val="clear" w:color="auto" w:fill="auto"/>
            <w:noWrap/>
            <w:vAlign w:val="bottom"/>
            <w:hideMark/>
          </w:tcPr>
          <w:p w14:paraId="42947242"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0.17 [0.14-0.20]</w:t>
            </w:r>
          </w:p>
        </w:tc>
        <w:tc>
          <w:tcPr>
            <w:tcW w:w="850" w:type="dxa"/>
            <w:tcBorders>
              <w:top w:val="nil"/>
              <w:left w:val="nil"/>
              <w:right w:val="nil"/>
            </w:tcBorders>
            <w:shd w:val="clear" w:color="auto" w:fill="auto"/>
            <w:noWrap/>
            <w:vAlign w:val="bottom"/>
            <w:hideMark/>
          </w:tcPr>
          <w:p w14:paraId="53F02C3C"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ED57E0" w:rsidRPr="00397EC7" w14:paraId="1FF7575C" w14:textId="77777777" w:rsidTr="00ED57E0">
        <w:trPr>
          <w:trHeight w:val="170"/>
          <w:jc w:val="center"/>
        </w:trPr>
        <w:tc>
          <w:tcPr>
            <w:tcW w:w="3211" w:type="dxa"/>
            <w:tcBorders>
              <w:top w:val="nil"/>
              <w:left w:val="nil"/>
              <w:right w:val="nil"/>
            </w:tcBorders>
            <w:shd w:val="clear" w:color="auto" w:fill="auto"/>
            <w:noWrap/>
            <w:vAlign w:val="center"/>
          </w:tcPr>
          <w:p w14:paraId="0BA3559F" w14:textId="3F5FD9CE" w:rsidR="00ED57E0" w:rsidRPr="00397EC7" w:rsidRDefault="00ED57E0" w:rsidP="00DB5008">
            <w:pPr>
              <w:spacing w:after="0" w:line="240" w:lineRule="auto"/>
              <w:jc w:val="left"/>
              <w:rPr>
                <w:rFonts w:eastAsia="Times New Roman" w:cs="Arial"/>
                <w:color w:val="000000"/>
                <w:sz w:val="18"/>
                <w:szCs w:val="18"/>
                <w:lang w:val="en-GB" w:eastAsia="fr-FR"/>
              </w:rPr>
            </w:pPr>
            <w:r w:rsidRPr="00397EC7">
              <w:rPr>
                <w:rFonts w:eastAsia="Times New Roman"/>
                <w:b/>
                <w:bCs/>
                <w:i/>
                <w:iCs/>
                <w:color w:val="000000"/>
                <w:sz w:val="18"/>
                <w:szCs w:val="18"/>
                <w:lang w:val="en-GB" w:eastAsia="fr-FR"/>
              </w:rPr>
              <w:t>Complete colonoscopy</w:t>
            </w:r>
          </w:p>
        </w:tc>
        <w:tc>
          <w:tcPr>
            <w:tcW w:w="2835" w:type="dxa"/>
            <w:tcBorders>
              <w:top w:val="nil"/>
              <w:left w:val="nil"/>
              <w:right w:val="nil"/>
            </w:tcBorders>
            <w:shd w:val="clear" w:color="auto" w:fill="auto"/>
            <w:noWrap/>
            <w:vAlign w:val="bottom"/>
          </w:tcPr>
          <w:p w14:paraId="14185C07" w14:textId="77777777" w:rsidR="00ED57E0" w:rsidRPr="00397EC7" w:rsidRDefault="00ED57E0" w:rsidP="00DB5008">
            <w:pPr>
              <w:spacing w:after="0" w:line="240" w:lineRule="auto"/>
              <w:jc w:val="center"/>
              <w:rPr>
                <w:rFonts w:eastAsia="Times New Roman" w:cs="Arial"/>
                <w:color w:val="000000"/>
                <w:sz w:val="18"/>
                <w:szCs w:val="18"/>
                <w:lang w:val="en-GB" w:eastAsia="fr-FR"/>
              </w:rPr>
            </w:pPr>
          </w:p>
        </w:tc>
        <w:tc>
          <w:tcPr>
            <w:tcW w:w="881" w:type="dxa"/>
            <w:tcBorders>
              <w:top w:val="nil"/>
              <w:left w:val="nil"/>
              <w:right w:val="nil"/>
            </w:tcBorders>
            <w:shd w:val="clear" w:color="auto" w:fill="auto"/>
            <w:noWrap/>
            <w:vAlign w:val="bottom"/>
          </w:tcPr>
          <w:p w14:paraId="058F32EA" w14:textId="77777777" w:rsidR="00ED57E0" w:rsidRPr="00397EC7" w:rsidRDefault="00ED57E0"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right w:val="nil"/>
            </w:tcBorders>
            <w:shd w:val="clear" w:color="auto" w:fill="auto"/>
            <w:noWrap/>
            <w:vAlign w:val="bottom"/>
          </w:tcPr>
          <w:p w14:paraId="61A10197" w14:textId="77777777" w:rsidR="00ED57E0" w:rsidRPr="00397EC7" w:rsidRDefault="00ED57E0" w:rsidP="00DB5008">
            <w:pPr>
              <w:spacing w:after="0" w:line="240" w:lineRule="auto"/>
              <w:jc w:val="left"/>
              <w:rPr>
                <w:rFonts w:eastAsia="Times New Roman" w:cs="Arial"/>
                <w:color w:val="000000"/>
                <w:sz w:val="18"/>
                <w:szCs w:val="18"/>
                <w:lang w:val="en-GB" w:eastAsia="fr-FR"/>
              </w:rPr>
            </w:pPr>
          </w:p>
        </w:tc>
        <w:tc>
          <w:tcPr>
            <w:tcW w:w="2796" w:type="dxa"/>
            <w:tcBorders>
              <w:top w:val="nil"/>
              <w:left w:val="nil"/>
              <w:right w:val="nil"/>
            </w:tcBorders>
            <w:shd w:val="clear" w:color="auto" w:fill="auto"/>
            <w:noWrap/>
            <w:vAlign w:val="bottom"/>
          </w:tcPr>
          <w:p w14:paraId="78C6DBBD" w14:textId="77777777" w:rsidR="00ED57E0" w:rsidRPr="00397EC7" w:rsidRDefault="00ED57E0" w:rsidP="00DB5008">
            <w:pPr>
              <w:spacing w:after="0" w:line="240" w:lineRule="auto"/>
              <w:jc w:val="center"/>
              <w:rPr>
                <w:rFonts w:eastAsia="Times New Roman" w:cs="Arial"/>
                <w:color w:val="000000"/>
                <w:sz w:val="18"/>
                <w:szCs w:val="18"/>
                <w:lang w:val="en-GB" w:eastAsia="fr-FR"/>
              </w:rPr>
            </w:pPr>
          </w:p>
        </w:tc>
        <w:tc>
          <w:tcPr>
            <w:tcW w:w="959" w:type="dxa"/>
            <w:tcBorders>
              <w:top w:val="nil"/>
              <w:left w:val="nil"/>
              <w:right w:val="nil"/>
            </w:tcBorders>
            <w:shd w:val="clear" w:color="auto" w:fill="auto"/>
            <w:noWrap/>
            <w:vAlign w:val="bottom"/>
          </w:tcPr>
          <w:p w14:paraId="7FE8D259" w14:textId="77777777" w:rsidR="00ED57E0" w:rsidRPr="00397EC7" w:rsidRDefault="00ED57E0"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right w:val="nil"/>
            </w:tcBorders>
            <w:shd w:val="clear" w:color="auto" w:fill="auto"/>
            <w:noWrap/>
            <w:vAlign w:val="bottom"/>
          </w:tcPr>
          <w:p w14:paraId="21DAA7BB" w14:textId="77777777" w:rsidR="00ED57E0" w:rsidRPr="00397EC7" w:rsidRDefault="00ED57E0" w:rsidP="00DB5008">
            <w:pPr>
              <w:spacing w:after="0" w:line="240" w:lineRule="auto"/>
              <w:jc w:val="left"/>
              <w:rPr>
                <w:rFonts w:eastAsia="Times New Roman" w:cs="Arial"/>
                <w:color w:val="000000"/>
                <w:sz w:val="18"/>
                <w:szCs w:val="18"/>
                <w:lang w:val="en-GB" w:eastAsia="fr-FR"/>
              </w:rPr>
            </w:pPr>
          </w:p>
        </w:tc>
        <w:tc>
          <w:tcPr>
            <w:tcW w:w="1760" w:type="dxa"/>
            <w:tcBorders>
              <w:top w:val="nil"/>
              <w:left w:val="nil"/>
              <w:right w:val="nil"/>
            </w:tcBorders>
            <w:shd w:val="clear" w:color="auto" w:fill="auto"/>
            <w:noWrap/>
            <w:vAlign w:val="bottom"/>
          </w:tcPr>
          <w:p w14:paraId="5C616D19" w14:textId="77777777" w:rsidR="00ED57E0" w:rsidRPr="00397EC7" w:rsidRDefault="00ED57E0" w:rsidP="00DB5008">
            <w:pPr>
              <w:spacing w:after="0" w:line="240" w:lineRule="auto"/>
              <w:jc w:val="center"/>
              <w:rPr>
                <w:rFonts w:eastAsia="Times New Roman" w:cs="Arial"/>
                <w:color w:val="000000"/>
                <w:sz w:val="18"/>
                <w:szCs w:val="18"/>
                <w:lang w:val="en-GB" w:eastAsia="fr-FR"/>
              </w:rPr>
            </w:pPr>
          </w:p>
        </w:tc>
        <w:tc>
          <w:tcPr>
            <w:tcW w:w="768" w:type="dxa"/>
            <w:tcBorders>
              <w:top w:val="nil"/>
              <w:left w:val="nil"/>
              <w:right w:val="nil"/>
            </w:tcBorders>
            <w:shd w:val="clear" w:color="auto" w:fill="auto"/>
            <w:noWrap/>
            <w:vAlign w:val="bottom"/>
          </w:tcPr>
          <w:p w14:paraId="20A352D1" w14:textId="77777777" w:rsidR="00ED57E0" w:rsidRPr="00397EC7" w:rsidRDefault="00ED57E0"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right w:val="nil"/>
            </w:tcBorders>
            <w:shd w:val="clear" w:color="auto" w:fill="auto"/>
            <w:noWrap/>
            <w:vAlign w:val="bottom"/>
          </w:tcPr>
          <w:p w14:paraId="34ACE3A2" w14:textId="77777777" w:rsidR="00ED57E0" w:rsidRPr="00397EC7" w:rsidRDefault="00ED57E0" w:rsidP="00DB5008">
            <w:pPr>
              <w:spacing w:after="0" w:line="240" w:lineRule="auto"/>
              <w:jc w:val="left"/>
              <w:rPr>
                <w:rFonts w:eastAsia="Times New Roman" w:cs="Arial"/>
                <w:color w:val="000000"/>
                <w:sz w:val="18"/>
                <w:szCs w:val="18"/>
                <w:lang w:val="en-GB" w:eastAsia="fr-FR"/>
              </w:rPr>
            </w:pPr>
          </w:p>
        </w:tc>
        <w:tc>
          <w:tcPr>
            <w:tcW w:w="1621" w:type="dxa"/>
            <w:tcBorders>
              <w:top w:val="nil"/>
              <w:left w:val="nil"/>
              <w:right w:val="nil"/>
            </w:tcBorders>
            <w:shd w:val="clear" w:color="auto" w:fill="auto"/>
            <w:noWrap/>
            <w:vAlign w:val="bottom"/>
          </w:tcPr>
          <w:p w14:paraId="67A5912B" w14:textId="77777777" w:rsidR="00ED57E0" w:rsidRPr="00397EC7" w:rsidRDefault="00ED57E0" w:rsidP="00DB5008">
            <w:pPr>
              <w:spacing w:after="0" w:line="240" w:lineRule="auto"/>
              <w:jc w:val="center"/>
              <w:rPr>
                <w:rFonts w:eastAsia="Times New Roman" w:cs="Arial"/>
                <w:color w:val="000000"/>
                <w:sz w:val="18"/>
                <w:szCs w:val="18"/>
                <w:lang w:val="en-GB" w:eastAsia="fr-FR"/>
              </w:rPr>
            </w:pPr>
          </w:p>
        </w:tc>
        <w:tc>
          <w:tcPr>
            <w:tcW w:w="850" w:type="dxa"/>
            <w:tcBorders>
              <w:top w:val="nil"/>
              <w:left w:val="nil"/>
              <w:right w:val="nil"/>
            </w:tcBorders>
            <w:shd w:val="clear" w:color="auto" w:fill="auto"/>
            <w:noWrap/>
            <w:vAlign w:val="bottom"/>
          </w:tcPr>
          <w:p w14:paraId="55BF1E39" w14:textId="77777777" w:rsidR="00ED57E0" w:rsidRPr="00397EC7" w:rsidRDefault="00ED57E0" w:rsidP="00DB5008">
            <w:pPr>
              <w:spacing w:after="0" w:line="240" w:lineRule="auto"/>
              <w:jc w:val="center"/>
              <w:rPr>
                <w:rFonts w:eastAsia="Times New Roman" w:cs="Arial"/>
                <w:color w:val="000000"/>
                <w:sz w:val="18"/>
                <w:szCs w:val="18"/>
                <w:lang w:val="en-GB" w:eastAsia="fr-FR"/>
              </w:rPr>
            </w:pPr>
          </w:p>
        </w:tc>
      </w:tr>
      <w:tr w:rsidR="00BC4CCE" w:rsidRPr="00397EC7" w14:paraId="4D0DC0CA" w14:textId="77777777" w:rsidTr="00D06E0F">
        <w:trPr>
          <w:trHeight w:val="170"/>
          <w:jc w:val="center"/>
        </w:trPr>
        <w:tc>
          <w:tcPr>
            <w:tcW w:w="3211" w:type="dxa"/>
            <w:tcBorders>
              <w:top w:val="nil"/>
              <w:left w:val="nil"/>
              <w:right w:val="nil"/>
            </w:tcBorders>
            <w:shd w:val="clear" w:color="auto" w:fill="auto"/>
            <w:noWrap/>
            <w:vAlign w:val="center"/>
          </w:tcPr>
          <w:p w14:paraId="6EDF386A" w14:textId="5B3380F0" w:rsidR="00BC4CCE" w:rsidRPr="00397EC7" w:rsidRDefault="00BC4CCE" w:rsidP="00DB5008">
            <w:pPr>
              <w:spacing w:after="0" w:line="240" w:lineRule="auto"/>
              <w:jc w:val="left"/>
              <w:rPr>
                <w:rFonts w:eastAsia="Times New Roman" w:cs="Arial"/>
                <w:color w:val="000000"/>
                <w:sz w:val="18"/>
                <w:szCs w:val="18"/>
                <w:lang w:val="en-GB" w:eastAsia="fr-FR"/>
              </w:rPr>
            </w:pPr>
            <w:r w:rsidRPr="00D06E0F">
              <w:rPr>
                <w:rFonts w:eastAsia="Times New Roman"/>
                <w:color w:val="000000"/>
                <w:sz w:val="18"/>
                <w:szCs w:val="18"/>
                <w:lang w:val="en-GB" w:eastAsia="fr-FR"/>
              </w:rPr>
              <w:t xml:space="preserve">  no</w:t>
            </w:r>
          </w:p>
        </w:tc>
        <w:tc>
          <w:tcPr>
            <w:tcW w:w="2835" w:type="dxa"/>
            <w:tcBorders>
              <w:top w:val="nil"/>
              <w:left w:val="nil"/>
              <w:right w:val="nil"/>
            </w:tcBorders>
            <w:shd w:val="clear" w:color="auto" w:fill="auto"/>
            <w:noWrap/>
            <w:vAlign w:val="bottom"/>
          </w:tcPr>
          <w:p w14:paraId="04842C1A" w14:textId="1B4F772B"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81" w:type="dxa"/>
            <w:tcBorders>
              <w:top w:val="nil"/>
              <w:left w:val="nil"/>
              <w:right w:val="nil"/>
            </w:tcBorders>
            <w:shd w:val="clear" w:color="auto" w:fill="auto"/>
            <w:noWrap/>
            <w:vAlign w:val="bottom"/>
          </w:tcPr>
          <w:p w14:paraId="5D9CA302"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right w:val="nil"/>
            </w:tcBorders>
            <w:shd w:val="clear" w:color="auto" w:fill="auto"/>
            <w:noWrap/>
            <w:vAlign w:val="bottom"/>
          </w:tcPr>
          <w:p w14:paraId="5D265B17" w14:textId="77777777" w:rsidR="00BC4CCE" w:rsidRPr="00397EC7" w:rsidRDefault="00BC4CCE" w:rsidP="00DB5008">
            <w:pPr>
              <w:spacing w:after="0" w:line="240" w:lineRule="auto"/>
              <w:jc w:val="left"/>
              <w:rPr>
                <w:rFonts w:eastAsia="Times New Roman" w:cs="Arial"/>
                <w:color w:val="000000"/>
                <w:sz w:val="18"/>
                <w:szCs w:val="18"/>
                <w:lang w:val="en-GB" w:eastAsia="fr-FR"/>
              </w:rPr>
            </w:pPr>
          </w:p>
        </w:tc>
        <w:tc>
          <w:tcPr>
            <w:tcW w:w="2796" w:type="dxa"/>
            <w:tcBorders>
              <w:top w:val="nil"/>
              <w:left w:val="nil"/>
              <w:right w:val="nil"/>
            </w:tcBorders>
            <w:shd w:val="clear" w:color="auto" w:fill="auto"/>
            <w:noWrap/>
            <w:vAlign w:val="bottom"/>
          </w:tcPr>
          <w:p w14:paraId="2381799E" w14:textId="529B6F4E"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59" w:type="dxa"/>
            <w:tcBorders>
              <w:top w:val="nil"/>
              <w:left w:val="nil"/>
              <w:right w:val="nil"/>
            </w:tcBorders>
            <w:shd w:val="clear" w:color="auto" w:fill="auto"/>
            <w:noWrap/>
            <w:vAlign w:val="bottom"/>
          </w:tcPr>
          <w:p w14:paraId="39236A55"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right w:val="nil"/>
            </w:tcBorders>
            <w:shd w:val="clear" w:color="auto" w:fill="auto"/>
            <w:noWrap/>
            <w:vAlign w:val="bottom"/>
          </w:tcPr>
          <w:p w14:paraId="1EB300BE" w14:textId="77777777" w:rsidR="00BC4CCE" w:rsidRPr="00397EC7" w:rsidRDefault="00BC4CCE" w:rsidP="00DB5008">
            <w:pPr>
              <w:spacing w:after="0" w:line="240" w:lineRule="auto"/>
              <w:jc w:val="left"/>
              <w:rPr>
                <w:rFonts w:eastAsia="Times New Roman" w:cs="Arial"/>
                <w:color w:val="000000"/>
                <w:sz w:val="18"/>
                <w:szCs w:val="18"/>
                <w:lang w:val="en-GB" w:eastAsia="fr-FR"/>
              </w:rPr>
            </w:pPr>
          </w:p>
        </w:tc>
        <w:tc>
          <w:tcPr>
            <w:tcW w:w="1760" w:type="dxa"/>
            <w:tcBorders>
              <w:top w:val="nil"/>
              <w:left w:val="nil"/>
              <w:right w:val="nil"/>
            </w:tcBorders>
            <w:shd w:val="clear" w:color="auto" w:fill="auto"/>
            <w:noWrap/>
            <w:vAlign w:val="bottom"/>
          </w:tcPr>
          <w:p w14:paraId="543045E6" w14:textId="3009F681"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768" w:type="dxa"/>
            <w:tcBorders>
              <w:top w:val="nil"/>
              <w:left w:val="nil"/>
              <w:right w:val="nil"/>
            </w:tcBorders>
            <w:shd w:val="clear" w:color="auto" w:fill="auto"/>
            <w:noWrap/>
            <w:vAlign w:val="bottom"/>
          </w:tcPr>
          <w:p w14:paraId="5AF67054"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right w:val="nil"/>
            </w:tcBorders>
            <w:shd w:val="clear" w:color="auto" w:fill="auto"/>
            <w:noWrap/>
            <w:vAlign w:val="bottom"/>
          </w:tcPr>
          <w:p w14:paraId="3B40364F" w14:textId="77777777" w:rsidR="00BC4CCE" w:rsidRPr="00397EC7" w:rsidRDefault="00BC4CCE" w:rsidP="00DB5008">
            <w:pPr>
              <w:spacing w:after="0" w:line="240" w:lineRule="auto"/>
              <w:jc w:val="left"/>
              <w:rPr>
                <w:rFonts w:eastAsia="Times New Roman" w:cs="Arial"/>
                <w:color w:val="000000"/>
                <w:sz w:val="18"/>
                <w:szCs w:val="18"/>
                <w:lang w:val="en-GB" w:eastAsia="fr-FR"/>
              </w:rPr>
            </w:pPr>
          </w:p>
        </w:tc>
        <w:tc>
          <w:tcPr>
            <w:tcW w:w="1621" w:type="dxa"/>
            <w:tcBorders>
              <w:top w:val="nil"/>
              <w:left w:val="nil"/>
              <w:right w:val="nil"/>
            </w:tcBorders>
            <w:shd w:val="clear" w:color="auto" w:fill="auto"/>
            <w:noWrap/>
            <w:vAlign w:val="bottom"/>
          </w:tcPr>
          <w:p w14:paraId="29704ED7" w14:textId="09426D50"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0" w:type="dxa"/>
            <w:tcBorders>
              <w:top w:val="nil"/>
              <w:left w:val="nil"/>
              <w:right w:val="nil"/>
            </w:tcBorders>
            <w:shd w:val="clear" w:color="auto" w:fill="auto"/>
            <w:noWrap/>
            <w:vAlign w:val="bottom"/>
          </w:tcPr>
          <w:p w14:paraId="548D5549"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r>
      <w:tr w:rsidR="00BC4CCE" w:rsidRPr="00397EC7" w14:paraId="3E93EEA5" w14:textId="77777777" w:rsidTr="00D06E0F">
        <w:trPr>
          <w:trHeight w:val="170"/>
          <w:jc w:val="center"/>
        </w:trPr>
        <w:tc>
          <w:tcPr>
            <w:tcW w:w="3211" w:type="dxa"/>
            <w:tcBorders>
              <w:left w:val="nil"/>
              <w:bottom w:val="single" w:sz="4" w:space="0" w:color="auto"/>
              <w:right w:val="nil"/>
            </w:tcBorders>
            <w:shd w:val="clear" w:color="auto" w:fill="auto"/>
            <w:noWrap/>
            <w:vAlign w:val="center"/>
          </w:tcPr>
          <w:p w14:paraId="23A9D51C" w14:textId="61E64D81" w:rsidR="00BC4CCE" w:rsidRPr="00397EC7" w:rsidRDefault="00BC4CCE" w:rsidP="00DB5008">
            <w:pPr>
              <w:spacing w:after="0" w:line="240" w:lineRule="auto"/>
              <w:jc w:val="left"/>
              <w:rPr>
                <w:rFonts w:eastAsia="Times New Roman" w:cs="Arial"/>
                <w:color w:val="000000"/>
                <w:sz w:val="18"/>
                <w:szCs w:val="18"/>
                <w:lang w:val="en-GB" w:eastAsia="fr-FR"/>
              </w:rPr>
            </w:pPr>
            <w:r w:rsidRPr="00D06E0F">
              <w:rPr>
                <w:rFonts w:eastAsia="Times New Roman"/>
                <w:color w:val="000000"/>
                <w:sz w:val="18"/>
                <w:szCs w:val="18"/>
                <w:lang w:val="en-GB" w:eastAsia="fr-FR"/>
              </w:rPr>
              <w:t xml:space="preserve">  yes</w:t>
            </w:r>
          </w:p>
        </w:tc>
        <w:tc>
          <w:tcPr>
            <w:tcW w:w="2835" w:type="dxa"/>
            <w:tcBorders>
              <w:left w:val="nil"/>
              <w:bottom w:val="single" w:sz="4" w:space="0" w:color="auto"/>
              <w:right w:val="nil"/>
            </w:tcBorders>
            <w:shd w:val="clear" w:color="auto" w:fill="auto"/>
            <w:noWrap/>
            <w:vAlign w:val="bottom"/>
          </w:tcPr>
          <w:p w14:paraId="456150D6" w14:textId="41DDC092" w:rsidR="00BC4CCE" w:rsidRPr="00397EC7" w:rsidRDefault="00DB6D84" w:rsidP="00DB6D84">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0.05 [0.05-0.06]</w:t>
            </w:r>
          </w:p>
        </w:tc>
        <w:tc>
          <w:tcPr>
            <w:tcW w:w="881" w:type="dxa"/>
            <w:tcBorders>
              <w:left w:val="nil"/>
              <w:bottom w:val="single" w:sz="4" w:space="0" w:color="auto"/>
              <w:right w:val="nil"/>
            </w:tcBorders>
            <w:shd w:val="clear" w:color="auto" w:fill="auto"/>
            <w:noWrap/>
            <w:vAlign w:val="bottom"/>
          </w:tcPr>
          <w:p w14:paraId="41670E63" w14:textId="370B8ACF" w:rsidR="00BC4CCE" w:rsidRPr="00397EC7" w:rsidRDefault="00DB6D84"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left w:val="nil"/>
              <w:bottom w:val="single" w:sz="4" w:space="0" w:color="auto"/>
              <w:right w:val="nil"/>
            </w:tcBorders>
            <w:shd w:val="clear" w:color="auto" w:fill="auto"/>
            <w:noWrap/>
            <w:vAlign w:val="bottom"/>
          </w:tcPr>
          <w:p w14:paraId="299FD457" w14:textId="77777777" w:rsidR="00BC4CCE" w:rsidRPr="00397EC7" w:rsidRDefault="00BC4CCE" w:rsidP="00DB5008">
            <w:pPr>
              <w:spacing w:after="0" w:line="240" w:lineRule="auto"/>
              <w:jc w:val="left"/>
              <w:rPr>
                <w:rFonts w:eastAsia="Times New Roman" w:cs="Arial"/>
                <w:color w:val="000000"/>
                <w:sz w:val="18"/>
                <w:szCs w:val="18"/>
                <w:lang w:val="en-GB" w:eastAsia="fr-FR"/>
              </w:rPr>
            </w:pPr>
          </w:p>
        </w:tc>
        <w:tc>
          <w:tcPr>
            <w:tcW w:w="2796" w:type="dxa"/>
            <w:tcBorders>
              <w:left w:val="nil"/>
              <w:bottom w:val="single" w:sz="4" w:space="0" w:color="auto"/>
              <w:right w:val="nil"/>
            </w:tcBorders>
            <w:shd w:val="clear" w:color="auto" w:fill="auto"/>
            <w:noWrap/>
            <w:vAlign w:val="bottom"/>
          </w:tcPr>
          <w:p w14:paraId="73A1E86A" w14:textId="5BF66AA2" w:rsidR="00BC4CCE" w:rsidRPr="00397EC7" w:rsidRDefault="00DB6D84"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0.09 [0.07-0.11]</w:t>
            </w:r>
          </w:p>
        </w:tc>
        <w:tc>
          <w:tcPr>
            <w:tcW w:w="959" w:type="dxa"/>
            <w:tcBorders>
              <w:left w:val="nil"/>
              <w:bottom w:val="single" w:sz="4" w:space="0" w:color="auto"/>
              <w:right w:val="nil"/>
            </w:tcBorders>
            <w:shd w:val="clear" w:color="auto" w:fill="auto"/>
            <w:noWrap/>
            <w:vAlign w:val="bottom"/>
          </w:tcPr>
          <w:p w14:paraId="255E3068" w14:textId="49611CA6" w:rsidR="00BC4CCE" w:rsidRPr="00397EC7" w:rsidRDefault="00DB6D84"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left w:val="nil"/>
              <w:bottom w:val="single" w:sz="4" w:space="0" w:color="auto"/>
              <w:right w:val="nil"/>
            </w:tcBorders>
            <w:shd w:val="clear" w:color="auto" w:fill="auto"/>
            <w:noWrap/>
            <w:vAlign w:val="bottom"/>
          </w:tcPr>
          <w:p w14:paraId="2973D009" w14:textId="77777777" w:rsidR="00BC4CCE" w:rsidRPr="00397EC7" w:rsidRDefault="00BC4CCE" w:rsidP="00DB5008">
            <w:pPr>
              <w:spacing w:after="0" w:line="240" w:lineRule="auto"/>
              <w:jc w:val="left"/>
              <w:rPr>
                <w:rFonts w:eastAsia="Times New Roman" w:cs="Arial"/>
                <w:color w:val="000000"/>
                <w:sz w:val="18"/>
                <w:szCs w:val="18"/>
                <w:lang w:val="en-GB" w:eastAsia="fr-FR"/>
              </w:rPr>
            </w:pPr>
          </w:p>
        </w:tc>
        <w:tc>
          <w:tcPr>
            <w:tcW w:w="1760" w:type="dxa"/>
            <w:tcBorders>
              <w:left w:val="nil"/>
              <w:bottom w:val="single" w:sz="4" w:space="0" w:color="auto"/>
              <w:right w:val="nil"/>
            </w:tcBorders>
            <w:shd w:val="clear" w:color="auto" w:fill="auto"/>
            <w:noWrap/>
            <w:vAlign w:val="bottom"/>
          </w:tcPr>
          <w:p w14:paraId="5B00C355" w14:textId="5B16B724" w:rsidR="00BC4CCE" w:rsidRPr="00397EC7" w:rsidRDefault="00DB6D84" w:rsidP="00DB6D84">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0.14 [0.11-0.16]</w:t>
            </w:r>
          </w:p>
        </w:tc>
        <w:tc>
          <w:tcPr>
            <w:tcW w:w="768" w:type="dxa"/>
            <w:tcBorders>
              <w:left w:val="nil"/>
              <w:bottom w:val="single" w:sz="4" w:space="0" w:color="auto"/>
              <w:right w:val="nil"/>
            </w:tcBorders>
            <w:shd w:val="clear" w:color="auto" w:fill="auto"/>
            <w:noWrap/>
            <w:vAlign w:val="bottom"/>
          </w:tcPr>
          <w:p w14:paraId="47527A75" w14:textId="2D94D6B6" w:rsidR="00BC4CCE" w:rsidRPr="00397EC7" w:rsidRDefault="00DB6D84"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left w:val="nil"/>
              <w:bottom w:val="single" w:sz="4" w:space="0" w:color="auto"/>
              <w:right w:val="nil"/>
            </w:tcBorders>
            <w:shd w:val="clear" w:color="auto" w:fill="auto"/>
            <w:noWrap/>
            <w:vAlign w:val="bottom"/>
          </w:tcPr>
          <w:p w14:paraId="4230A788" w14:textId="77777777" w:rsidR="00BC4CCE" w:rsidRPr="00397EC7" w:rsidRDefault="00BC4CCE" w:rsidP="00DB5008">
            <w:pPr>
              <w:spacing w:after="0" w:line="240" w:lineRule="auto"/>
              <w:jc w:val="left"/>
              <w:rPr>
                <w:rFonts w:eastAsia="Times New Roman" w:cs="Arial"/>
                <w:color w:val="000000"/>
                <w:sz w:val="18"/>
                <w:szCs w:val="18"/>
                <w:lang w:val="en-GB" w:eastAsia="fr-FR"/>
              </w:rPr>
            </w:pPr>
          </w:p>
        </w:tc>
        <w:tc>
          <w:tcPr>
            <w:tcW w:w="1621" w:type="dxa"/>
            <w:tcBorders>
              <w:left w:val="nil"/>
              <w:bottom w:val="single" w:sz="4" w:space="0" w:color="auto"/>
              <w:right w:val="nil"/>
            </w:tcBorders>
            <w:shd w:val="clear" w:color="auto" w:fill="auto"/>
            <w:noWrap/>
            <w:vAlign w:val="bottom"/>
          </w:tcPr>
          <w:p w14:paraId="5F97DBC1" w14:textId="45C8D127" w:rsidR="00BC4CCE" w:rsidRPr="00397EC7" w:rsidRDefault="00DB6D84" w:rsidP="00DB6D84">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0.16 [0.14-0.19]</w:t>
            </w:r>
          </w:p>
        </w:tc>
        <w:tc>
          <w:tcPr>
            <w:tcW w:w="850" w:type="dxa"/>
            <w:tcBorders>
              <w:left w:val="nil"/>
              <w:bottom w:val="single" w:sz="4" w:space="0" w:color="auto"/>
              <w:right w:val="nil"/>
            </w:tcBorders>
            <w:shd w:val="clear" w:color="auto" w:fill="auto"/>
            <w:noWrap/>
            <w:vAlign w:val="bottom"/>
          </w:tcPr>
          <w:p w14:paraId="5FD662AA" w14:textId="41FDC5C1" w:rsidR="00BC4CCE" w:rsidRPr="00397EC7" w:rsidRDefault="00DB6D84"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bl>
    <w:p w14:paraId="7CB8BD8B" w14:textId="77777777" w:rsidR="00D54129" w:rsidRPr="00397EC7" w:rsidRDefault="00D54129" w:rsidP="00966E2C">
      <w:pPr>
        <w:pStyle w:val="Citationintense"/>
        <w:rPr>
          <w:rFonts w:cs="Arial"/>
          <w:b w:val="0"/>
          <w:sz w:val="16"/>
          <w:lang w:val="en-GB"/>
        </w:rPr>
      </w:pPr>
    </w:p>
    <w:p w14:paraId="7B5F4F87" w14:textId="77777777" w:rsidR="00DB5008" w:rsidRPr="00397EC7" w:rsidRDefault="00DB5008" w:rsidP="00D54129">
      <w:pPr>
        <w:pStyle w:val="Lgende"/>
        <w:spacing w:before="240"/>
        <w:rPr>
          <w:rFonts w:cs="Arial"/>
          <w:sz w:val="20"/>
          <w:lang w:val="en-GB"/>
        </w:rPr>
      </w:pPr>
    </w:p>
    <w:p w14:paraId="3469A9E8" w14:textId="77777777" w:rsidR="00D06E0F" w:rsidRDefault="00D06E0F">
      <w:pPr>
        <w:spacing w:line="276" w:lineRule="auto"/>
        <w:jc w:val="left"/>
        <w:rPr>
          <w:rStyle w:val="Titredulivre"/>
          <w:rFonts w:cs="Times New Roman"/>
          <w:b/>
          <w:bCs/>
          <w:lang w:val="en-GB"/>
        </w:rPr>
      </w:pPr>
      <w:r>
        <w:rPr>
          <w:rStyle w:val="Titredulivre"/>
          <w:rFonts w:cs="Times New Roman"/>
          <w:lang w:val="en-GB"/>
        </w:rPr>
        <w:br w:type="page"/>
      </w:r>
    </w:p>
    <w:p w14:paraId="1360225E" w14:textId="771D26E2" w:rsidR="00D54129" w:rsidRPr="00397EC7" w:rsidRDefault="00A6091F" w:rsidP="00D54129">
      <w:pPr>
        <w:pStyle w:val="Lgende"/>
        <w:spacing w:before="240"/>
        <w:rPr>
          <w:rFonts w:cs="Arial"/>
          <w:sz w:val="20"/>
          <w:lang w:val="en-GB"/>
        </w:rPr>
      </w:pPr>
      <w:r w:rsidRPr="00397EC7">
        <w:rPr>
          <w:rStyle w:val="Titredulivre"/>
          <w:rFonts w:cs="Times New Roman"/>
          <w:lang w:val="en-GB"/>
        </w:rPr>
        <w:lastRenderedPageBreak/>
        <w:t xml:space="preserve">Supplemental Table </w:t>
      </w:r>
      <w:r w:rsidR="00814A7A" w:rsidRPr="00397EC7">
        <w:rPr>
          <w:rFonts w:cs="Arial"/>
          <w:sz w:val="20"/>
          <w:lang w:val="en-GB"/>
        </w:rPr>
        <w:t>5</w:t>
      </w:r>
      <w:r w:rsidR="00D54129" w:rsidRPr="00397EC7">
        <w:rPr>
          <w:rFonts w:cs="Arial"/>
          <w:sz w:val="20"/>
          <w:lang w:val="en-GB"/>
        </w:rPr>
        <w:t>: Characteristics associated with cardiovascular adverse events: unadjusted logistic regression models (N = 4,088,799) (continued).</w:t>
      </w:r>
    </w:p>
    <w:tbl>
      <w:tblPr>
        <w:tblW w:w="16254" w:type="dxa"/>
        <w:jc w:val="center"/>
        <w:tblCellMar>
          <w:left w:w="70" w:type="dxa"/>
          <w:right w:w="70" w:type="dxa"/>
        </w:tblCellMar>
        <w:tblLook w:val="04A0" w:firstRow="1" w:lastRow="0" w:firstColumn="1" w:lastColumn="0" w:noHBand="0" w:noVBand="1"/>
      </w:tblPr>
      <w:tblGrid>
        <w:gridCol w:w="3211"/>
        <w:gridCol w:w="2835"/>
        <w:gridCol w:w="881"/>
        <w:gridCol w:w="191"/>
        <w:gridCol w:w="2796"/>
        <w:gridCol w:w="959"/>
        <w:gridCol w:w="191"/>
        <w:gridCol w:w="1760"/>
        <w:gridCol w:w="768"/>
        <w:gridCol w:w="191"/>
        <w:gridCol w:w="1621"/>
        <w:gridCol w:w="850"/>
      </w:tblGrid>
      <w:tr w:rsidR="00D54129" w:rsidRPr="00397EC7" w14:paraId="316A8A21" w14:textId="77777777" w:rsidTr="00DB5008">
        <w:trPr>
          <w:trHeight w:val="170"/>
          <w:tblHeader/>
          <w:jc w:val="center"/>
        </w:trPr>
        <w:tc>
          <w:tcPr>
            <w:tcW w:w="3211" w:type="dxa"/>
            <w:tcBorders>
              <w:top w:val="single" w:sz="4" w:space="0" w:color="auto"/>
              <w:left w:val="nil"/>
              <w:right w:val="nil"/>
            </w:tcBorders>
            <w:shd w:val="clear" w:color="auto" w:fill="auto"/>
            <w:noWrap/>
            <w:vAlign w:val="bottom"/>
            <w:hideMark/>
          </w:tcPr>
          <w:p w14:paraId="6C533094" w14:textId="77777777" w:rsidR="00D54129" w:rsidRPr="00397EC7" w:rsidRDefault="00D54129" w:rsidP="00DB5008">
            <w:pPr>
              <w:spacing w:after="0" w:line="240" w:lineRule="auto"/>
              <w:jc w:val="left"/>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3716" w:type="dxa"/>
            <w:gridSpan w:val="2"/>
            <w:tcBorders>
              <w:top w:val="single" w:sz="4" w:space="0" w:color="auto"/>
              <w:left w:val="nil"/>
              <w:bottom w:val="single" w:sz="4" w:space="0" w:color="auto"/>
              <w:right w:val="nil"/>
            </w:tcBorders>
            <w:shd w:val="clear" w:color="auto" w:fill="auto"/>
            <w:noWrap/>
            <w:vAlign w:val="bottom"/>
            <w:hideMark/>
          </w:tcPr>
          <w:p w14:paraId="4E7B8637"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Shock</w:t>
            </w:r>
          </w:p>
        </w:tc>
        <w:tc>
          <w:tcPr>
            <w:tcW w:w="191" w:type="dxa"/>
            <w:tcBorders>
              <w:top w:val="single" w:sz="4" w:space="0" w:color="auto"/>
              <w:left w:val="nil"/>
              <w:bottom w:val="nil"/>
              <w:right w:val="nil"/>
            </w:tcBorders>
            <w:shd w:val="clear" w:color="auto" w:fill="auto"/>
            <w:noWrap/>
            <w:vAlign w:val="bottom"/>
            <w:hideMark/>
          </w:tcPr>
          <w:p w14:paraId="73D8CDC2"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w:t>
            </w:r>
          </w:p>
        </w:tc>
        <w:tc>
          <w:tcPr>
            <w:tcW w:w="3755" w:type="dxa"/>
            <w:gridSpan w:val="2"/>
            <w:tcBorders>
              <w:top w:val="single" w:sz="4" w:space="0" w:color="auto"/>
              <w:left w:val="nil"/>
              <w:bottom w:val="single" w:sz="4" w:space="0" w:color="auto"/>
              <w:right w:val="nil"/>
            </w:tcBorders>
            <w:shd w:val="clear" w:color="auto" w:fill="auto"/>
            <w:noWrap/>
            <w:vAlign w:val="bottom"/>
            <w:hideMark/>
          </w:tcPr>
          <w:p w14:paraId="5F5A8D40"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Myocardial infarction</w:t>
            </w:r>
          </w:p>
        </w:tc>
        <w:tc>
          <w:tcPr>
            <w:tcW w:w="191" w:type="dxa"/>
            <w:tcBorders>
              <w:top w:val="single" w:sz="4" w:space="0" w:color="auto"/>
              <w:left w:val="nil"/>
              <w:bottom w:val="nil"/>
              <w:right w:val="nil"/>
            </w:tcBorders>
            <w:shd w:val="clear" w:color="auto" w:fill="auto"/>
            <w:noWrap/>
            <w:vAlign w:val="bottom"/>
            <w:hideMark/>
          </w:tcPr>
          <w:p w14:paraId="2FE9C12B"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w:t>
            </w:r>
          </w:p>
        </w:tc>
        <w:tc>
          <w:tcPr>
            <w:tcW w:w="2528" w:type="dxa"/>
            <w:gridSpan w:val="2"/>
            <w:tcBorders>
              <w:top w:val="single" w:sz="4" w:space="0" w:color="auto"/>
              <w:left w:val="nil"/>
              <w:bottom w:val="single" w:sz="4" w:space="0" w:color="auto"/>
              <w:right w:val="nil"/>
            </w:tcBorders>
            <w:shd w:val="clear" w:color="auto" w:fill="auto"/>
            <w:noWrap/>
            <w:vAlign w:val="bottom"/>
            <w:hideMark/>
          </w:tcPr>
          <w:p w14:paraId="35A45E32"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Stroke</w:t>
            </w:r>
          </w:p>
        </w:tc>
        <w:tc>
          <w:tcPr>
            <w:tcW w:w="191" w:type="dxa"/>
            <w:tcBorders>
              <w:top w:val="single" w:sz="4" w:space="0" w:color="auto"/>
              <w:left w:val="nil"/>
              <w:bottom w:val="nil"/>
              <w:right w:val="nil"/>
            </w:tcBorders>
            <w:shd w:val="clear" w:color="auto" w:fill="auto"/>
            <w:noWrap/>
            <w:vAlign w:val="bottom"/>
            <w:hideMark/>
          </w:tcPr>
          <w:p w14:paraId="7DBE7A41"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w:t>
            </w:r>
          </w:p>
        </w:tc>
        <w:tc>
          <w:tcPr>
            <w:tcW w:w="2471" w:type="dxa"/>
            <w:gridSpan w:val="2"/>
            <w:tcBorders>
              <w:top w:val="single" w:sz="4" w:space="0" w:color="auto"/>
              <w:left w:val="nil"/>
              <w:bottom w:val="single" w:sz="4" w:space="0" w:color="auto"/>
              <w:right w:val="nil"/>
            </w:tcBorders>
            <w:shd w:val="clear" w:color="auto" w:fill="auto"/>
            <w:noWrap/>
            <w:vAlign w:val="bottom"/>
            <w:hideMark/>
          </w:tcPr>
          <w:p w14:paraId="0F650481"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Pulmonary embolism</w:t>
            </w:r>
          </w:p>
        </w:tc>
      </w:tr>
      <w:tr w:rsidR="00D54129" w:rsidRPr="00397EC7" w14:paraId="023C48C4" w14:textId="77777777" w:rsidTr="00DB5008">
        <w:trPr>
          <w:trHeight w:val="170"/>
          <w:tblHeader/>
          <w:jc w:val="center"/>
        </w:trPr>
        <w:tc>
          <w:tcPr>
            <w:tcW w:w="3211" w:type="dxa"/>
            <w:tcBorders>
              <w:left w:val="nil"/>
              <w:bottom w:val="single" w:sz="4" w:space="0" w:color="auto"/>
              <w:right w:val="nil"/>
            </w:tcBorders>
            <w:shd w:val="clear" w:color="auto" w:fill="auto"/>
            <w:noWrap/>
            <w:vAlign w:val="bottom"/>
            <w:hideMark/>
          </w:tcPr>
          <w:p w14:paraId="5F41CF7B"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2835" w:type="dxa"/>
            <w:tcBorders>
              <w:top w:val="nil"/>
              <w:left w:val="nil"/>
              <w:bottom w:val="single" w:sz="4" w:space="0" w:color="auto"/>
              <w:right w:val="nil"/>
            </w:tcBorders>
            <w:shd w:val="clear" w:color="auto" w:fill="auto"/>
            <w:noWrap/>
            <w:vAlign w:val="bottom"/>
            <w:hideMark/>
          </w:tcPr>
          <w:p w14:paraId="7AC18410"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OR [95% CI]</w:t>
            </w:r>
          </w:p>
        </w:tc>
        <w:tc>
          <w:tcPr>
            <w:tcW w:w="881" w:type="dxa"/>
            <w:tcBorders>
              <w:top w:val="nil"/>
              <w:left w:val="nil"/>
              <w:bottom w:val="single" w:sz="4" w:space="0" w:color="auto"/>
              <w:right w:val="nil"/>
            </w:tcBorders>
            <w:shd w:val="clear" w:color="auto" w:fill="auto"/>
            <w:noWrap/>
            <w:vAlign w:val="bottom"/>
            <w:hideMark/>
          </w:tcPr>
          <w:p w14:paraId="6CF4469B"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 value</w:t>
            </w:r>
          </w:p>
        </w:tc>
        <w:tc>
          <w:tcPr>
            <w:tcW w:w="191" w:type="dxa"/>
            <w:tcBorders>
              <w:top w:val="nil"/>
              <w:left w:val="nil"/>
              <w:bottom w:val="single" w:sz="4" w:space="0" w:color="auto"/>
              <w:right w:val="nil"/>
            </w:tcBorders>
            <w:shd w:val="clear" w:color="auto" w:fill="auto"/>
            <w:noWrap/>
            <w:vAlign w:val="bottom"/>
            <w:hideMark/>
          </w:tcPr>
          <w:p w14:paraId="72459E9E"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2796" w:type="dxa"/>
            <w:tcBorders>
              <w:top w:val="nil"/>
              <w:left w:val="nil"/>
              <w:bottom w:val="single" w:sz="4" w:space="0" w:color="auto"/>
              <w:right w:val="nil"/>
            </w:tcBorders>
            <w:shd w:val="clear" w:color="auto" w:fill="auto"/>
            <w:noWrap/>
            <w:vAlign w:val="bottom"/>
            <w:hideMark/>
          </w:tcPr>
          <w:p w14:paraId="73E30C68"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OR [95% CI]</w:t>
            </w:r>
          </w:p>
        </w:tc>
        <w:tc>
          <w:tcPr>
            <w:tcW w:w="959" w:type="dxa"/>
            <w:tcBorders>
              <w:top w:val="nil"/>
              <w:left w:val="nil"/>
              <w:bottom w:val="single" w:sz="4" w:space="0" w:color="auto"/>
              <w:right w:val="nil"/>
            </w:tcBorders>
            <w:shd w:val="clear" w:color="auto" w:fill="auto"/>
            <w:noWrap/>
            <w:vAlign w:val="bottom"/>
            <w:hideMark/>
          </w:tcPr>
          <w:p w14:paraId="685FD91B"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 value</w:t>
            </w:r>
          </w:p>
        </w:tc>
        <w:tc>
          <w:tcPr>
            <w:tcW w:w="191" w:type="dxa"/>
            <w:tcBorders>
              <w:top w:val="nil"/>
              <w:left w:val="nil"/>
              <w:bottom w:val="single" w:sz="4" w:space="0" w:color="auto"/>
              <w:right w:val="nil"/>
            </w:tcBorders>
            <w:shd w:val="clear" w:color="auto" w:fill="auto"/>
            <w:noWrap/>
            <w:vAlign w:val="bottom"/>
            <w:hideMark/>
          </w:tcPr>
          <w:p w14:paraId="4018CD3B"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760" w:type="dxa"/>
            <w:tcBorders>
              <w:top w:val="nil"/>
              <w:left w:val="nil"/>
              <w:bottom w:val="single" w:sz="4" w:space="0" w:color="auto"/>
              <w:right w:val="nil"/>
            </w:tcBorders>
            <w:shd w:val="clear" w:color="auto" w:fill="auto"/>
            <w:noWrap/>
            <w:vAlign w:val="bottom"/>
            <w:hideMark/>
          </w:tcPr>
          <w:p w14:paraId="128623E8"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OR [95% CI]</w:t>
            </w:r>
          </w:p>
        </w:tc>
        <w:tc>
          <w:tcPr>
            <w:tcW w:w="768" w:type="dxa"/>
            <w:tcBorders>
              <w:top w:val="nil"/>
              <w:left w:val="nil"/>
              <w:bottom w:val="single" w:sz="4" w:space="0" w:color="auto"/>
              <w:right w:val="nil"/>
            </w:tcBorders>
            <w:shd w:val="clear" w:color="auto" w:fill="auto"/>
            <w:noWrap/>
            <w:vAlign w:val="bottom"/>
            <w:hideMark/>
          </w:tcPr>
          <w:p w14:paraId="3F1C3C18"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 value</w:t>
            </w:r>
          </w:p>
        </w:tc>
        <w:tc>
          <w:tcPr>
            <w:tcW w:w="191" w:type="dxa"/>
            <w:tcBorders>
              <w:top w:val="nil"/>
              <w:left w:val="nil"/>
              <w:bottom w:val="single" w:sz="4" w:space="0" w:color="auto"/>
              <w:right w:val="nil"/>
            </w:tcBorders>
            <w:shd w:val="clear" w:color="auto" w:fill="auto"/>
            <w:noWrap/>
            <w:vAlign w:val="bottom"/>
            <w:hideMark/>
          </w:tcPr>
          <w:p w14:paraId="393A4321"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621" w:type="dxa"/>
            <w:tcBorders>
              <w:top w:val="nil"/>
              <w:left w:val="nil"/>
              <w:bottom w:val="single" w:sz="4" w:space="0" w:color="auto"/>
              <w:right w:val="nil"/>
            </w:tcBorders>
            <w:shd w:val="clear" w:color="auto" w:fill="auto"/>
            <w:noWrap/>
            <w:vAlign w:val="bottom"/>
            <w:hideMark/>
          </w:tcPr>
          <w:p w14:paraId="0B2E1DBC"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OR [95% CI]</w:t>
            </w:r>
          </w:p>
        </w:tc>
        <w:tc>
          <w:tcPr>
            <w:tcW w:w="850" w:type="dxa"/>
            <w:tcBorders>
              <w:top w:val="nil"/>
              <w:left w:val="nil"/>
              <w:bottom w:val="single" w:sz="4" w:space="0" w:color="auto"/>
              <w:right w:val="nil"/>
            </w:tcBorders>
            <w:shd w:val="clear" w:color="auto" w:fill="auto"/>
            <w:noWrap/>
            <w:vAlign w:val="bottom"/>
            <w:hideMark/>
          </w:tcPr>
          <w:p w14:paraId="0337797C"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 value</w:t>
            </w:r>
          </w:p>
        </w:tc>
      </w:tr>
      <w:tr w:rsidR="00D54129" w:rsidRPr="00397EC7" w14:paraId="5BEB9BDE" w14:textId="77777777" w:rsidTr="00D54129">
        <w:trPr>
          <w:trHeight w:val="170"/>
          <w:jc w:val="center"/>
        </w:trPr>
        <w:tc>
          <w:tcPr>
            <w:tcW w:w="3211" w:type="dxa"/>
            <w:tcBorders>
              <w:top w:val="single" w:sz="4" w:space="0" w:color="auto"/>
              <w:left w:val="nil"/>
              <w:right w:val="nil"/>
            </w:tcBorders>
            <w:shd w:val="clear" w:color="000000" w:fill="F2F2F2"/>
            <w:noWrap/>
            <w:vAlign w:val="bottom"/>
            <w:hideMark/>
          </w:tcPr>
          <w:p w14:paraId="5DC03BF4" w14:textId="5D46905D" w:rsidR="00D54129" w:rsidRPr="00397EC7" w:rsidRDefault="00D54129" w:rsidP="00ED57E0">
            <w:pPr>
              <w:spacing w:after="0" w:line="240" w:lineRule="auto"/>
              <w:jc w:val="left"/>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xml:space="preserve">Endoscopist characteristics </w:t>
            </w:r>
          </w:p>
        </w:tc>
        <w:tc>
          <w:tcPr>
            <w:tcW w:w="2835" w:type="dxa"/>
            <w:tcBorders>
              <w:top w:val="single" w:sz="4" w:space="0" w:color="auto"/>
              <w:left w:val="nil"/>
              <w:right w:val="nil"/>
            </w:tcBorders>
            <w:shd w:val="clear" w:color="000000" w:fill="F2F2F2"/>
            <w:noWrap/>
            <w:vAlign w:val="bottom"/>
            <w:hideMark/>
          </w:tcPr>
          <w:p w14:paraId="32C8EBAF"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881" w:type="dxa"/>
            <w:tcBorders>
              <w:top w:val="single" w:sz="4" w:space="0" w:color="auto"/>
              <w:left w:val="nil"/>
              <w:right w:val="nil"/>
            </w:tcBorders>
            <w:shd w:val="clear" w:color="000000" w:fill="F2F2F2"/>
            <w:noWrap/>
            <w:vAlign w:val="bottom"/>
            <w:hideMark/>
          </w:tcPr>
          <w:p w14:paraId="610667EC"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91" w:type="dxa"/>
            <w:tcBorders>
              <w:top w:val="single" w:sz="4" w:space="0" w:color="auto"/>
              <w:left w:val="nil"/>
              <w:right w:val="nil"/>
            </w:tcBorders>
            <w:shd w:val="clear" w:color="000000" w:fill="F2F2F2"/>
            <w:noWrap/>
            <w:vAlign w:val="bottom"/>
            <w:hideMark/>
          </w:tcPr>
          <w:p w14:paraId="4DCDB049"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2796" w:type="dxa"/>
            <w:tcBorders>
              <w:top w:val="single" w:sz="4" w:space="0" w:color="auto"/>
              <w:left w:val="nil"/>
              <w:right w:val="nil"/>
            </w:tcBorders>
            <w:shd w:val="clear" w:color="000000" w:fill="F2F2F2"/>
            <w:noWrap/>
            <w:vAlign w:val="bottom"/>
            <w:hideMark/>
          </w:tcPr>
          <w:p w14:paraId="66F0BB68"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959" w:type="dxa"/>
            <w:tcBorders>
              <w:top w:val="single" w:sz="4" w:space="0" w:color="auto"/>
              <w:left w:val="nil"/>
              <w:right w:val="nil"/>
            </w:tcBorders>
            <w:shd w:val="clear" w:color="000000" w:fill="F2F2F2"/>
            <w:noWrap/>
            <w:vAlign w:val="bottom"/>
            <w:hideMark/>
          </w:tcPr>
          <w:p w14:paraId="3C526B49"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91" w:type="dxa"/>
            <w:tcBorders>
              <w:top w:val="single" w:sz="4" w:space="0" w:color="auto"/>
              <w:left w:val="nil"/>
              <w:right w:val="nil"/>
            </w:tcBorders>
            <w:shd w:val="clear" w:color="000000" w:fill="F2F2F2"/>
            <w:noWrap/>
            <w:vAlign w:val="bottom"/>
            <w:hideMark/>
          </w:tcPr>
          <w:p w14:paraId="40EA9594"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760" w:type="dxa"/>
            <w:tcBorders>
              <w:top w:val="single" w:sz="4" w:space="0" w:color="auto"/>
              <w:left w:val="nil"/>
              <w:right w:val="nil"/>
            </w:tcBorders>
            <w:shd w:val="clear" w:color="000000" w:fill="F2F2F2"/>
            <w:noWrap/>
            <w:vAlign w:val="bottom"/>
            <w:hideMark/>
          </w:tcPr>
          <w:p w14:paraId="0279223D"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768" w:type="dxa"/>
            <w:tcBorders>
              <w:top w:val="single" w:sz="4" w:space="0" w:color="auto"/>
              <w:left w:val="nil"/>
              <w:right w:val="nil"/>
            </w:tcBorders>
            <w:shd w:val="clear" w:color="000000" w:fill="F2F2F2"/>
            <w:noWrap/>
            <w:vAlign w:val="bottom"/>
            <w:hideMark/>
          </w:tcPr>
          <w:p w14:paraId="7C233EF8"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91" w:type="dxa"/>
            <w:tcBorders>
              <w:top w:val="single" w:sz="4" w:space="0" w:color="auto"/>
              <w:left w:val="nil"/>
              <w:right w:val="nil"/>
            </w:tcBorders>
            <w:shd w:val="clear" w:color="000000" w:fill="F2F2F2"/>
            <w:noWrap/>
            <w:vAlign w:val="bottom"/>
            <w:hideMark/>
          </w:tcPr>
          <w:p w14:paraId="6F33B4DE"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621" w:type="dxa"/>
            <w:tcBorders>
              <w:top w:val="single" w:sz="4" w:space="0" w:color="auto"/>
              <w:left w:val="nil"/>
              <w:right w:val="nil"/>
            </w:tcBorders>
            <w:shd w:val="clear" w:color="000000" w:fill="F2F2F2"/>
            <w:noWrap/>
            <w:vAlign w:val="bottom"/>
            <w:hideMark/>
          </w:tcPr>
          <w:p w14:paraId="2DAE9452"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850" w:type="dxa"/>
            <w:tcBorders>
              <w:top w:val="single" w:sz="4" w:space="0" w:color="auto"/>
              <w:left w:val="nil"/>
              <w:right w:val="nil"/>
            </w:tcBorders>
            <w:shd w:val="clear" w:color="000000" w:fill="F2F2F2"/>
            <w:noWrap/>
            <w:vAlign w:val="bottom"/>
            <w:hideMark/>
          </w:tcPr>
          <w:p w14:paraId="1D7CE861"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r>
      <w:tr w:rsidR="00D54129" w:rsidRPr="00397EC7" w14:paraId="771220EF" w14:textId="77777777" w:rsidTr="00D54129">
        <w:trPr>
          <w:trHeight w:val="170"/>
          <w:jc w:val="center"/>
        </w:trPr>
        <w:tc>
          <w:tcPr>
            <w:tcW w:w="3211" w:type="dxa"/>
            <w:tcBorders>
              <w:left w:val="nil"/>
              <w:bottom w:val="nil"/>
              <w:right w:val="nil"/>
            </w:tcBorders>
            <w:shd w:val="clear" w:color="auto" w:fill="auto"/>
            <w:noWrap/>
            <w:vAlign w:val="bottom"/>
            <w:hideMark/>
          </w:tcPr>
          <w:p w14:paraId="7BBA9DC0" w14:textId="77777777" w:rsidR="00D54129" w:rsidRPr="00397EC7" w:rsidRDefault="00D54129" w:rsidP="00DB5008">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Number of years since MD graduation</w:t>
            </w:r>
          </w:p>
        </w:tc>
        <w:tc>
          <w:tcPr>
            <w:tcW w:w="2835" w:type="dxa"/>
            <w:tcBorders>
              <w:left w:val="nil"/>
              <w:bottom w:val="nil"/>
              <w:right w:val="nil"/>
            </w:tcBorders>
            <w:shd w:val="clear" w:color="auto" w:fill="auto"/>
            <w:noWrap/>
            <w:vAlign w:val="bottom"/>
            <w:hideMark/>
          </w:tcPr>
          <w:p w14:paraId="4142C73C"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881" w:type="dxa"/>
            <w:tcBorders>
              <w:left w:val="nil"/>
              <w:bottom w:val="nil"/>
              <w:right w:val="nil"/>
            </w:tcBorders>
            <w:shd w:val="clear" w:color="auto" w:fill="auto"/>
            <w:noWrap/>
            <w:vAlign w:val="bottom"/>
            <w:hideMark/>
          </w:tcPr>
          <w:p w14:paraId="39E225A2"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left w:val="nil"/>
              <w:bottom w:val="nil"/>
              <w:right w:val="nil"/>
            </w:tcBorders>
            <w:shd w:val="clear" w:color="auto" w:fill="auto"/>
            <w:noWrap/>
            <w:vAlign w:val="bottom"/>
            <w:hideMark/>
          </w:tcPr>
          <w:p w14:paraId="33CA93B7"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2796" w:type="dxa"/>
            <w:tcBorders>
              <w:left w:val="nil"/>
              <w:bottom w:val="nil"/>
              <w:right w:val="nil"/>
            </w:tcBorders>
            <w:shd w:val="clear" w:color="auto" w:fill="auto"/>
            <w:noWrap/>
            <w:vAlign w:val="bottom"/>
            <w:hideMark/>
          </w:tcPr>
          <w:p w14:paraId="7D91A17A"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959" w:type="dxa"/>
            <w:tcBorders>
              <w:left w:val="nil"/>
              <w:bottom w:val="nil"/>
              <w:right w:val="nil"/>
            </w:tcBorders>
            <w:shd w:val="clear" w:color="auto" w:fill="auto"/>
            <w:noWrap/>
            <w:vAlign w:val="bottom"/>
            <w:hideMark/>
          </w:tcPr>
          <w:p w14:paraId="56ECC8E5"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left w:val="nil"/>
              <w:bottom w:val="nil"/>
              <w:right w:val="nil"/>
            </w:tcBorders>
            <w:shd w:val="clear" w:color="auto" w:fill="auto"/>
            <w:noWrap/>
            <w:vAlign w:val="bottom"/>
            <w:hideMark/>
          </w:tcPr>
          <w:p w14:paraId="54E3D188"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left w:val="nil"/>
              <w:bottom w:val="nil"/>
              <w:right w:val="nil"/>
            </w:tcBorders>
            <w:shd w:val="clear" w:color="auto" w:fill="auto"/>
            <w:noWrap/>
            <w:vAlign w:val="bottom"/>
            <w:hideMark/>
          </w:tcPr>
          <w:p w14:paraId="42EA2E2A"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768" w:type="dxa"/>
            <w:tcBorders>
              <w:left w:val="nil"/>
              <w:bottom w:val="nil"/>
              <w:right w:val="nil"/>
            </w:tcBorders>
            <w:shd w:val="clear" w:color="auto" w:fill="auto"/>
            <w:noWrap/>
            <w:vAlign w:val="bottom"/>
            <w:hideMark/>
          </w:tcPr>
          <w:p w14:paraId="2CF9E058"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left w:val="nil"/>
              <w:bottom w:val="nil"/>
              <w:right w:val="nil"/>
            </w:tcBorders>
            <w:shd w:val="clear" w:color="auto" w:fill="auto"/>
            <w:noWrap/>
            <w:vAlign w:val="bottom"/>
            <w:hideMark/>
          </w:tcPr>
          <w:p w14:paraId="092056B4"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left w:val="nil"/>
              <w:bottom w:val="nil"/>
              <w:right w:val="nil"/>
            </w:tcBorders>
            <w:shd w:val="clear" w:color="auto" w:fill="auto"/>
            <w:noWrap/>
            <w:vAlign w:val="bottom"/>
            <w:hideMark/>
          </w:tcPr>
          <w:p w14:paraId="38AAFCDA"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850" w:type="dxa"/>
            <w:tcBorders>
              <w:left w:val="nil"/>
              <w:bottom w:val="nil"/>
              <w:right w:val="nil"/>
            </w:tcBorders>
            <w:shd w:val="clear" w:color="auto" w:fill="auto"/>
            <w:noWrap/>
            <w:vAlign w:val="bottom"/>
            <w:hideMark/>
          </w:tcPr>
          <w:p w14:paraId="12B2F949"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r>
      <w:tr w:rsidR="00D54129" w:rsidRPr="00397EC7" w14:paraId="769689F9" w14:textId="77777777" w:rsidTr="00DB5008">
        <w:trPr>
          <w:trHeight w:val="170"/>
          <w:jc w:val="center"/>
        </w:trPr>
        <w:tc>
          <w:tcPr>
            <w:tcW w:w="3211" w:type="dxa"/>
            <w:tcBorders>
              <w:top w:val="nil"/>
              <w:left w:val="nil"/>
              <w:bottom w:val="nil"/>
              <w:right w:val="nil"/>
            </w:tcBorders>
            <w:shd w:val="clear" w:color="auto" w:fill="auto"/>
            <w:noWrap/>
            <w:vAlign w:val="bottom"/>
            <w:hideMark/>
          </w:tcPr>
          <w:p w14:paraId="0D86729A"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&lt;5</w:t>
            </w:r>
          </w:p>
        </w:tc>
        <w:tc>
          <w:tcPr>
            <w:tcW w:w="2835" w:type="dxa"/>
            <w:tcBorders>
              <w:top w:val="nil"/>
              <w:left w:val="nil"/>
              <w:bottom w:val="nil"/>
              <w:right w:val="nil"/>
            </w:tcBorders>
            <w:shd w:val="clear" w:color="auto" w:fill="auto"/>
            <w:noWrap/>
            <w:vAlign w:val="bottom"/>
            <w:hideMark/>
          </w:tcPr>
          <w:p w14:paraId="79E7487F" w14:textId="77777777" w:rsidR="00D54129" w:rsidRPr="00397EC7" w:rsidRDefault="00D54129" w:rsidP="00DB5008">
            <w:pPr>
              <w:spacing w:after="0" w:line="240" w:lineRule="auto"/>
              <w:jc w:val="center"/>
              <w:rPr>
                <w:rFonts w:eastAsia="Times New Roman" w:cs="Arial"/>
                <w:i/>
                <w:iCs/>
                <w:color w:val="000000"/>
                <w:sz w:val="18"/>
                <w:szCs w:val="18"/>
                <w:lang w:val="en-GB" w:eastAsia="fr-FR"/>
              </w:rPr>
            </w:pPr>
            <w:r w:rsidRPr="00397EC7">
              <w:rPr>
                <w:rFonts w:eastAsia="Times New Roman" w:cs="Arial"/>
                <w:i/>
                <w:iCs/>
                <w:color w:val="000000"/>
                <w:sz w:val="18"/>
                <w:szCs w:val="18"/>
                <w:lang w:val="en-GB" w:eastAsia="fr-FR"/>
              </w:rPr>
              <w:t>included in the next modality</w:t>
            </w:r>
          </w:p>
        </w:tc>
        <w:tc>
          <w:tcPr>
            <w:tcW w:w="881" w:type="dxa"/>
            <w:tcBorders>
              <w:top w:val="nil"/>
              <w:left w:val="nil"/>
              <w:bottom w:val="nil"/>
              <w:right w:val="nil"/>
            </w:tcBorders>
            <w:shd w:val="clear" w:color="auto" w:fill="auto"/>
            <w:vAlign w:val="bottom"/>
          </w:tcPr>
          <w:p w14:paraId="38D52613" w14:textId="77777777" w:rsidR="00D54129" w:rsidRPr="00397EC7" w:rsidRDefault="00D54129" w:rsidP="00DB5008">
            <w:pPr>
              <w:spacing w:after="0" w:line="240" w:lineRule="auto"/>
              <w:jc w:val="center"/>
              <w:rPr>
                <w:rFonts w:eastAsia="Times New Roman" w:cs="Arial"/>
                <w:i/>
                <w:iCs/>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64227CFE"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1A22112A"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0.89 [0.12-6.46]</w:t>
            </w:r>
          </w:p>
        </w:tc>
        <w:tc>
          <w:tcPr>
            <w:tcW w:w="959" w:type="dxa"/>
            <w:tcBorders>
              <w:top w:val="nil"/>
              <w:left w:val="nil"/>
              <w:bottom w:val="nil"/>
              <w:right w:val="nil"/>
            </w:tcBorders>
            <w:shd w:val="clear" w:color="auto" w:fill="auto"/>
            <w:noWrap/>
            <w:vAlign w:val="bottom"/>
            <w:hideMark/>
          </w:tcPr>
          <w:p w14:paraId="27F93986"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0.91</w:t>
            </w:r>
          </w:p>
        </w:tc>
        <w:tc>
          <w:tcPr>
            <w:tcW w:w="191" w:type="dxa"/>
            <w:tcBorders>
              <w:top w:val="nil"/>
              <w:left w:val="nil"/>
              <w:bottom w:val="nil"/>
              <w:right w:val="nil"/>
            </w:tcBorders>
            <w:shd w:val="clear" w:color="auto" w:fill="auto"/>
            <w:noWrap/>
            <w:vAlign w:val="bottom"/>
            <w:hideMark/>
          </w:tcPr>
          <w:p w14:paraId="1F20852D"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3DA1CB5E"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1.19 [0.29-4.88]</w:t>
            </w:r>
          </w:p>
        </w:tc>
        <w:tc>
          <w:tcPr>
            <w:tcW w:w="768" w:type="dxa"/>
            <w:tcBorders>
              <w:top w:val="nil"/>
              <w:left w:val="nil"/>
              <w:bottom w:val="nil"/>
              <w:right w:val="nil"/>
            </w:tcBorders>
            <w:shd w:val="clear" w:color="auto" w:fill="auto"/>
            <w:noWrap/>
            <w:vAlign w:val="bottom"/>
            <w:hideMark/>
          </w:tcPr>
          <w:p w14:paraId="03039B96"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0.81</w:t>
            </w:r>
          </w:p>
        </w:tc>
        <w:tc>
          <w:tcPr>
            <w:tcW w:w="191" w:type="dxa"/>
            <w:tcBorders>
              <w:top w:val="nil"/>
              <w:left w:val="nil"/>
              <w:bottom w:val="nil"/>
              <w:right w:val="nil"/>
            </w:tcBorders>
            <w:shd w:val="clear" w:color="auto" w:fill="auto"/>
            <w:noWrap/>
            <w:vAlign w:val="bottom"/>
            <w:hideMark/>
          </w:tcPr>
          <w:p w14:paraId="3C747314"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5A6F98D6"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1.08 [0.34-3.41]</w:t>
            </w:r>
          </w:p>
        </w:tc>
        <w:tc>
          <w:tcPr>
            <w:tcW w:w="850" w:type="dxa"/>
            <w:tcBorders>
              <w:top w:val="nil"/>
              <w:left w:val="nil"/>
              <w:bottom w:val="nil"/>
              <w:right w:val="nil"/>
            </w:tcBorders>
            <w:shd w:val="clear" w:color="auto" w:fill="auto"/>
            <w:noWrap/>
            <w:vAlign w:val="bottom"/>
            <w:hideMark/>
          </w:tcPr>
          <w:p w14:paraId="06474108"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0.89</w:t>
            </w:r>
          </w:p>
        </w:tc>
      </w:tr>
      <w:tr w:rsidR="00D54129" w:rsidRPr="00397EC7" w14:paraId="70B555FF" w14:textId="77777777" w:rsidTr="00DB5008">
        <w:trPr>
          <w:trHeight w:val="170"/>
          <w:jc w:val="center"/>
        </w:trPr>
        <w:tc>
          <w:tcPr>
            <w:tcW w:w="3211" w:type="dxa"/>
            <w:tcBorders>
              <w:top w:val="nil"/>
              <w:left w:val="nil"/>
              <w:bottom w:val="nil"/>
              <w:right w:val="nil"/>
            </w:tcBorders>
            <w:shd w:val="clear" w:color="auto" w:fill="auto"/>
            <w:noWrap/>
            <w:vAlign w:val="bottom"/>
            <w:hideMark/>
          </w:tcPr>
          <w:p w14:paraId="08380CE5"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5-14</w:t>
            </w:r>
          </w:p>
        </w:tc>
        <w:tc>
          <w:tcPr>
            <w:tcW w:w="2835" w:type="dxa"/>
            <w:tcBorders>
              <w:top w:val="nil"/>
              <w:left w:val="nil"/>
              <w:bottom w:val="nil"/>
              <w:right w:val="nil"/>
            </w:tcBorders>
            <w:shd w:val="clear" w:color="auto" w:fill="auto"/>
            <w:noWrap/>
            <w:vAlign w:val="bottom"/>
            <w:hideMark/>
          </w:tcPr>
          <w:p w14:paraId="69537532"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1.01 [0.60-1.71]</w:t>
            </w:r>
          </w:p>
        </w:tc>
        <w:tc>
          <w:tcPr>
            <w:tcW w:w="881" w:type="dxa"/>
            <w:tcBorders>
              <w:top w:val="nil"/>
              <w:left w:val="nil"/>
              <w:bottom w:val="nil"/>
              <w:right w:val="nil"/>
            </w:tcBorders>
            <w:shd w:val="clear" w:color="auto" w:fill="auto"/>
            <w:noWrap/>
            <w:vAlign w:val="bottom"/>
            <w:hideMark/>
          </w:tcPr>
          <w:p w14:paraId="41C3EE5C"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0.96</w:t>
            </w:r>
          </w:p>
        </w:tc>
        <w:tc>
          <w:tcPr>
            <w:tcW w:w="191" w:type="dxa"/>
            <w:tcBorders>
              <w:top w:val="nil"/>
              <w:left w:val="nil"/>
              <w:bottom w:val="nil"/>
              <w:right w:val="nil"/>
            </w:tcBorders>
            <w:shd w:val="clear" w:color="auto" w:fill="auto"/>
            <w:noWrap/>
            <w:vAlign w:val="bottom"/>
            <w:hideMark/>
          </w:tcPr>
          <w:p w14:paraId="149C082E"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40F28E80"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0.91 [0.50-1.67]</w:t>
            </w:r>
          </w:p>
        </w:tc>
        <w:tc>
          <w:tcPr>
            <w:tcW w:w="959" w:type="dxa"/>
            <w:tcBorders>
              <w:top w:val="nil"/>
              <w:left w:val="nil"/>
              <w:bottom w:val="nil"/>
              <w:right w:val="nil"/>
            </w:tcBorders>
            <w:shd w:val="clear" w:color="auto" w:fill="auto"/>
            <w:noWrap/>
            <w:vAlign w:val="bottom"/>
            <w:hideMark/>
          </w:tcPr>
          <w:p w14:paraId="34518A69"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0.76</w:t>
            </w:r>
          </w:p>
        </w:tc>
        <w:tc>
          <w:tcPr>
            <w:tcW w:w="191" w:type="dxa"/>
            <w:tcBorders>
              <w:top w:val="nil"/>
              <w:left w:val="nil"/>
              <w:bottom w:val="nil"/>
              <w:right w:val="nil"/>
            </w:tcBorders>
            <w:shd w:val="clear" w:color="auto" w:fill="auto"/>
            <w:noWrap/>
            <w:vAlign w:val="bottom"/>
            <w:hideMark/>
          </w:tcPr>
          <w:p w14:paraId="3737A3AE"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6C8F1343"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1.62 [1.07-2.43]</w:t>
            </w:r>
          </w:p>
        </w:tc>
        <w:tc>
          <w:tcPr>
            <w:tcW w:w="768" w:type="dxa"/>
            <w:tcBorders>
              <w:top w:val="nil"/>
              <w:left w:val="nil"/>
              <w:bottom w:val="nil"/>
              <w:right w:val="nil"/>
            </w:tcBorders>
            <w:shd w:val="clear" w:color="auto" w:fill="auto"/>
            <w:noWrap/>
            <w:vAlign w:val="bottom"/>
            <w:hideMark/>
          </w:tcPr>
          <w:p w14:paraId="47E2F55D"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0.021</w:t>
            </w:r>
          </w:p>
        </w:tc>
        <w:tc>
          <w:tcPr>
            <w:tcW w:w="191" w:type="dxa"/>
            <w:tcBorders>
              <w:top w:val="nil"/>
              <w:left w:val="nil"/>
              <w:bottom w:val="nil"/>
              <w:right w:val="nil"/>
            </w:tcBorders>
            <w:shd w:val="clear" w:color="auto" w:fill="auto"/>
            <w:noWrap/>
            <w:vAlign w:val="bottom"/>
            <w:hideMark/>
          </w:tcPr>
          <w:p w14:paraId="68EBCC92"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3913EA6F"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1.21 [0.86-1.72]</w:t>
            </w:r>
          </w:p>
        </w:tc>
        <w:tc>
          <w:tcPr>
            <w:tcW w:w="850" w:type="dxa"/>
            <w:tcBorders>
              <w:top w:val="nil"/>
              <w:left w:val="nil"/>
              <w:bottom w:val="nil"/>
              <w:right w:val="nil"/>
            </w:tcBorders>
            <w:shd w:val="clear" w:color="auto" w:fill="auto"/>
            <w:noWrap/>
            <w:vAlign w:val="bottom"/>
            <w:hideMark/>
          </w:tcPr>
          <w:p w14:paraId="4C1585A8"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0.28</w:t>
            </w:r>
          </w:p>
        </w:tc>
      </w:tr>
      <w:tr w:rsidR="00D54129" w:rsidRPr="00397EC7" w14:paraId="70066A7E" w14:textId="77777777" w:rsidTr="00DB5008">
        <w:trPr>
          <w:trHeight w:val="170"/>
          <w:jc w:val="center"/>
        </w:trPr>
        <w:tc>
          <w:tcPr>
            <w:tcW w:w="3211" w:type="dxa"/>
            <w:tcBorders>
              <w:top w:val="nil"/>
              <w:left w:val="nil"/>
              <w:bottom w:val="nil"/>
              <w:right w:val="nil"/>
            </w:tcBorders>
            <w:shd w:val="clear" w:color="auto" w:fill="auto"/>
            <w:noWrap/>
            <w:vAlign w:val="bottom"/>
            <w:hideMark/>
          </w:tcPr>
          <w:p w14:paraId="77B0FAEA"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15-24</w:t>
            </w:r>
          </w:p>
        </w:tc>
        <w:tc>
          <w:tcPr>
            <w:tcW w:w="2835" w:type="dxa"/>
            <w:tcBorders>
              <w:top w:val="nil"/>
              <w:left w:val="nil"/>
              <w:bottom w:val="nil"/>
              <w:right w:val="nil"/>
            </w:tcBorders>
            <w:shd w:val="clear" w:color="auto" w:fill="auto"/>
            <w:noWrap/>
            <w:vAlign w:val="bottom"/>
            <w:hideMark/>
          </w:tcPr>
          <w:p w14:paraId="5B96D6C5"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81" w:type="dxa"/>
            <w:tcBorders>
              <w:top w:val="nil"/>
              <w:left w:val="nil"/>
              <w:bottom w:val="nil"/>
              <w:right w:val="nil"/>
            </w:tcBorders>
            <w:shd w:val="clear" w:color="auto" w:fill="auto"/>
            <w:noWrap/>
            <w:vAlign w:val="bottom"/>
            <w:hideMark/>
          </w:tcPr>
          <w:p w14:paraId="44BA35D5"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36B0064B"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19EE43E4"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59" w:type="dxa"/>
            <w:tcBorders>
              <w:top w:val="nil"/>
              <w:left w:val="nil"/>
              <w:bottom w:val="nil"/>
              <w:right w:val="nil"/>
            </w:tcBorders>
            <w:shd w:val="clear" w:color="auto" w:fill="auto"/>
            <w:noWrap/>
            <w:vAlign w:val="bottom"/>
            <w:hideMark/>
          </w:tcPr>
          <w:p w14:paraId="64AF30BB"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2FED6AE6"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422AC1C9"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768" w:type="dxa"/>
            <w:tcBorders>
              <w:top w:val="nil"/>
              <w:left w:val="nil"/>
              <w:bottom w:val="nil"/>
              <w:right w:val="nil"/>
            </w:tcBorders>
            <w:shd w:val="clear" w:color="auto" w:fill="auto"/>
            <w:noWrap/>
            <w:vAlign w:val="bottom"/>
            <w:hideMark/>
          </w:tcPr>
          <w:p w14:paraId="7D5919C0"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5E3DE3DE"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075BA4ED"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0" w:type="dxa"/>
            <w:tcBorders>
              <w:top w:val="nil"/>
              <w:left w:val="nil"/>
              <w:bottom w:val="nil"/>
              <w:right w:val="nil"/>
            </w:tcBorders>
            <w:shd w:val="clear" w:color="auto" w:fill="auto"/>
            <w:noWrap/>
            <w:vAlign w:val="bottom"/>
            <w:hideMark/>
          </w:tcPr>
          <w:p w14:paraId="61D2D370"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r>
      <w:tr w:rsidR="00D54129" w:rsidRPr="00397EC7" w14:paraId="47A60D2F" w14:textId="77777777" w:rsidTr="00DB5008">
        <w:trPr>
          <w:trHeight w:val="170"/>
          <w:jc w:val="center"/>
        </w:trPr>
        <w:tc>
          <w:tcPr>
            <w:tcW w:w="3211" w:type="dxa"/>
            <w:tcBorders>
              <w:top w:val="nil"/>
              <w:left w:val="nil"/>
              <w:bottom w:val="nil"/>
              <w:right w:val="nil"/>
            </w:tcBorders>
            <w:shd w:val="clear" w:color="auto" w:fill="auto"/>
            <w:noWrap/>
            <w:vAlign w:val="bottom"/>
            <w:hideMark/>
          </w:tcPr>
          <w:p w14:paraId="413058D0"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25-34</w:t>
            </w:r>
          </w:p>
        </w:tc>
        <w:tc>
          <w:tcPr>
            <w:tcW w:w="2835" w:type="dxa"/>
            <w:tcBorders>
              <w:top w:val="nil"/>
              <w:left w:val="nil"/>
              <w:bottom w:val="nil"/>
              <w:right w:val="nil"/>
            </w:tcBorders>
            <w:shd w:val="clear" w:color="auto" w:fill="auto"/>
            <w:noWrap/>
            <w:vAlign w:val="bottom"/>
            <w:hideMark/>
          </w:tcPr>
          <w:p w14:paraId="76CBF2C2"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1.25 [0.88-1.78]</w:t>
            </w:r>
          </w:p>
        </w:tc>
        <w:tc>
          <w:tcPr>
            <w:tcW w:w="881" w:type="dxa"/>
            <w:tcBorders>
              <w:top w:val="nil"/>
              <w:left w:val="nil"/>
              <w:bottom w:val="nil"/>
              <w:right w:val="nil"/>
            </w:tcBorders>
            <w:shd w:val="clear" w:color="auto" w:fill="auto"/>
            <w:noWrap/>
            <w:vAlign w:val="bottom"/>
            <w:hideMark/>
          </w:tcPr>
          <w:p w14:paraId="092CFC75"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0.22</w:t>
            </w:r>
          </w:p>
        </w:tc>
        <w:tc>
          <w:tcPr>
            <w:tcW w:w="191" w:type="dxa"/>
            <w:tcBorders>
              <w:top w:val="nil"/>
              <w:left w:val="nil"/>
              <w:bottom w:val="nil"/>
              <w:right w:val="nil"/>
            </w:tcBorders>
            <w:shd w:val="clear" w:color="auto" w:fill="auto"/>
            <w:noWrap/>
            <w:vAlign w:val="bottom"/>
            <w:hideMark/>
          </w:tcPr>
          <w:p w14:paraId="1DDDD146"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61B229D1"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0.96 [0.64-1.44]</w:t>
            </w:r>
          </w:p>
        </w:tc>
        <w:tc>
          <w:tcPr>
            <w:tcW w:w="959" w:type="dxa"/>
            <w:tcBorders>
              <w:top w:val="nil"/>
              <w:left w:val="nil"/>
              <w:bottom w:val="nil"/>
              <w:right w:val="nil"/>
            </w:tcBorders>
            <w:shd w:val="clear" w:color="auto" w:fill="auto"/>
            <w:noWrap/>
            <w:vAlign w:val="bottom"/>
            <w:hideMark/>
          </w:tcPr>
          <w:p w14:paraId="0AFB2A65"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0.84</w:t>
            </w:r>
          </w:p>
        </w:tc>
        <w:tc>
          <w:tcPr>
            <w:tcW w:w="191" w:type="dxa"/>
            <w:tcBorders>
              <w:top w:val="nil"/>
              <w:left w:val="nil"/>
              <w:bottom w:val="nil"/>
              <w:right w:val="nil"/>
            </w:tcBorders>
            <w:shd w:val="clear" w:color="auto" w:fill="auto"/>
            <w:noWrap/>
            <w:vAlign w:val="bottom"/>
            <w:hideMark/>
          </w:tcPr>
          <w:p w14:paraId="609614A5"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78A2E15E"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1.08 [0.78-1.50]</w:t>
            </w:r>
          </w:p>
        </w:tc>
        <w:tc>
          <w:tcPr>
            <w:tcW w:w="768" w:type="dxa"/>
            <w:tcBorders>
              <w:top w:val="nil"/>
              <w:left w:val="nil"/>
              <w:bottom w:val="nil"/>
              <w:right w:val="nil"/>
            </w:tcBorders>
            <w:shd w:val="clear" w:color="auto" w:fill="auto"/>
            <w:noWrap/>
            <w:vAlign w:val="bottom"/>
            <w:hideMark/>
          </w:tcPr>
          <w:p w14:paraId="1BACD4C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0.65</w:t>
            </w:r>
          </w:p>
        </w:tc>
        <w:tc>
          <w:tcPr>
            <w:tcW w:w="191" w:type="dxa"/>
            <w:tcBorders>
              <w:top w:val="nil"/>
              <w:left w:val="nil"/>
              <w:bottom w:val="nil"/>
              <w:right w:val="nil"/>
            </w:tcBorders>
            <w:shd w:val="clear" w:color="auto" w:fill="auto"/>
            <w:noWrap/>
            <w:vAlign w:val="bottom"/>
            <w:hideMark/>
          </w:tcPr>
          <w:p w14:paraId="506B92E9"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49EFCC76"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0.88 [0.67-1.14]</w:t>
            </w:r>
          </w:p>
        </w:tc>
        <w:tc>
          <w:tcPr>
            <w:tcW w:w="850" w:type="dxa"/>
            <w:tcBorders>
              <w:top w:val="nil"/>
              <w:left w:val="nil"/>
              <w:bottom w:val="nil"/>
              <w:right w:val="nil"/>
            </w:tcBorders>
            <w:shd w:val="clear" w:color="auto" w:fill="auto"/>
            <w:noWrap/>
            <w:vAlign w:val="bottom"/>
            <w:hideMark/>
          </w:tcPr>
          <w:p w14:paraId="0F83A03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0.33</w:t>
            </w:r>
          </w:p>
        </w:tc>
      </w:tr>
      <w:tr w:rsidR="00D54129" w:rsidRPr="00397EC7" w14:paraId="664709AC" w14:textId="77777777" w:rsidTr="00DB5008">
        <w:trPr>
          <w:trHeight w:val="170"/>
          <w:jc w:val="center"/>
        </w:trPr>
        <w:tc>
          <w:tcPr>
            <w:tcW w:w="3211" w:type="dxa"/>
            <w:tcBorders>
              <w:top w:val="nil"/>
              <w:left w:val="nil"/>
              <w:bottom w:val="nil"/>
              <w:right w:val="nil"/>
            </w:tcBorders>
            <w:shd w:val="clear" w:color="auto" w:fill="auto"/>
            <w:noWrap/>
            <w:vAlign w:val="bottom"/>
            <w:hideMark/>
          </w:tcPr>
          <w:p w14:paraId="4854AE8C"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≥35</w:t>
            </w:r>
          </w:p>
        </w:tc>
        <w:tc>
          <w:tcPr>
            <w:tcW w:w="2835" w:type="dxa"/>
            <w:tcBorders>
              <w:top w:val="nil"/>
              <w:left w:val="nil"/>
              <w:bottom w:val="nil"/>
              <w:right w:val="nil"/>
            </w:tcBorders>
            <w:shd w:val="clear" w:color="auto" w:fill="auto"/>
            <w:noWrap/>
            <w:vAlign w:val="bottom"/>
            <w:hideMark/>
          </w:tcPr>
          <w:p w14:paraId="73B90EF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0.81 [0.44-1.49]</w:t>
            </w:r>
          </w:p>
        </w:tc>
        <w:tc>
          <w:tcPr>
            <w:tcW w:w="881" w:type="dxa"/>
            <w:tcBorders>
              <w:top w:val="nil"/>
              <w:left w:val="nil"/>
              <w:bottom w:val="nil"/>
              <w:right w:val="nil"/>
            </w:tcBorders>
            <w:shd w:val="clear" w:color="auto" w:fill="auto"/>
            <w:noWrap/>
            <w:vAlign w:val="bottom"/>
            <w:hideMark/>
          </w:tcPr>
          <w:p w14:paraId="1D801F54"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0.50</w:t>
            </w:r>
          </w:p>
        </w:tc>
        <w:tc>
          <w:tcPr>
            <w:tcW w:w="191" w:type="dxa"/>
            <w:tcBorders>
              <w:top w:val="nil"/>
              <w:left w:val="nil"/>
              <w:bottom w:val="nil"/>
              <w:right w:val="nil"/>
            </w:tcBorders>
            <w:shd w:val="clear" w:color="auto" w:fill="auto"/>
            <w:noWrap/>
            <w:vAlign w:val="bottom"/>
            <w:hideMark/>
          </w:tcPr>
          <w:p w14:paraId="573EAE42"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1AB0048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1.41 [0.82-2.44]</w:t>
            </w:r>
          </w:p>
        </w:tc>
        <w:tc>
          <w:tcPr>
            <w:tcW w:w="959" w:type="dxa"/>
            <w:tcBorders>
              <w:top w:val="nil"/>
              <w:left w:val="nil"/>
              <w:bottom w:val="nil"/>
              <w:right w:val="nil"/>
            </w:tcBorders>
            <w:shd w:val="clear" w:color="auto" w:fill="auto"/>
            <w:noWrap/>
            <w:vAlign w:val="bottom"/>
            <w:hideMark/>
          </w:tcPr>
          <w:p w14:paraId="6DAA6DC1"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0.21</w:t>
            </w:r>
          </w:p>
        </w:tc>
        <w:tc>
          <w:tcPr>
            <w:tcW w:w="191" w:type="dxa"/>
            <w:tcBorders>
              <w:top w:val="nil"/>
              <w:left w:val="nil"/>
              <w:bottom w:val="nil"/>
              <w:right w:val="nil"/>
            </w:tcBorders>
            <w:shd w:val="clear" w:color="auto" w:fill="auto"/>
            <w:noWrap/>
            <w:vAlign w:val="bottom"/>
            <w:hideMark/>
          </w:tcPr>
          <w:p w14:paraId="3E418697"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72D523E5"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1.40 [0.90-2.19]</w:t>
            </w:r>
          </w:p>
        </w:tc>
        <w:tc>
          <w:tcPr>
            <w:tcW w:w="768" w:type="dxa"/>
            <w:tcBorders>
              <w:top w:val="nil"/>
              <w:left w:val="nil"/>
              <w:bottom w:val="nil"/>
              <w:right w:val="nil"/>
            </w:tcBorders>
            <w:shd w:val="clear" w:color="auto" w:fill="auto"/>
            <w:noWrap/>
            <w:vAlign w:val="bottom"/>
            <w:hideMark/>
          </w:tcPr>
          <w:p w14:paraId="75CF0E9C"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0.14</w:t>
            </w:r>
          </w:p>
        </w:tc>
        <w:tc>
          <w:tcPr>
            <w:tcW w:w="191" w:type="dxa"/>
            <w:tcBorders>
              <w:top w:val="nil"/>
              <w:left w:val="nil"/>
              <w:bottom w:val="nil"/>
              <w:right w:val="nil"/>
            </w:tcBorders>
            <w:shd w:val="clear" w:color="auto" w:fill="auto"/>
            <w:noWrap/>
            <w:vAlign w:val="bottom"/>
            <w:hideMark/>
          </w:tcPr>
          <w:p w14:paraId="237071A2"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2BC40A2D"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0.97 [0.65-1.44]</w:t>
            </w:r>
          </w:p>
        </w:tc>
        <w:tc>
          <w:tcPr>
            <w:tcW w:w="850" w:type="dxa"/>
            <w:tcBorders>
              <w:top w:val="nil"/>
              <w:left w:val="nil"/>
              <w:bottom w:val="nil"/>
              <w:right w:val="nil"/>
            </w:tcBorders>
            <w:shd w:val="clear" w:color="auto" w:fill="auto"/>
            <w:noWrap/>
            <w:vAlign w:val="bottom"/>
            <w:hideMark/>
          </w:tcPr>
          <w:p w14:paraId="1AC72E4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0.87</w:t>
            </w:r>
          </w:p>
        </w:tc>
      </w:tr>
      <w:tr w:rsidR="00D54129" w:rsidRPr="00397EC7" w14:paraId="00AFC59E" w14:textId="77777777" w:rsidTr="00DB5008">
        <w:trPr>
          <w:trHeight w:val="170"/>
          <w:jc w:val="center"/>
        </w:trPr>
        <w:tc>
          <w:tcPr>
            <w:tcW w:w="3211" w:type="dxa"/>
            <w:tcBorders>
              <w:top w:val="nil"/>
              <w:left w:val="nil"/>
              <w:bottom w:val="nil"/>
              <w:right w:val="nil"/>
            </w:tcBorders>
            <w:shd w:val="clear" w:color="auto" w:fill="auto"/>
            <w:noWrap/>
            <w:vAlign w:val="bottom"/>
            <w:hideMark/>
          </w:tcPr>
          <w:p w14:paraId="4E4AE7F2"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not retrieved</w:t>
            </w:r>
          </w:p>
        </w:tc>
        <w:tc>
          <w:tcPr>
            <w:tcW w:w="2835" w:type="dxa"/>
            <w:tcBorders>
              <w:top w:val="nil"/>
              <w:left w:val="nil"/>
              <w:bottom w:val="nil"/>
              <w:right w:val="nil"/>
            </w:tcBorders>
            <w:shd w:val="clear" w:color="auto" w:fill="auto"/>
            <w:noWrap/>
            <w:vAlign w:val="bottom"/>
            <w:hideMark/>
          </w:tcPr>
          <w:p w14:paraId="2AB10E4D"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19.8 [14.8-26.3]</w:t>
            </w:r>
          </w:p>
        </w:tc>
        <w:tc>
          <w:tcPr>
            <w:tcW w:w="881" w:type="dxa"/>
            <w:tcBorders>
              <w:top w:val="nil"/>
              <w:left w:val="nil"/>
              <w:bottom w:val="nil"/>
              <w:right w:val="nil"/>
            </w:tcBorders>
            <w:shd w:val="clear" w:color="auto" w:fill="auto"/>
            <w:noWrap/>
            <w:vAlign w:val="bottom"/>
            <w:hideMark/>
          </w:tcPr>
          <w:p w14:paraId="657E5C3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3BA48552"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319B5E60"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5.45 [3.91-7.59]</w:t>
            </w:r>
          </w:p>
        </w:tc>
        <w:tc>
          <w:tcPr>
            <w:tcW w:w="959" w:type="dxa"/>
            <w:tcBorders>
              <w:top w:val="nil"/>
              <w:left w:val="nil"/>
              <w:bottom w:val="nil"/>
              <w:right w:val="nil"/>
            </w:tcBorders>
            <w:shd w:val="clear" w:color="auto" w:fill="auto"/>
            <w:noWrap/>
            <w:vAlign w:val="bottom"/>
            <w:hideMark/>
          </w:tcPr>
          <w:p w14:paraId="30805C92"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476C22C2"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1A7E3E8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8.72 [6.7-11.36]</w:t>
            </w:r>
          </w:p>
        </w:tc>
        <w:tc>
          <w:tcPr>
            <w:tcW w:w="768" w:type="dxa"/>
            <w:tcBorders>
              <w:top w:val="nil"/>
              <w:left w:val="nil"/>
              <w:bottom w:val="nil"/>
              <w:right w:val="nil"/>
            </w:tcBorders>
            <w:shd w:val="clear" w:color="auto" w:fill="auto"/>
            <w:noWrap/>
            <w:vAlign w:val="bottom"/>
            <w:hideMark/>
          </w:tcPr>
          <w:p w14:paraId="7831708B"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1BB78AD8"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6B564E2B"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8.50 [6.92-10.4]</w:t>
            </w:r>
          </w:p>
        </w:tc>
        <w:tc>
          <w:tcPr>
            <w:tcW w:w="850" w:type="dxa"/>
            <w:tcBorders>
              <w:top w:val="nil"/>
              <w:left w:val="nil"/>
              <w:bottom w:val="nil"/>
              <w:right w:val="nil"/>
            </w:tcBorders>
            <w:shd w:val="clear" w:color="auto" w:fill="auto"/>
            <w:noWrap/>
            <w:vAlign w:val="bottom"/>
            <w:hideMark/>
          </w:tcPr>
          <w:p w14:paraId="6901AF52"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D54129" w:rsidRPr="00397EC7" w14:paraId="351B8732" w14:textId="77777777" w:rsidTr="00DB5008">
        <w:trPr>
          <w:trHeight w:val="170"/>
          <w:jc w:val="center"/>
        </w:trPr>
        <w:tc>
          <w:tcPr>
            <w:tcW w:w="3211" w:type="dxa"/>
            <w:tcBorders>
              <w:top w:val="nil"/>
              <w:left w:val="nil"/>
              <w:bottom w:val="nil"/>
              <w:right w:val="nil"/>
            </w:tcBorders>
            <w:shd w:val="clear" w:color="auto" w:fill="auto"/>
            <w:noWrap/>
            <w:vAlign w:val="bottom"/>
            <w:hideMark/>
          </w:tcPr>
          <w:p w14:paraId="723CF64B" w14:textId="77777777" w:rsidR="00D54129" w:rsidRPr="00397EC7" w:rsidRDefault="00D54129" w:rsidP="00DB5008">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Number of procedures performed during the previous year</w:t>
            </w:r>
          </w:p>
        </w:tc>
        <w:tc>
          <w:tcPr>
            <w:tcW w:w="2835" w:type="dxa"/>
            <w:tcBorders>
              <w:top w:val="nil"/>
              <w:left w:val="nil"/>
              <w:bottom w:val="nil"/>
              <w:right w:val="nil"/>
            </w:tcBorders>
            <w:shd w:val="clear" w:color="auto" w:fill="auto"/>
            <w:noWrap/>
            <w:vAlign w:val="bottom"/>
            <w:hideMark/>
          </w:tcPr>
          <w:p w14:paraId="27C1886B"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881" w:type="dxa"/>
            <w:tcBorders>
              <w:top w:val="nil"/>
              <w:left w:val="nil"/>
              <w:bottom w:val="nil"/>
              <w:right w:val="nil"/>
            </w:tcBorders>
            <w:shd w:val="clear" w:color="auto" w:fill="auto"/>
            <w:noWrap/>
            <w:vAlign w:val="bottom"/>
            <w:hideMark/>
          </w:tcPr>
          <w:p w14:paraId="469B48C3"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4E433D27"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048DD29E"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959" w:type="dxa"/>
            <w:tcBorders>
              <w:top w:val="nil"/>
              <w:left w:val="nil"/>
              <w:bottom w:val="nil"/>
              <w:right w:val="nil"/>
            </w:tcBorders>
            <w:shd w:val="clear" w:color="auto" w:fill="auto"/>
            <w:noWrap/>
            <w:vAlign w:val="bottom"/>
            <w:hideMark/>
          </w:tcPr>
          <w:p w14:paraId="4FD5BBE2"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5595A7B0"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694EFBED"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768" w:type="dxa"/>
            <w:tcBorders>
              <w:top w:val="nil"/>
              <w:left w:val="nil"/>
              <w:bottom w:val="nil"/>
              <w:right w:val="nil"/>
            </w:tcBorders>
            <w:shd w:val="clear" w:color="auto" w:fill="auto"/>
            <w:noWrap/>
            <w:vAlign w:val="bottom"/>
            <w:hideMark/>
          </w:tcPr>
          <w:p w14:paraId="1623B002"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7223E855"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6694FA24"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850" w:type="dxa"/>
            <w:tcBorders>
              <w:top w:val="nil"/>
              <w:left w:val="nil"/>
              <w:bottom w:val="nil"/>
              <w:right w:val="nil"/>
            </w:tcBorders>
            <w:shd w:val="clear" w:color="auto" w:fill="auto"/>
            <w:noWrap/>
            <w:vAlign w:val="bottom"/>
            <w:hideMark/>
          </w:tcPr>
          <w:p w14:paraId="7C4D1B41"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r>
      <w:tr w:rsidR="00D54129" w:rsidRPr="00397EC7" w14:paraId="10707546" w14:textId="77777777" w:rsidTr="00DB5008">
        <w:trPr>
          <w:trHeight w:val="170"/>
          <w:jc w:val="center"/>
        </w:trPr>
        <w:tc>
          <w:tcPr>
            <w:tcW w:w="3211" w:type="dxa"/>
            <w:tcBorders>
              <w:top w:val="nil"/>
              <w:left w:val="nil"/>
              <w:bottom w:val="nil"/>
              <w:right w:val="nil"/>
            </w:tcBorders>
            <w:shd w:val="clear" w:color="auto" w:fill="auto"/>
            <w:noWrap/>
            <w:vAlign w:val="bottom"/>
            <w:hideMark/>
          </w:tcPr>
          <w:p w14:paraId="7C1E694B"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&lt;150</w:t>
            </w:r>
          </w:p>
        </w:tc>
        <w:tc>
          <w:tcPr>
            <w:tcW w:w="2835" w:type="dxa"/>
            <w:tcBorders>
              <w:top w:val="nil"/>
              <w:left w:val="nil"/>
              <w:bottom w:val="nil"/>
              <w:right w:val="nil"/>
            </w:tcBorders>
            <w:shd w:val="clear" w:color="auto" w:fill="auto"/>
            <w:noWrap/>
            <w:vAlign w:val="bottom"/>
            <w:hideMark/>
          </w:tcPr>
          <w:p w14:paraId="35BA642C"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0.67 [0.15-2.94]</w:t>
            </w:r>
          </w:p>
        </w:tc>
        <w:tc>
          <w:tcPr>
            <w:tcW w:w="881" w:type="dxa"/>
            <w:tcBorders>
              <w:top w:val="nil"/>
              <w:left w:val="nil"/>
              <w:bottom w:val="nil"/>
              <w:right w:val="nil"/>
            </w:tcBorders>
            <w:shd w:val="clear" w:color="auto" w:fill="auto"/>
            <w:noWrap/>
            <w:vAlign w:val="bottom"/>
            <w:hideMark/>
          </w:tcPr>
          <w:p w14:paraId="4AA1C479"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0.59</w:t>
            </w:r>
          </w:p>
        </w:tc>
        <w:tc>
          <w:tcPr>
            <w:tcW w:w="191" w:type="dxa"/>
            <w:tcBorders>
              <w:top w:val="nil"/>
              <w:left w:val="nil"/>
              <w:bottom w:val="nil"/>
              <w:right w:val="nil"/>
            </w:tcBorders>
            <w:shd w:val="clear" w:color="auto" w:fill="auto"/>
            <w:noWrap/>
            <w:vAlign w:val="bottom"/>
            <w:hideMark/>
          </w:tcPr>
          <w:p w14:paraId="3AFB43A7"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545F3482"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1.80 [0.64-5.05]</w:t>
            </w:r>
          </w:p>
        </w:tc>
        <w:tc>
          <w:tcPr>
            <w:tcW w:w="959" w:type="dxa"/>
            <w:tcBorders>
              <w:top w:val="nil"/>
              <w:left w:val="nil"/>
              <w:bottom w:val="nil"/>
              <w:right w:val="nil"/>
            </w:tcBorders>
            <w:shd w:val="clear" w:color="auto" w:fill="auto"/>
            <w:noWrap/>
            <w:vAlign w:val="bottom"/>
            <w:hideMark/>
          </w:tcPr>
          <w:p w14:paraId="636E4D12"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0.26</w:t>
            </w:r>
          </w:p>
        </w:tc>
        <w:tc>
          <w:tcPr>
            <w:tcW w:w="191" w:type="dxa"/>
            <w:tcBorders>
              <w:top w:val="nil"/>
              <w:left w:val="nil"/>
              <w:bottom w:val="nil"/>
              <w:right w:val="nil"/>
            </w:tcBorders>
            <w:shd w:val="clear" w:color="auto" w:fill="auto"/>
            <w:noWrap/>
            <w:vAlign w:val="bottom"/>
            <w:hideMark/>
          </w:tcPr>
          <w:p w14:paraId="198F9052"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33A05908"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1.62 [0.76-3.46]</w:t>
            </w:r>
          </w:p>
        </w:tc>
        <w:tc>
          <w:tcPr>
            <w:tcW w:w="768" w:type="dxa"/>
            <w:tcBorders>
              <w:top w:val="nil"/>
              <w:left w:val="nil"/>
              <w:bottom w:val="nil"/>
              <w:right w:val="nil"/>
            </w:tcBorders>
            <w:shd w:val="clear" w:color="auto" w:fill="auto"/>
            <w:noWrap/>
            <w:vAlign w:val="bottom"/>
            <w:hideMark/>
          </w:tcPr>
          <w:p w14:paraId="29844713"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0.21</w:t>
            </w:r>
          </w:p>
        </w:tc>
        <w:tc>
          <w:tcPr>
            <w:tcW w:w="191" w:type="dxa"/>
            <w:tcBorders>
              <w:top w:val="nil"/>
              <w:left w:val="nil"/>
              <w:bottom w:val="nil"/>
              <w:right w:val="nil"/>
            </w:tcBorders>
            <w:shd w:val="clear" w:color="auto" w:fill="auto"/>
            <w:noWrap/>
            <w:vAlign w:val="bottom"/>
            <w:hideMark/>
          </w:tcPr>
          <w:p w14:paraId="52A75C19"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79850DC2"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1.25 [0.57-2.72]</w:t>
            </w:r>
          </w:p>
        </w:tc>
        <w:tc>
          <w:tcPr>
            <w:tcW w:w="850" w:type="dxa"/>
            <w:tcBorders>
              <w:top w:val="nil"/>
              <w:left w:val="nil"/>
              <w:bottom w:val="nil"/>
              <w:right w:val="nil"/>
            </w:tcBorders>
            <w:shd w:val="clear" w:color="auto" w:fill="auto"/>
            <w:noWrap/>
            <w:vAlign w:val="bottom"/>
            <w:hideMark/>
          </w:tcPr>
          <w:p w14:paraId="006DD426"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0.58</w:t>
            </w:r>
          </w:p>
        </w:tc>
      </w:tr>
      <w:tr w:rsidR="00D54129" w:rsidRPr="00397EC7" w14:paraId="234D5E4B" w14:textId="77777777" w:rsidTr="00DB5008">
        <w:trPr>
          <w:trHeight w:val="170"/>
          <w:jc w:val="center"/>
        </w:trPr>
        <w:tc>
          <w:tcPr>
            <w:tcW w:w="3211" w:type="dxa"/>
            <w:tcBorders>
              <w:top w:val="nil"/>
              <w:left w:val="nil"/>
              <w:bottom w:val="nil"/>
              <w:right w:val="nil"/>
            </w:tcBorders>
            <w:shd w:val="clear" w:color="auto" w:fill="auto"/>
            <w:noWrap/>
            <w:vAlign w:val="bottom"/>
            <w:hideMark/>
          </w:tcPr>
          <w:p w14:paraId="454FAC23"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150-299</w:t>
            </w:r>
          </w:p>
        </w:tc>
        <w:tc>
          <w:tcPr>
            <w:tcW w:w="2835" w:type="dxa"/>
            <w:tcBorders>
              <w:top w:val="nil"/>
              <w:left w:val="nil"/>
              <w:bottom w:val="nil"/>
              <w:right w:val="nil"/>
            </w:tcBorders>
            <w:shd w:val="clear" w:color="auto" w:fill="auto"/>
            <w:noWrap/>
            <w:vAlign w:val="bottom"/>
            <w:hideMark/>
          </w:tcPr>
          <w:p w14:paraId="1C8B986A"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1.03 [0.48-2.22]</w:t>
            </w:r>
          </w:p>
        </w:tc>
        <w:tc>
          <w:tcPr>
            <w:tcW w:w="881" w:type="dxa"/>
            <w:tcBorders>
              <w:top w:val="nil"/>
              <w:left w:val="nil"/>
              <w:bottom w:val="nil"/>
              <w:right w:val="nil"/>
            </w:tcBorders>
            <w:shd w:val="clear" w:color="auto" w:fill="auto"/>
            <w:noWrap/>
            <w:vAlign w:val="bottom"/>
            <w:hideMark/>
          </w:tcPr>
          <w:p w14:paraId="3262E6A3"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0.95</w:t>
            </w:r>
          </w:p>
        </w:tc>
        <w:tc>
          <w:tcPr>
            <w:tcW w:w="191" w:type="dxa"/>
            <w:tcBorders>
              <w:top w:val="nil"/>
              <w:left w:val="nil"/>
              <w:bottom w:val="nil"/>
              <w:right w:val="nil"/>
            </w:tcBorders>
            <w:shd w:val="clear" w:color="auto" w:fill="auto"/>
            <w:noWrap/>
            <w:vAlign w:val="bottom"/>
            <w:hideMark/>
          </w:tcPr>
          <w:p w14:paraId="1736C3AC"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2AFD69C3"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1.01 [0.45-2.26]</w:t>
            </w:r>
          </w:p>
        </w:tc>
        <w:tc>
          <w:tcPr>
            <w:tcW w:w="959" w:type="dxa"/>
            <w:tcBorders>
              <w:top w:val="nil"/>
              <w:left w:val="nil"/>
              <w:bottom w:val="nil"/>
              <w:right w:val="nil"/>
            </w:tcBorders>
            <w:shd w:val="clear" w:color="auto" w:fill="auto"/>
            <w:noWrap/>
            <w:vAlign w:val="bottom"/>
            <w:hideMark/>
          </w:tcPr>
          <w:p w14:paraId="56CF343B"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0.97</w:t>
            </w:r>
          </w:p>
        </w:tc>
        <w:tc>
          <w:tcPr>
            <w:tcW w:w="191" w:type="dxa"/>
            <w:tcBorders>
              <w:top w:val="nil"/>
              <w:left w:val="nil"/>
              <w:bottom w:val="nil"/>
              <w:right w:val="nil"/>
            </w:tcBorders>
            <w:shd w:val="clear" w:color="auto" w:fill="auto"/>
            <w:noWrap/>
            <w:vAlign w:val="bottom"/>
            <w:hideMark/>
          </w:tcPr>
          <w:p w14:paraId="6613A5D4"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1ACDB386"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0.88 [0.49-1.58]</w:t>
            </w:r>
          </w:p>
        </w:tc>
        <w:tc>
          <w:tcPr>
            <w:tcW w:w="768" w:type="dxa"/>
            <w:tcBorders>
              <w:top w:val="nil"/>
              <w:left w:val="nil"/>
              <w:bottom w:val="nil"/>
              <w:right w:val="nil"/>
            </w:tcBorders>
            <w:shd w:val="clear" w:color="auto" w:fill="auto"/>
            <w:noWrap/>
            <w:vAlign w:val="bottom"/>
            <w:hideMark/>
          </w:tcPr>
          <w:p w14:paraId="606CD8AB"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0.66</w:t>
            </w:r>
          </w:p>
        </w:tc>
        <w:tc>
          <w:tcPr>
            <w:tcW w:w="191" w:type="dxa"/>
            <w:tcBorders>
              <w:top w:val="nil"/>
              <w:left w:val="nil"/>
              <w:bottom w:val="nil"/>
              <w:right w:val="nil"/>
            </w:tcBorders>
            <w:shd w:val="clear" w:color="auto" w:fill="auto"/>
            <w:noWrap/>
            <w:vAlign w:val="bottom"/>
            <w:hideMark/>
          </w:tcPr>
          <w:p w14:paraId="4AC112C7"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6BFA4364"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1.04 [0.62-1.76]</w:t>
            </w:r>
          </w:p>
        </w:tc>
        <w:tc>
          <w:tcPr>
            <w:tcW w:w="850" w:type="dxa"/>
            <w:tcBorders>
              <w:top w:val="nil"/>
              <w:left w:val="nil"/>
              <w:bottom w:val="nil"/>
              <w:right w:val="nil"/>
            </w:tcBorders>
            <w:shd w:val="clear" w:color="auto" w:fill="auto"/>
            <w:noWrap/>
            <w:vAlign w:val="bottom"/>
            <w:hideMark/>
          </w:tcPr>
          <w:p w14:paraId="7AF85121"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0.89</w:t>
            </w:r>
          </w:p>
        </w:tc>
      </w:tr>
      <w:tr w:rsidR="00D54129" w:rsidRPr="00397EC7" w14:paraId="2F764E88" w14:textId="77777777" w:rsidTr="00DB5008">
        <w:trPr>
          <w:trHeight w:val="170"/>
          <w:jc w:val="center"/>
        </w:trPr>
        <w:tc>
          <w:tcPr>
            <w:tcW w:w="3211" w:type="dxa"/>
            <w:tcBorders>
              <w:top w:val="nil"/>
              <w:left w:val="nil"/>
              <w:bottom w:val="nil"/>
              <w:right w:val="nil"/>
            </w:tcBorders>
            <w:shd w:val="clear" w:color="auto" w:fill="auto"/>
            <w:noWrap/>
            <w:vAlign w:val="bottom"/>
            <w:hideMark/>
          </w:tcPr>
          <w:p w14:paraId="6A272E19"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300-599</w:t>
            </w:r>
          </w:p>
        </w:tc>
        <w:tc>
          <w:tcPr>
            <w:tcW w:w="2835" w:type="dxa"/>
            <w:tcBorders>
              <w:top w:val="nil"/>
              <w:left w:val="nil"/>
              <w:bottom w:val="nil"/>
              <w:right w:val="nil"/>
            </w:tcBorders>
            <w:shd w:val="clear" w:color="auto" w:fill="auto"/>
            <w:noWrap/>
            <w:vAlign w:val="bottom"/>
            <w:hideMark/>
          </w:tcPr>
          <w:p w14:paraId="7C20608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1.29 [0.73-2.27]</w:t>
            </w:r>
          </w:p>
        </w:tc>
        <w:tc>
          <w:tcPr>
            <w:tcW w:w="881" w:type="dxa"/>
            <w:tcBorders>
              <w:top w:val="nil"/>
              <w:left w:val="nil"/>
              <w:bottom w:val="nil"/>
              <w:right w:val="nil"/>
            </w:tcBorders>
            <w:shd w:val="clear" w:color="auto" w:fill="auto"/>
            <w:noWrap/>
            <w:vAlign w:val="bottom"/>
            <w:hideMark/>
          </w:tcPr>
          <w:p w14:paraId="01240705"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0.39</w:t>
            </w:r>
          </w:p>
        </w:tc>
        <w:tc>
          <w:tcPr>
            <w:tcW w:w="191" w:type="dxa"/>
            <w:tcBorders>
              <w:top w:val="nil"/>
              <w:left w:val="nil"/>
              <w:bottom w:val="nil"/>
              <w:right w:val="nil"/>
            </w:tcBorders>
            <w:shd w:val="clear" w:color="auto" w:fill="auto"/>
            <w:noWrap/>
            <w:vAlign w:val="bottom"/>
            <w:hideMark/>
          </w:tcPr>
          <w:p w14:paraId="5E2DF48D"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240BA5BC"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0.89 [0.48-1.63]</w:t>
            </w:r>
          </w:p>
        </w:tc>
        <w:tc>
          <w:tcPr>
            <w:tcW w:w="959" w:type="dxa"/>
            <w:tcBorders>
              <w:top w:val="nil"/>
              <w:left w:val="nil"/>
              <w:bottom w:val="nil"/>
              <w:right w:val="nil"/>
            </w:tcBorders>
            <w:shd w:val="clear" w:color="auto" w:fill="auto"/>
            <w:noWrap/>
            <w:vAlign w:val="bottom"/>
            <w:hideMark/>
          </w:tcPr>
          <w:p w14:paraId="6DE1DA70"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0.70</w:t>
            </w:r>
          </w:p>
        </w:tc>
        <w:tc>
          <w:tcPr>
            <w:tcW w:w="191" w:type="dxa"/>
            <w:tcBorders>
              <w:top w:val="nil"/>
              <w:left w:val="nil"/>
              <w:bottom w:val="nil"/>
              <w:right w:val="nil"/>
            </w:tcBorders>
            <w:shd w:val="clear" w:color="auto" w:fill="auto"/>
            <w:noWrap/>
            <w:vAlign w:val="bottom"/>
            <w:hideMark/>
          </w:tcPr>
          <w:p w14:paraId="0C85DCEC"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0679024F"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0.68 [0.44-1.06]</w:t>
            </w:r>
          </w:p>
        </w:tc>
        <w:tc>
          <w:tcPr>
            <w:tcW w:w="768" w:type="dxa"/>
            <w:tcBorders>
              <w:top w:val="nil"/>
              <w:left w:val="nil"/>
              <w:bottom w:val="nil"/>
              <w:right w:val="nil"/>
            </w:tcBorders>
            <w:shd w:val="clear" w:color="auto" w:fill="auto"/>
            <w:noWrap/>
            <w:vAlign w:val="bottom"/>
            <w:hideMark/>
          </w:tcPr>
          <w:p w14:paraId="6B5A497E"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0.092</w:t>
            </w:r>
          </w:p>
        </w:tc>
        <w:tc>
          <w:tcPr>
            <w:tcW w:w="191" w:type="dxa"/>
            <w:tcBorders>
              <w:top w:val="nil"/>
              <w:left w:val="nil"/>
              <w:bottom w:val="nil"/>
              <w:right w:val="nil"/>
            </w:tcBorders>
            <w:shd w:val="clear" w:color="auto" w:fill="auto"/>
            <w:noWrap/>
            <w:vAlign w:val="bottom"/>
            <w:hideMark/>
          </w:tcPr>
          <w:p w14:paraId="01C25AD7"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1823AB85"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1.04 [0.70-1.54]</w:t>
            </w:r>
          </w:p>
        </w:tc>
        <w:tc>
          <w:tcPr>
            <w:tcW w:w="850" w:type="dxa"/>
            <w:tcBorders>
              <w:top w:val="nil"/>
              <w:left w:val="nil"/>
              <w:bottom w:val="nil"/>
              <w:right w:val="nil"/>
            </w:tcBorders>
            <w:shd w:val="clear" w:color="auto" w:fill="auto"/>
            <w:noWrap/>
            <w:vAlign w:val="bottom"/>
            <w:hideMark/>
          </w:tcPr>
          <w:p w14:paraId="2B77D6C0"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0.86</w:t>
            </w:r>
          </w:p>
        </w:tc>
      </w:tr>
      <w:tr w:rsidR="00D54129" w:rsidRPr="00397EC7" w14:paraId="38FA2249" w14:textId="77777777" w:rsidTr="00DB5008">
        <w:trPr>
          <w:trHeight w:val="170"/>
          <w:jc w:val="center"/>
        </w:trPr>
        <w:tc>
          <w:tcPr>
            <w:tcW w:w="3211" w:type="dxa"/>
            <w:tcBorders>
              <w:top w:val="nil"/>
              <w:left w:val="nil"/>
              <w:bottom w:val="nil"/>
              <w:right w:val="nil"/>
            </w:tcBorders>
            <w:shd w:val="clear" w:color="auto" w:fill="auto"/>
            <w:noWrap/>
            <w:vAlign w:val="bottom"/>
            <w:hideMark/>
          </w:tcPr>
          <w:p w14:paraId="68AF7585"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600-999</w:t>
            </w:r>
          </w:p>
        </w:tc>
        <w:tc>
          <w:tcPr>
            <w:tcW w:w="2835" w:type="dxa"/>
            <w:tcBorders>
              <w:top w:val="nil"/>
              <w:left w:val="nil"/>
              <w:bottom w:val="nil"/>
              <w:right w:val="nil"/>
            </w:tcBorders>
            <w:shd w:val="clear" w:color="auto" w:fill="auto"/>
            <w:noWrap/>
            <w:vAlign w:val="bottom"/>
            <w:hideMark/>
          </w:tcPr>
          <w:p w14:paraId="2E3C5F69"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0.92 [0.51-1.66]</w:t>
            </w:r>
          </w:p>
        </w:tc>
        <w:tc>
          <w:tcPr>
            <w:tcW w:w="881" w:type="dxa"/>
            <w:tcBorders>
              <w:top w:val="nil"/>
              <w:left w:val="nil"/>
              <w:bottom w:val="nil"/>
              <w:right w:val="nil"/>
            </w:tcBorders>
            <w:shd w:val="clear" w:color="auto" w:fill="auto"/>
            <w:noWrap/>
            <w:vAlign w:val="bottom"/>
            <w:hideMark/>
          </w:tcPr>
          <w:p w14:paraId="5D250ECB"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0.78</w:t>
            </w:r>
          </w:p>
        </w:tc>
        <w:tc>
          <w:tcPr>
            <w:tcW w:w="191" w:type="dxa"/>
            <w:tcBorders>
              <w:top w:val="nil"/>
              <w:left w:val="nil"/>
              <w:bottom w:val="nil"/>
              <w:right w:val="nil"/>
            </w:tcBorders>
            <w:shd w:val="clear" w:color="auto" w:fill="auto"/>
            <w:noWrap/>
            <w:vAlign w:val="bottom"/>
            <w:hideMark/>
          </w:tcPr>
          <w:p w14:paraId="71B55ECE"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5602F59A"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0.85 [0.46-1.57]</w:t>
            </w:r>
          </w:p>
        </w:tc>
        <w:tc>
          <w:tcPr>
            <w:tcW w:w="959" w:type="dxa"/>
            <w:tcBorders>
              <w:top w:val="nil"/>
              <w:left w:val="nil"/>
              <w:bottom w:val="nil"/>
              <w:right w:val="nil"/>
            </w:tcBorders>
            <w:shd w:val="clear" w:color="auto" w:fill="auto"/>
            <w:noWrap/>
            <w:vAlign w:val="bottom"/>
            <w:hideMark/>
          </w:tcPr>
          <w:p w14:paraId="4A94FD05"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0.59</w:t>
            </w:r>
          </w:p>
        </w:tc>
        <w:tc>
          <w:tcPr>
            <w:tcW w:w="191" w:type="dxa"/>
            <w:tcBorders>
              <w:top w:val="nil"/>
              <w:left w:val="nil"/>
              <w:bottom w:val="nil"/>
              <w:right w:val="nil"/>
            </w:tcBorders>
            <w:shd w:val="clear" w:color="auto" w:fill="auto"/>
            <w:noWrap/>
            <w:vAlign w:val="bottom"/>
            <w:hideMark/>
          </w:tcPr>
          <w:p w14:paraId="50BB8E1E"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464804EB"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0.74 [0.48-1.16]</w:t>
            </w:r>
          </w:p>
        </w:tc>
        <w:tc>
          <w:tcPr>
            <w:tcW w:w="768" w:type="dxa"/>
            <w:tcBorders>
              <w:top w:val="nil"/>
              <w:left w:val="nil"/>
              <w:bottom w:val="nil"/>
              <w:right w:val="nil"/>
            </w:tcBorders>
            <w:shd w:val="clear" w:color="auto" w:fill="auto"/>
            <w:noWrap/>
            <w:vAlign w:val="bottom"/>
            <w:hideMark/>
          </w:tcPr>
          <w:p w14:paraId="53F1740D"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0.19</w:t>
            </w:r>
          </w:p>
        </w:tc>
        <w:tc>
          <w:tcPr>
            <w:tcW w:w="191" w:type="dxa"/>
            <w:tcBorders>
              <w:top w:val="nil"/>
              <w:left w:val="nil"/>
              <w:bottom w:val="nil"/>
              <w:right w:val="nil"/>
            </w:tcBorders>
            <w:shd w:val="clear" w:color="auto" w:fill="auto"/>
            <w:noWrap/>
            <w:vAlign w:val="bottom"/>
            <w:hideMark/>
          </w:tcPr>
          <w:p w14:paraId="70FDF7E7"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5A1C494F"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0.76 [0.50-1.14]</w:t>
            </w:r>
          </w:p>
        </w:tc>
        <w:tc>
          <w:tcPr>
            <w:tcW w:w="850" w:type="dxa"/>
            <w:tcBorders>
              <w:top w:val="nil"/>
              <w:left w:val="nil"/>
              <w:bottom w:val="nil"/>
              <w:right w:val="nil"/>
            </w:tcBorders>
            <w:shd w:val="clear" w:color="auto" w:fill="auto"/>
            <w:noWrap/>
            <w:vAlign w:val="bottom"/>
            <w:hideMark/>
          </w:tcPr>
          <w:p w14:paraId="0A35473A"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0.18</w:t>
            </w:r>
          </w:p>
        </w:tc>
      </w:tr>
      <w:tr w:rsidR="00D54129" w:rsidRPr="00397EC7" w14:paraId="40FFF39E" w14:textId="77777777" w:rsidTr="00DB5008">
        <w:trPr>
          <w:trHeight w:val="170"/>
          <w:jc w:val="center"/>
        </w:trPr>
        <w:tc>
          <w:tcPr>
            <w:tcW w:w="3211" w:type="dxa"/>
            <w:tcBorders>
              <w:top w:val="nil"/>
              <w:left w:val="nil"/>
              <w:bottom w:val="nil"/>
              <w:right w:val="nil"/>
            </w:tcBorders>
            <w:shd w:val="clear" w:color="auto" w:fill="auto"/>
            <w:noWrap/>
            <w:vAlign w:val="bottom"/>
            <w:hideMark/>
          </w:tcPr>
          <w:p w14:paraId="6F02166B"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≥1,000</w:t>
            </w:r>
          </w:p>
        </w:tc>
        <w:tc>
          <w:tcPr>
            <w:tcW w:w="2835" w:type="dxa"/>
            <w:tcBorders>
              <w:top w:val="nil"/>
              <w:left w:val="nil"/>
              <w:bottom w:val="nil"/>
              <w:right w:val="nil"/>
            </w:tcBorders>
            <w:shd w:val="clear" w:color="auto" w:fill="auto"/>
            <w:noWrap/>
            <w:vAlign w:val="bottom"/>
            <w:hideMark/>
          </w:tcPr>
          <w:p w14:paraId="3E230726"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81" w:type="dxa"/>
            <w:tcBorders>
              <w:top w:val="nil"/>
              <w:left w:val="nil"/>
              <w:bottom w:val="nil"/>
              <w:right w:val="nil"/>
            </w:tcBorders>
            <w:shd w:val="clear" w:color="auto" w:fill="auto"/>
            <w:noWrap/>
            <w:vAlign w:val="bottom"/>
            <w:hideMark/>
          </w:tcPr>
          <w:p w14:paraId="60D61571"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10018BB0"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2658872D"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59" w:type="dxa"/>
            <w:tcBorders>
              <w:top w:val="nil"/>
              <w:left w:val="nil"/>
              <w:bottom w:val="nil"/>
              <w:right w:val="nil"/>
            </w:tcBorders>
            <w:shd w:val="clear" w:color="auto" w:fill="auto"/>
            <w:noWrap/>
            <w:vAlign w:val="bottom"/>
            <w:hideMark/>
          </w:tcPr>
          <w:p w14:paraId="2D469194"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074BB881"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7EF1E941"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768" w:type="dxa"/>
            <w:tcBorders>
              <w:top w:val="nil"/>
              <w:left w:val="nil"/>
              <w:bottom w:val="nil"/>
              <w:right w:val="nil"/>
            </w:tcBorders>
            <w:shd w:val="clear" w:color="auto" w:fill="auto"/>
            <w:noWrap/>
            <w:vAlign w:val="bottom"/>
            <w:hideMark/>
          </w:tcPr>
          <w:p w14:paraId="218E4BE4"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6B02253E"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4C5BBD4C"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0" w:type="dxa"/>
            <w:tcBorders>
              <w:top w:val="nil"/>
              <w:left w:val="nil"/>
              <w:bottom w:val="nil"/>
              <w:right w:val="nil"/>
            </w:tcBorders>
            <w:shd w:val="clear" w:color="auto" w:fill="auto"/>
            <w:noWrap/>
            <w:vAlign w:val="bottom"/>
            <w:hideMark/>
          </w:tcPr>
          <w:p w14:paraId="7679FD86"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r>
      <w:tr w:rsidR="00D54129" w:rsidRPr="00397EC7" w14:paraId="55F212C4" w14:textId="77777777" w:rsidTr="00DB5008">
        <w:trPr>
          <w:trHeight w:val="170"/>
          <w:jc w:val="center"/>
        </w:trPr>
        <w:tc>
          <w:tcPr>
            <w:tcW w:w="3211" w:type="dxa"/>
            <w:tcBorders>
              <w:top w:val="nil"/>
              <w:left w:val="nil"/>
              <w:bottom w:val="nil"/>
              <w:right w:val="nil"/>
            </w:tcBorders>
            <w:shd w:val="clear" w:color="auto" w:fill="auto"/>
            <w:noWrap/>
            <w:vAlign w:val="bottom"/>
            <w:hideMark/>
          </w:tcPr>
          <w:p w14:paraId="3631CA7E"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not retrieved</w:t>
            </w:r>
          </w:p>
        </w:tc>
        <w:tc>
          <w:tcPr>
            <w:tcW w:w="2835" w:type="dxa"/>
            <w:tcBorders>
              <w:top w:val="nil"/>
              <w:left w:val="nil"/>
              <w:bottom w:val="nil"/>
              <w:right w:val="nil"/>
            </w:tcBorders>
            <w:shd w:val="clear" w:color="auto" w:fill="auto"/>
            <w:noWrap/>
            <w:vAlign w:val="bottom"/>
            <w:hideMark/>
          </w:tcPr>
          <w:p w14:paraId="2F32124D"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19.7 [11.6-33.4]</w:t>
            </w:r>
          </w:p>
        </w:tc>
        <w:tc>
          <w:tcPr>
            <w:tcW w:w="881" w:type="dxa"/>
            <w:tcBorders>
              <w:top w:val="nil"/>
              <w:left w:val="nil"/>
              <w:bottom w:val="nil"/>
              <w:right w:val="nil"/>
            </w:tcBorders>
            <w:shd w:val="clear" w:color="auto" w:fill="auto"/>
            <w:noWrap/>
            <w:vAlign w:val="bottom"/>
            <w:hideMark/>
          </w:tcPr>
          <w:p w14:paraId="2EF4D53D"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01A540A8"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3BAE290D"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4.89 [2.80-8.56]</w:t>
            </w:r>
          </w:p>
        </w:tc>
        <w:tc>
          <w:tcPr>
            <w:tcW w:w="959" w:type="dxa"/>
            <w:tcBorders>
              <w:top w:val="nil"/>
              <w:left w:val="nil"/>
              <w:bottom w:val="nil"/>
              <w:right w:val="nil"/>
            </w:tcBorders>
            <w:shd w:val="clear" w:color="auto" w:fill="auto"/>
            <w:noWrap/>
            <w:vAlign w:val="bottom"/>
            <w:hideMark/>
          </w:tcPr>
          <w:p w14:paraId="23699E29"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25E53FF2"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66D2F17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5.83 [3.93-8.64]</w:t>
            </w:r>
          </w:p>
        </w:tc>
        <w:tc>
          <w:tcPr>
            <w:tcW w:w="768" w:type="dxa"/>
            <w:tcBorders>
              <w:top w:val="nil"/>
              <w:left w:val="nil"/>
              <w:bottom w:val="nil"/>
              <w:right w:val="nil"/>
            </w:tcBorders>
            <w:shd w:val="clear" w:color="auto" w:fill="auto"/>
            <w:noWrap/>
            <w:vAlign w:val="bottom"/>
            <w:hideMark/>
          </w:tcPr>
          <w:p w14:paraId="4586582B"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4DF13FB7"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3B261E02"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8.15 [5.67-11.73]</w:t>
            </w:r>
          </w:p>
        </w:tc>
        <w:tc>
          <w:tcPr>
            <w:tcW w:w="850" w:type="dxa"/>
            <w:tcBorders>
              <w:top w:val="nil"/>
              <w:left w:val="nil"/>
              <w:bottom w:val="nil"/>
              <w:right w:val="nil"/>
            </w:tcBorders>
            <w:shd w:val="clear" w:color="auto" w:fill="auto"/>
            <w:noWrap/>
            <w:vAlign w:val="bottom"/>
            <w:hideMark/>
          </w:tcPr>
          <w:p w14:paraId="4059F3FD"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D54129" w:rsidRPr="00397EC7" w14:paraId="1EB89877" w14:textId="77777777" w:rsidTr="00DB5008">
        <w:trPr>
          <w:trHeight w:val="170"/>
          <w:jc w:val="center"/>
        </w:trPr>
        <w:tc>
          <w:tcPr>
            <w:tcW w:w="3211" w:type="dxa"/>
            <w:tcBorders>
              <w:top w:val="single" w:sz="4" w:space="0" w:color="auto"/>
              <w:left w:val="nil"/>
              <w:bottom w:val="nil"/>
              <w:right w:val="nil"/>
            </w:tcBorders>
            <w:shd w:val="clear" w:color="000000" w:fill="F2F2F2"/>
            <w:noWrap/>
            <w:vAlign w:val="bottom"/>
            <w:hideMark/>
          </w:tcPr>
          <w:p w14:paraId="42C6CB96" w14:textId="77777777" w:rsidR="00D54129" w:rsidRPr="00397EC7" w:rsidRDefault="00D54129" w:rsidP="00DB5008">
            <w:pPr>
              <w:spacing w:after="0" w:line="240" w:lineRule="auto"/>
              <w:jc w:val="left"/>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Hospital/clinic characteristics</w:t>
            </w:r>
          </w:p>
        </w:tc>
        <w:tc>
          <w:tcPr>
            <w:tcW w:w="2835" w:type="dxa"/>
            <w:tcBorders>
              <w:top w:val="single" w:sz="4" w:space="0" w:color="auto"/>
              <w:left w:val="nil"/>
              <w:bottom w:val="nil"/>
              <w:right w:val="nil"/>
            </w:tcBorders>
            <w:shd w:val="clear" w:color="000000" w:fill="F2F2F2"/>
            <w:noWrap/>
            <w:vAlign w:val="bottom"/>
            <w:hideMark/>
          </w:tcPr>
          <w:p w14:paraId="5F7CFFEC"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881" w:type="dxa"/>
            <w:tcBorders>
              <w:top w:val="single" w:sz="4" w:space="0" w:color="auto"/>
              <w:left w:val="nil"/>
              <w:bottom w:val="nil"/>
              <w:right w:val="nil"/>
            </w:tcBorders>
            <w:shd w:val="clear" w:color="000000" w:fill="F2F2F2"/>
            <w:noWrap/>
            <w:vAlign w:val="bottom"/>
            <w:hideMark/>
          </w:tcPr>
          <w:p w14:paraId="5972F70B"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191" w:type="dxa"/>
            <w:tcBorders>
              <w:top w:val="single" w:sz="4" w:space="0" w:color="auto"/>
              <w:left w:val="nil"/>
              <w:bottom w:val="nil"/>
              <w:right w:val="nil"/>
            </w:tcBorders>
            <w:shd w:val="clear" w:color="000000" w:fill="F2F2F2"/>
            <w:noWrap/>
            <w:vAlign w:val="bottom"/>
            <w:hideMark/>
          </w:tcPr>
          <w:p w14:paraId="2A7C59EF"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2796" w:type="dxa"/>
            <w:tcBorders>
              <w:top w:val="single" w:sz="4" w:space="0" w:color="auto"/>
              <w:left w:val="nil"/>
              <w:bottom w:val="nil"/>
              <w:right w:val="nil"/>
            </w:tcBorders>
            <w:shd w:val="clear" w:color="000000" w:fill="F2F2F2"/>
            <w:noWrap/>
            <w:vAlign w:val="bottom"/>
            <w:hideMark/>
          </w:tcPr>
          <w:p w14:paraId="7F92DFBE"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959" w:type="dxa"/>
            <w:tcBorders>
              <w:top w:val="single" w:sz="4" w:space="0" w:color="auto"/>
              <w:left w:val="nil"/>
              <w:bottom w:val="nil"/>
              <w:right w:val="nil"/>
            </w:tcBorders>
            <w:shd w:val="clear" w:color="000000" w:fill="F2F2F2"/>
            <w:noWrap/>
            <w:vAlign w:val="bottom"/>
            <w:hideMark/>
          </w:tcPr>
          <w:p w14:paraId="409E6586"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191" w:type="dxa"/>
            <w:tcBorders>
              <w:top w:val="single" w:sz="4" w:space="0" w:color="auto"/>
              <w:left w:val="nil"/>
              <w:bottom w:val="nil"/>
              <w:right w:val="nil"/>
            </w:tcBorders>
            <w:shd w:val="clear" w:color="000000" w:fill="F2F2F2"/>
            <w:noWrap/>
            <w:vAlign w:val="bottom"/>
            <w:hideMark/>
          </w:tcPr>
          <w:p w14:paraId="17A995EE"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1760" w:type="dxa"/>
            <w:tcBorders>
              <w:top w:val="single" w:sz="4" w:space="0" w:color="auto"/>
              <w:left w:val="nil"/>
              <w:bottom w:val="nil"/>
              <w:right w:val="nil"/>
            </w:tcBorders>
            <w:shd w:val="clear" w:color="000000" w:fill="F2F2F2"/>
            <w:noWrap/>
            <w:vAlign w:val="bottom"/>
            <w:hideMark/>
          </w:tcPr>
          <w:p w14:paraId="5FE9938A"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768" w:type="dxa"/>
            <w:tcBorders>
              <w:top w:val="single" w:sz="4" w:space="0" w:color="auto"/>
              <w:left w:val="nil"/>
              <w:bottom w:val="nil"/>
              <w:right w:val="nil"/>
            </w:tcBorders>
            <w:shd w:val="clear" w:color="000000" w:fill="F2F2F2"/>
            <w:noWrap/>
            <w:vAlign w:val="bottom"/>
            <w:hideMark/>
          </w:tcPr>
          <w:p w14:paraId="1ECE0B4C"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191" w:type="dxa"/>
            <w:tcBorders>
              <w:top w:val="single" w:sz="4" w:space="0" w:color="auto"/>
              <w:left w:val="nil"/>
              <w:bottom w:val="nil"/>
              <w:right w:val="nil"/>
            </w:tcBorders>
            <w:shd w:val="clear" w:color="000000" w:fill="F2F2F2"/>
            <w:noWrap/>
            <w:vAlign w:val="bottom"/>
            <w:hideMark/>
          </w:tcPr>
          <w:p w14:paraId="6194273E"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1621" w:type="dxa"/>
            <w:tcBorders>
              <w:top w:val="single" w:sz="4" w:space="0" w:color="auto"/>
              <w:left w:val="nil"/>
              <w:bottom w:val="nil"/>
              <w:right w:val="nil"/>
            </w:tcBorders>
            <w:shd w:val="clear" w:color="000000" w:fill="F2F2F2"/>
            <w:noWrap/>
            <w:vAlign w:val="bottom"/>
            <w:hideMark/>
          </w:tcPr>
          <w:p w14:paraId="0BB25E0D"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850" w:type="dxa"/>
            <w:tcBorders>
              <w:top w:val="single" w:sz="4" w:space="0" w:color="auto"/>
              <w:left w:val="nil"/>
              <w:bottom w:val="nil"/>
              <w:right w:val="nil"/>
            </w:tcBorders>
            <w:shd w:val="clear" w:color="000000" w:fill="F2F2F2"/>
            <w:noWrap/>
            <w:vAlign w:val="bottom"/>
            <w:hideMark/>
          </w:tcPr>
          <w:p w14:paraId="54CEDB1C" w14:textId="77777777" w:rsidR="00D54129" w:rsidRPr="00397EC7" w:rsidRDefault="00D54129"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r>
      <w:tr w:rsidR="00D54129" w:rsidRPr="00397EC7" w14:paraId="1A29BE26" w14:textId="77777777" w:rsidTr="00DB5008">
        <w:trPr>
          <w:trHeight w:val="170"/>
          <w:jc w:val="center"/>
        </w:trPr>
        <w:tc>
          <w:tcPr>
            <w:tcW w:w="3211" w:type="dxa"/>
            <w:tcBorders>
              <w:top w:val="nil"/>
              <w:left w:val="nil"/>
              <w:bottom w:val="nil"/>
              <w:right w:val="nil"/>
            </w:tcBorders>
            <w:shd w:val="clear" w:color="auto" w:fill="auto"/>
            <w:noWrap/>
            <w:vAlign w:val="bottom"/>
            <w:hideMark/>
          </w:tcPr>
          <w:p w14:paraId="2ABDD829" w14:textId="77777777" w:rsidR="00D54129" w:rsidRPr="00397EC7" w:rsidRDefault="00D54129" w:rsidP="00DB5008">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Type of health facility</w:t>
            </w:r>
          </w:p>
        </w:tc>
        <w:tc>
          <w:tcPr>
            <w:tcW w:w="2835" w:type="dxa"/>
            <w:tcBorders>
              <w:top w:val="nil"/>
              <w:left w:val="nil"/>
              <w:bottom w:val="nil"/>
              <w:right w:val="nil"/>
            </w:tcBorders>
            <w:shd w:val="clear" w:color="auto" w:fill="auto"/>
            <w:noWrap/>
            <w:vAlign w:val="bottom"/>
            <w:hideMark/>
          </w:tcPr>
          <w:p w14:paraId="501A68F2"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881" w:type="dxa"/>
            <w:tcBorders>
              <w:top w:val="nil"/>
              <w:left w:val="nil"/>
              <w:bottom w:val="nil"/>
              <w:right w:val="nil"/>
            </w:tcBorders>
            <w:shd w:val="clear" w:color="auto" w:fill="auto"/>
            <w:noWrap/>
            <w:vAlign w:val="bottom"/>
            <w:hideMark/>
          </w:tcPr>
          <w:p w14:paraId="2038F3C4"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43EC769A"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618EC7F6"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959" w:type="dxa"/>
            <w:tcBorders>
              <w:top w:val="nil"/>
              <w:left w:val="nil"/>
              <w:bottom w:val="nil"/>
              <w:right w:val="nil"/>
            </w:tcBorders>
            <w:shd w:val="clear" w:color="auto" w:fill="auto"/>
            <w:noWrap/>
            <w:vAlign w:val="bottom"/>
            <w:hideMark/>
          </w:tcPr>
          <w:p w14:paraId="3D9A164A"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5B55DA44"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07A34430"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768" w:type="dxa"/>
            <w:tcBorders>
              <w:top w:val="nil"/>
              <w:left w:val="nil"/>
              <w:bottom w:val="nil"/>
              <w:right w:val="nil"/>
            </w:tcBorders>
            <w:shd w:val="clear" w:color="auto" w:fill="auto"/>
            <w:noWrap/>
            <w:vAlign w:val="bottom"/>
            <w:hideMark/>
          </w:tcPr>
          <w:p w14:paraId="1D7BA4FB"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2B74E5DC"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3EA2F6FF"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850" w:type="dxa"/>
            <w:tcBorders>
              <w:top w:val="nil"/>
              <w:left w:val="nil"/>
              <w:bottom w:val="nil"/>
              <w:right w:val="nil"/>
            </w:tcBorders>
            <w:shd w:val="clear" w:color="auto" w:fill="auto"/>
            <w:noWrap/>
            <w:vAlign w:val="bottom"/>
            <w:hideMark/>
          </w:tcPr>
          <w:p w14:paraId="0CEA78D2"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r>
      <w:tr w:rsidR="00D54129" w:rsidRPr="00397EC7" w14:paraId="0EB74D85" w14:textId="77777777" w:rsidTr="00DB5008">
        <w:trPr>
          <w:trHeight w:val="170"/>
          <w:jc w:val="center"/>
        </w:trPr>
        <w:tc>
          <w:tcPr>
            <w:tcW w:w="3211" w:type="dxa"/>
            <w:tcBorders>
              <w:top w:val="nil"/>
              <w:left w:val="nil"/>
              <w:bottom w:val="nil"/>
              <w:right w:val="nil"/>
            </w:tcBorders>
            <w:shd w:val="clear" w:color="auto" w:fill="auto"/>
            <w:noWrap/>
            <w:vAlign w:val="bottom"/>
            <w:hideMark/>
          </w:tcPr>
          <w:p w14:paraId="4E707193"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for-profit private clinic</w:t>
            </w:r>
          </w:p>
        </w:tc>
        <w:tc>
          <w:tcPr>
            <w:tcW w:w="2835" w:type="dxa"/>
            <w:tcBorders>
              <w:top w:val="nil"/>
              <w:left w:val="nil"/>
              <w:bottom w:val="nil"/>
              <w:right w:val="nil"/>
            </w:tcBorders>
            <w:shd w:val="clear" w:color="auto" w:fill="auto"/>
            <w:noWrap/>
            <w:vAlign w:val="bottom"/>
            <w:hideMark/>
          </w:tcPr>
          <w:p w14:paraId="4AC1EFF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81" w:type="dxa"/>
            <w:tcBorders>
              <w:top w:val="nil"/>
              <w:left w:val="nil"/>
              <w:bottom w:val="nil"/>
              <w:right w:val="nil"/>
            </w:tcBorders>
            <w:shd w:val="clear" w:color="auto" w:fill="auto"/>
            <w:noWrap/>
            <w:vAlign w:val="bottom"/>
            <w:hideMark/>
          </w:tcPr>
          <w:p w14:paraId="0D1FAF39"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1391E50B"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5F0C8779"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59" w:type="dxa"/>
            <w:tcBorders>
              <w:top w:val="nil"/>
              <w:left w:val="nil"/>
              <w:bottom w:val="nil"/>
              <w:right w:val="nil"/>
            </w:tcBorders>
            <w:shd w:val="clear" w:color="auto" w:fill="auto"/>
            <w:noWrap/>
            <w:vAlign w:val="bottom"/>
            <w:hideMark/>
          </w:tcPr>
          <w:p w14:paraId="7EB61ACC"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2B2F0F41"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4768EFED"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768" w:type="dxa"/>
            <w:tcBorders>
              <w:top w:val="nil"/>
              <w:left w:val="nil"/>
              <w:bottom w:val="nil"/>
              <w:right w:val="nil"/>
            </w:tcBorders>
            <w:shd w:val="clear" w:color="auto" w:fill="auto"/>
            <w:noWrap/>
            <w:vAlign w:val="bottom"/>
            <w:hideMark/>
          </w:tcPr>
          <w:p w14:paraId="1FC94399"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0732F8A9"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497A2816"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0" w:type="dxa"/>
            <w:tcBorders>
              <w:top w:val="nil"/>
              <w:left w:val="nil"/>
              <w:bottom w:val="nil"/>
              <w:right w:val="nil"/>
            </w:tcBorders>
            <w:shd w:val="clear" w:color="auto" w:fill="auto"/>
            <w:noWrap/>
            <w:vAlign w:val="bottom"/>
            <w:hideMark/>
          </w:tcPr>
          <w:p w14:paraId="6E60B2C6"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r>
      <w:tr w:rsidR="00D54129" w:rsidRPr="00397EC7" w14:paraId="3399EE6A" w14:textId="77777777" w:rsidTr="00DB5008">
        <w:trPr>
          <w:trHeight w:val="170"/>
          <w:jc w:val="center"/>
        </w:trPr>
        <w:tc>
          <w:tcPr>
            <w:tcW w:w="3211" w:type="dxa"/>
            <w:tcBorders>
              <w:top w:val="nil"/>
              <w:left w:val="nil"/>
              <w:bottom w:val="nil"/>
              <w:right w:val="nil"/>
            </w:tcBorders>
            <w:shd w:val="clear" w:color="auto" w:fill="auto"/>
            <w:noWrap/>
            <w:vAlign w:val="bottom"/>
            <w:hideMark/>
          </w:tcPr>
          <w:p w14:paraId="292596E6"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not-for-profit private clinic</w:t>
            </w:r>
          </w:p>
        </w:tc>
        <w:tc>
          <w:tcPr>
            <w:tcW w:w="2835" w:type="dxa"/>
            <w:tcBorders>
              <w:top w:val="nil"/>
              <w:left w:val="nil"/>
              <w:bottom w:val="nil"/>
              <w:right w:val="nil"/>
            </w:tcBorders>
            <w:shd w:val="clear" w:color="auto" w:fill="auto"/>
            <w:noWrap/>
            <w:vAlign w:val="bottom"/>
            <w:hideMark/>
          </w:tcPr>
          <w:p w14:paraId="221AB625"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4.69 [3.60-6.12]</w:t>
            </w:r>
          </w:p>
        </w:tc>
        <w:tc>
          <w:tcPr>
            <w:tcW w:w="881" w:type="dxa"/>
            <w:tcBorders>
              <w:top w:val="nil"/>
              <w:left w:val="nil"/>
              <w:bottom w:val="nil"/>
              <w:right w:val="nil"/>
            </w:tcBorders>
            <w:shd w:val="clear" w:color="auto" w:fill="auto"/>
            <w:noWrap/>
            <w:vAlign w:val="bottom"/>
            <w:hideMark/>
          </w:tcPr>
          <w:p w14:paraId="75CA72F1"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72A88F05"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47839C3E"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2.11 [1.38-3.23]</w:t>
            </w:r>
          </w:p>
        </w:tc>
        <w:tc>
          <w:tcPr>
            <w:tcW w:w="959" w:type="dxa"/>
            <w:tcBorders>
              <w:top w:val="nil"/>
              <w:left w:val="nil"/>
              <w:bottom w:val="nil"/>
              <w:right w:val="nil"/>
            </w:tcBorders>
            <w:shd w:val="clear" w:color="auto" w:fill="auto"/>
            <w:noWrap/>
            <w:vAlign w:val="bottom"/>
            <w:hideMark/>
          </w:tcPr>
          <w:p w14:paraId="1F0DBFE1"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0.0005</w:t>
            </w:r>
          </w:p>
        </w:tc>
        <w:tc>
          <w:tcPr>
            <w:tcW w:w="191" w:type="dxa"/>
            <w:tcBorders>
              <w:top w:val="nil"/>
              <w:left w:val="nil"/>
              <w:bottom w:val="nil"/>
              <w:right w:val="nil"/>
            </w:tcBorders>
            <w:shd w:val="clear" w:color="auto" w:fill="auto"/>
            <w:noWrap/>
            <w:vAlign w:val="bottom"/>
            <w:hideMark/>
          </w:tcPr>
          <w:p w14:paraId="6D86EDE8"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6C61CEF2"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1.51 [1.04-2.19]</w:t>
            </w:r>
          </w:p>
        </w:tc>
        <w:tc>
          <w:tcPr>
            <w:tcW w:w="768" w:type="dxa"/>
            <w:tcBorders>
              <w:top w:val="nil"/>
              <w:left w:val="nil"/>
              <w:bottom w:val="nil"/>
              <w:right w:val="nil"/>
            </w:tcBorders>
            <w:shd w:val="clear" w:color="auto" w:fill="auto"/>
            <w:noWrap/>
            <w:vAlign w:val="bottom"/>
            <w:hideMark/>
          </w:tcPr>
          <w:p w14:paraId="7F4D08E1"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0.030</w:t>
            </w:r>
          </w:p>
        </w:tc>
        <w:tc>
          <w:tcPr>
            <w:tcW w:w="191" w:type="dxa"/>
            <w:tcBorders>
              <w:top w:val="nil"/>
              <w:left w:val="nil"/>
              <w:bottom w:val="nil"/>
              <w:right w:val="nil"/>
            </w:tcBorders>
            <w:shd w:val="clear" w:color="auto" w:fill="auto"/>
            <w:noWrap/>
            <w:vAlign w:val="bottom"/>
            <w:hideMark/>
          </w:tcPr>
          <w:p w14:paraId="495AA064"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34C7F186"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2.71 [2.11-3.47]</w:t>
            </w:r>
          </w:p>
        </w:tc>
        <w:tc>
          <w:tcPr>
            <w:tcW w:w="850" w:type="dxa"/>
            <w:tcBorders>
              <w:top w:val="nil"/>
              <w:left w:val="nil"/>
              <w:bottom w:val="nil"/>
              <w:right w:val="nil"/>
            </w:tcBorders>
            <w:shd w:val="clear" w:color="auto" w:fill="auto"/>
            <w:noWrap/>
            <w:vAlign w:val="bottom"/>
            <w:hideMark/>
          </w:tcPr>
          <w:p w14:paraId="7589694F"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D54129" w:rsidRPr="00397EC7" w14:paraId="033FF775" w14:textId="77777777" w:rsidTr="00DB5008">
        <w:trPr>
          <w:trHeight w:val="170"/>
          <w:jc w:val="center"/>
        </w:trPr>
        <w:tc>
          <w:tcPr>
            <w:tcW w:w="3211" w:type="dxa"/>
            <w:tcBorders>
              <w:top w:val="nil"/>
              <w:left w:val="nil"/>
              <w:bottom w:val="nil"/>
              <w:right w:val="nil"/>
            </w:tcBorders>
            <w:shd w:val="clear" w:color="auto" w:fill="auto"/>
            <w:noWrap/>
            <w:vAlign w:val="bottom"/>
            <w:hideMark/>
          </w:tcPr>
          <w:p w14:paraId="335C35F2"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local public hospital</w:t>
            </w:r>
          </w:p>
        </w:tc>
        <w:tc>
          <w:tcPr>
            <w:tcW w:w="2835" w:type="dxa"/>
            <w:tcBorders>
              <w:top w:val="nil"/>
              <w:left w:val="nil"/>
              <w:bottom w:val="nil"/>
              <w:right w:val="nil"/>
            </w:tcBorders>
            <w:shd w:val="clear" w:color="auto" w:fill="auto"/>
            <w:noWrap/>
            <w:vAlign w:val="bottom"/>
            <w:hideMark/>
          </w:tcPr>
          <w:p w14:paraId="738E4BCB"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13.3 [11.2-15.8]</w:t>
            </w:r>
          </w:p>
        </w:tc>
        <w:tc>
          <w:tcPr>
            <w:tcW w:w="881" w:type="dxa"/>
            <w:tcBorders>
              <w:top w:val="nil"/>
              <w:left w:val="nil"/>
              <w:bottom w:val="nil"/>
              <w:right w:val="nil"/>
            </w:tcBorders>
            <w:shd w:val="clear" w:color="auto" w:fill="auto"/>
            <w:noWrap/>
            <w:vAlign w:val="bottom"/>
            <w:hideMark/>
          </w:tcPr>
          <w:p w14:paraId="34FEA481"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27F9C926"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34A679F1"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5.06 [3.96-6.47]</w:t>
            </w:r>
          </w:p>
        </w:tc>
        <w:tc>
          <w:tcPr>
            <w:tcW w:w="959" w:type="dxa"/>
            <w:tcBorders>
              <w:top w:val="nil"/>
              <w:left w:val="nil"/>
              <w:bottom w:val="nil"/>
              <w:right w:val="nil"/>
            </w:tcBorders>
            <w:shd w:val="clear" w:color="auto" w:fill="auto"/>
            <w:noWrap/>
            <w:vAlign w:val="bottom"/>
            <w:hideMark/>
          </w:tcPr>
          <w:p w14:paraId="71A0E2CC"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44299A8E"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0B1B0963"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6.59 [5.52-7.87]</w:t>
            </w:r>
          </w:p>
        </w:tc>
        <w:tc>
          <w:tcPr>
            <w:tcW w:w="768" w:type="dxa"/>
            <w:tcBorders>
              <w:top w:val="nil"/>
              <w:left w:val="nil"/>
              <w:bottom w:val="nil"/>
              <w:right w:val="nil"/>
            </w:tcBorders>
            <w:shd w:val="clear" w:color="auto" w:fill="auto"/>
            <w:noWrap/>
            <w:vAlign w:val="bottom"/>
            <w:hideMark/>
          </w:tcPr>
          <w:p w14:paraId="2743DF9A"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71E5D91B"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19C6C990"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7.59 [6.56-8.79]</w:t>
            </w:r>
          </w:p>
        </w:tc>
        <w:tc>
          <w:tcPr>
            <w:tcW w:w="850" w:type="dxa"/>
            <w:tcBorders>
              <w:top w:val="nil"/>
              <w:left w:val="nil"/>
              <w:bottom w:val="nil"/>
              <w:right w:val="nil"/>
            </w:tcBorders>
            <w:shd w:val="clear" w:color="auto" w:fill="auto"/>
            <w:noWrap/>
            <w:vAlign w:val="bottom"/>
            <w:hideMark/>
          </w:tcPr>
          <w:p w14:paraId="7A2F4A3D"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D54129" w:rsidRPr="00397EC7" w14:paraId="4A698E11" w14:textId="77777777" w:rsidTr="00DB5008">
        <w:trPr>
          <w:trHeight w:val="170"/>
          <w:jc w:val="center"/>
        </w:trPr>
        <w:tc>
          <w:tcPr>
            <w:tcW w:w="3211" w:type="dxa"/>
            <w:tcBorders>
              <w:top w:val="nil"/>
              <w:left w:val="nil"/>
              <w:bottom w:val="nil"/>
              <w:right w:val="nil"/>
            </w:tcBorders>
            <w:shd w:val="clear" w:color="auto" w:fill="auto"/>
            <w:noWrap/>
            <w:vAlign w:val="bottom"/>
            <w:hideMark/>
          </w:tcPr>
          <w:p w14:paraId="4804E931"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university public hospital</w:t>
            </w:r>
          </w:p>
        </w:tc>
        <w:tc>
          <w:tcPr>
            <w:tcW w:w="2835" w:type="dxa"/>
            <w:tcBorders>
              <w:top w:val="nil"/>
              <w:left w:val="nil"/>
              <w:bottom w:val="nil"/>
              <w:right w:val="nil"/>
            </w:tcBorders>
            <w:shd w:val="clear" w:color="auto" w:fill="auto"/>
            <w:noWrap/>
            <w:vAlign w:val="bottom"/>
            <w:hideMark/>
          </w:tcPr>
          <w:p w14:paraId="7F72E4A6"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63.8 [53.3-76.4]</w:t>
            </w:r>
          </w:p>
        </w:tc>
        <w:tc>
          <w:tcPr>
            <w:tcW w:w="881" w:type="dxa"/>
            <w:tcBorders>
              <w:top w:val="nil"/>
              <w:left w:val="nil"/>
              <w:bottom w:val="nil"/>
              <w:right w:val="nil"/>
            </w:tcBorders>
            <w:shd w:val="clear" w:color="auto" w:fill="auto"/>
            <w:noWrap/>
            <w:vAlign w:val="bottom"/>
            <w:hideMark/>
          </w:tcPr>
          <w:p w14:paraId="75BAC211"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18B3F97E"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4B771F3B"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16.5 [12.4-22.0]</w:t>
            </w:r>
          </w:p>
        </w:tc>
        <w:tc>
          <w:tcPr>
            <w:tcW w:w="959" w:type="dxa"/>
            <w:tcBorders>
              <w:top w:val="nil"/>
              <w:left w:val="nil"/>
              <w:bottom w:val="nil"/>
              <w:right w:val="nil"/>
            </w:tcBorders>
            <w:shd w:val="clear" w:color="auto" w:fill="auto"/>
            <w:noWrap/>
            <w:vAlign w:val="bottom"/>
            <w:hideMark/>
          </w:tcPr>
          <w:p w14:paraId="33F5E6B6"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7BA0AA82"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5DBA27A0"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27.9 [23.1-33.8]</w:t>
            </w:r>
          </w:p>
        </w:tc>
        <w:tc>
          <w:tcPr>
            <w:tcW w:w="768" w:type="dxa"/>
            <w:tcBorders>
              <w:top w:val="nil"/>
              <w:left w:val="nil"/>
              <w:bottom w:val="nil"/>
              <w:right w:val="nil"/>
            </w:tcBorders>
            <w:shd w:val="clear" w:color="auto" w:fill="auto"/>
            <w:noWrap/>
            <w:vAlign w:val="bottom"/>
            <w:hideMark/>
          </w:tcPr>
          <w:p w14:paraId="498EFC44"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0D70A010"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34B933BF"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29.6 [25.3-34.7]</w:t>
            </w:r>
          </w:p>
        </w:tc>
        <w:tc>
          <w:tcPr>
            <w:tcW w:w="850" w:type="dxa"/>
            <w:tcBorders>
              <w:top w:val="nil"/>
              <w:left w:val="nil"/>
              <w:bottom w:val="nil"/>
              <w:right w:val="nil"/>
            </w:tcBorders>
            <w:shd w:val="clear" w:color="auto" w:fill="auto"/>
            <w:noWrap/>
            <w:vAlign w:val="bottom"/>
            <w:hideMark/>
          </w:tcPr>
          <w:p w14:paraId="4002E720"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D54129" w:rsidRPr="00397EC7" w14:paraId="676649BA" w14:textId="77777777" w:rsidTr="00DB5008">
        <w:trPr>
          <w:trHeight w:val="170"/>
          <w:jc w:val="center"/>
        </w:trPr>
        <w:tc>
          <w:tcPr>
            <w:tcW w:w="3211" w:type="dxa"/>
            <w:tcBorders>
              <w:top w:val="nil"/>
              <w:left w:val="nil"/>
              <w:bottom w:val="nil"/>
              <w:right w:val="nil"/>
            </w:tcBorders>
            <w:shd w:val="clear" w:color="auto" w:fill="auto"/>
            <w:noWrap/>
            <w:vAlign w:val="bottom"/>
            <w:hideMark/>
          </w:tcPr>
          <w:p w14:paraId="4E7BFB0A" w14:textId="77777777" w:rsidR="00D54129" w:rsidRPr="00397EC7" w:rsidRDefault="00D54129" w:rsidP="00DB5008">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Number of procedures performed in the facility each year</w:t>
            </w:r>
          </w:p>
        </w:tc>
        <w:tc>
          <w:tcPr>
            <w:tcW w:w="2835" w:type="dxa"/>
            <w:tcBorders>
              <w:top w:val="nil"/>
              <w:left w:val="nil"/>
              <w:bottom w:val="nil"/>
              <w:right w:val="nil"/>
            </w:tcBorders>
            <w:shd w:val="clear" w:color="auto" w:fill="auto"/>
            <w:noWrap/>
            <w:vAlign w:val="bottom"/>
            <w:hideMark/>
          </w:tcPr>
          <w:p w14:paraId="055A98CF"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881" w:type="dxa"/>
            <w:tcBorders>
              <w:top w:val="nil"/>
              <w:left w:val="nil"/>
              <w:bottom w:val="nil"/>
              <w:right w:val="nil"/>
            </w:tcBorders>
            <w:shd w:val="clear" w:color="auto" w:fill="auto"/>
            <w:noWrap/>
            <w:vAlign w:val="bottom"/>
            <w:hideMark/>
          </w:tcPr>
          <w:p w14:paraId="7FA4FF6F"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77E8350A"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2247BA3E"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959" w:type="dxa"/>
            <w:tcBorders>
              <w:top w:val="nil"/>
              <w:left w:val="nil"/>
              <w:bottom w:val="nil"/>
              <w:right w:val="nil"/>
            </w:tcBorders>
            <w:shd w:val="clear" w:color="auto" w:fill="auto"/>
            <w:noWrap/>
            <w:vAlign w:val="bottom"/>
            <w:hideMark/>
          </w:tcPr>
          <w:p w14:paraId="34C0AEDF"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5F016C63"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54A807D3"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768" w:type="dxa"/>
            <w:tcBorders>
              <w:top w:val="nil"/>
              <w:left w:val="nil"/>
              <w:bottom w:val="nil"/>
              <w:right w:val="nil"/>
            </w:tcBorders>
            <w:shd w:val="clear" w:color="auto" w:fill="auto"/>
            <w:noWrap/>
            <w:vAlign w:val="bottom"/>
            <w:hideMark/>
          </w:tcPr>
          <w:p w14:paraId="4D411F24"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56547AB9"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01F4F276"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c>
          <w:tcPr>
            <w:tcW w:w="850" w:type="dxa"/>
            <w:tcBorders>
              <w:top w:val="nil"/>
              <w:left w:val="nil"/>
              <w:bottom w:val="nil"/>
              <w:right w:val="nil"/>
            </w:tcBorders>
            <w:shd w:val="clear" w:color="auto" w:fill="auto"/>
            <w:noWrap/>
            <w:vAlign w:val="bottom"/>
            <w:hideMark/>
          </w:tcPr>
          <w:p w14:paraId="2D0657E2" w14:textId="77777777" w:rsidR="00D54129" w:rsidRPr="00397EC7" w:rsidRDefault="00D54129" w:rsidP="00DB5008">
            <w:pPr>
              <w:spacing w:after="0" w:line="240" w:lineRule="auto"/>
              <w:jc w:val="center"/>
              <w:rPr>
                <w:rFonts w:eastAsia="Times New Roman" w:cs="Arial"/>
                <w:color w:val="000000"/>
                <w:sz w:val="18"/>
                <w:szCs w:val="18"/>
                <w:lang w:val="en-GB" w:eastAsia="fr-FR"/>
              </w:rPr>
            </w:pPr>
          </w:p>
        </w:tc>
      </w:tr>
      <w:tr w:rsidR="00D54129" w:rsidRPr="00397EC7" w14:paraId="204F2FE1" w14:textId="77777777" w:rsidTr="00DB5008">
        <w:trPr>
          <w:trHeight w:val="170"/>
          <w:jc w:val="center"/>
        </w:trPr>
        <w:tc>
          <w:tcPr>
            <w:tcW w:w="3211" w:type="dxa"/>
            <w:tcBorders>
              <w:top w:val="nil"/>
              <w:left w:val="nil"/>
              <w:bottom w:val="nil"/>
              <w:right w:val="nil"/>
            </w:tcBorders>
            <w:shd w:val="clear" w:color="auto" w:fill="auto"/>
            <w:vAlign w:val="bottom"/>
            <w:hideMark/>
          </w:tcPr>
          <w:p w14:paraId="5A274022"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&lt;400</w:t>
            </w:r>
          </w:p>
        </w:tc>
        <w:tc>
          <w:tcPr>
            <w:tcW w:w="2835" w:type="dxa"/>
            <w:tcBorders>
              <w:top w:val="nil"/>
              <w:left w:val="nil"/>
              <w:bottom w:val="nil"/>
              <w:right w:val="nil"/>
            </w:tcBorders>
            <w:shd w:val="clear" w:color="auto" w:fill="auto"/>
            <w:noWrap/>
            <w:vAlign w:val="bottom"/>
            <w:hideMark/>
          </w:tcPr>
          <w:p w14:paraId="2ED430D8"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3.79 [3.07-4.67]</w:t>
            </w:r>
          </w:p>
        </w:tc>
        <w:tc>
          <w:tcPr>
            <w:tcW w:w="881" w:type="dxa"/>
            <w:tcBorders>
              <w:top w:val="nil"/>
              <w:left w:val="nil"/>
              <w:bottom w:val="nil"/>
              <w:right w:val="nil"/>
            </w:tcBorders>
            <w:shd w:val="clear" w:color="auto" w:fill="auto"/>
            <w:noWrap/>
            <w:vAlign w:val="bottom"/>
            <w:hideMark/>
          </w:tcPr>
          <w:p w14:paraId="1D6295CE"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6A19B050"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768DDAE8"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3.42 [2.24-5.22]</w:t>
            </w:r>
          </w:p>
        </w:tc>
        <w:tc>
          <w:tcPr>
            <w:tcW w:w="959" w:type="dxa"/>
            <w:tcBorders>
              <w:top w:val="nil"/>
              <w:left w:val="nil"/>
              <w:bottom w:val="nil"/>
              <w:right w:val="nil"/>
            </w:tcBorders>
            <w:shd w:val="clear" w:color="auto" w:fill="auto"/>
            <w:noWrap/>
            <w:vAlign w:val="bottom"/>
            <w:hideMark/>
          </w:tcPr>
          <w:p w14:paraId="3B13DB0F"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03C7B422"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1F561C20"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4.05 [3.10-5.31]</w:t>
            </w:r>
          </w:p>
        </w:tc>
        <w:tc>
          <w:tcPr>
            <w:tcW w:w="768" w:type="dxa"/>
            <w:tcBorders>
              <w:top w:val="nil"/>
              <w:left w:val="nil"/>
              <w:bottom w:val="nil"/>
              <w:right w:val="nil"/>
            </w:tcBorders>
            <w:shd w:val="clear" w:color="auto" w:fill="auto"/>
            <w:noWrap/>
            <w:vAlign w:val="bottom"/>
            <w:hideMark/>
          </w:tcPr>
          <w:p w14:paraId="4581ABB3"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1AA4D516"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408F656A"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4.68 [3.75-5.84]</w:t>
            </w:r>
          </w:p>
        </w:tc>
        <w:tc>
          <w:tcPr>
            <w:tcW w:w="850" w:type="dxa"/>
            <w:tcBorders>
              <w:top w:val="nil"/>
              <w:left w:val="nil"/>
              <w:bottom w:val="nil"/>
              <w:right w:val="nil"/>
            </w:tcBorders>
            <w:shd w:val="clear" w:color="auto" w:fill="auto"/>
            <w:noWrap/>
            <w:vAlign w:val="bottom"/>
            <w:hideMark/>
          </w:tcPr>
          <w:p w14:paraId="583264BB"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D54129" w:rsidRPr="00397EC7" w14:paraId="2970BD57" w14:textId="77777777" w:rsidTr="00DB5008">
        <w:trPr>
          <w:trHeight w:val="170"/>
          <w:jc w:val="center"/>
        </w:trPr>
        <w:tc>
          <w:tcPr>
            <w:tcW w:w="3211" w:type="dxa"/>
            <w:tcBorders>
              <w:top w:val="nil"/>
              <w:left w:val="nil"/>
              <w:bottom w:val="nil"/>
              <w:right w:val="nil"/>
            </w:tcBorders>
            <w:shd w:val="clear" w:color="auto" w:fill="auto"/>
            <w:vAlign w:val="bottom"/>
            <w:hideMark/>
          </w:tcPr>
          <w:p w14:paraId="18EC8B54"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400-2000</w:t>
            </w:r>
          </w:p>
        </w:tc>
        <w:tc>
          <w:tcPr>
            <w:tcW w:w="2835" w:type="dxa"/>
            <w:tcBorders>
              <w:top w:val="nil"/>
              <w:left w:val="nil"/>
              <w:bottom w:val="nil"/>
              <w:right w:val="nil"/>
            </w:tcBorders>
            <w:shd w:val="clear" w:color="auto" w:fill="auto"/>
            <w:noWrap/>
            <w:vAlign w:val="bottom"/>
            <w:hideMark/>
          </w:tcPr>
          <w:p w14:paraId="45A9DF05"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0.84 [0.70-1.00]</w:t>
            </w:r>
          </w:p>
        </w:tc>
        <w:tc>
          <w:tcPr>
            <w:tcW w:w="881" w:type="dxa"/>
            <w:tcBorders>
              <w:top w:val="nil"/>
              <w:left w:val="nil"/>
              <w:bottom w:val="nil"/>
              <w:right w:val="nil"/>
            </w:tcBorders>
            <w:shd w:val="clear" w:color="auto" w:fill="auto"/>
            <w:noWrap/>
            <w:vAlign w:val="bottom"/>
            <w:hideMark/>
          </w:tcPr>
          <w:p w14:paraId="20DDA3ED"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0.055</w:t>
            </w:r>
          </w:p>
        </w:tc>
        <w:tc>
          <w:tcPr>
            <w:tcW w:w="191" w:type="dxa"/>
            <w:tcBorders>
              <w:top w:val="nil"/>
              <w:left w:val="nil"/>
              <w:bottom w:val="nil"/>
              <w:right w:val="nil"/>
            </w:tcBorders>
            <w:shd w:val="clear" w:color="auto" w:fill="auto"/>
            <w:noWrap/>
            <w:vAlign w:val="bottom"/>
            <w:hideMark/>
          </w:tcPr>
          <w:p w14:paraId="71E67E28"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3282B42D"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0.98 [0.68-1.40]</w:t>
            </w:r>
          </w:p>
        </w:tc>
        <w:tc>
          <w:tcPr>
            <w:tcW w:w="959" w:type="dxa"/>
            <w:tcBorders>
              <w:top w:val="nil"/>
              <w:left w:val="nil"/>
              <w:bottom w:val="nil"/>
              <w:right w:val="nil"/>
            </w:tcBorders>
            <w:shd w:val="clear" w:color="auto" w:fill="auto"/>
            <w:noWrap/>
            <w:vAlign w:val="bottom"/>
            <w:hideMark/>
          </w:tcPr>
          <w:p w14:paraId="5B46EE8C"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0.90</w:t>
            </w:r>
          </w:p>
        </w:tc>
        <w:tc>
          <w:tcPr>
            <w:tcW w:w="191" w:type="dxa"/>
            <w:tcBorders>
              <w:top w:val="nil"/>
              <w:left w:val="nil"/>
              <w:bottom w:val="nil"/>
              <w:right w:val="nil"/>
            </w:tcBorders>
            <w:shd w:val="clear" w:color="auto" w:fill="auto"/>
            <w:noWrap/>
            <w:vAlign w:val="bottom"/>
            <w:hideMark/>
          </w:tcPr>
          <w:p w14:paraId="4B3A66A5"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1A80B67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0.86 [0.68-1.09]</w:t>
            </w:r>
          </w:p>
        </w:tc>
        <w:tc>
          <w:tcPr>
            <w:tcW w:w="768" w:type="dxa"/>
            <w:tcBorders>
              <w:top w:val="nil"/>
              <w:left w:val="nil"/>
              <w:bottom w:val="nil"/>
              <w:right w:val="nil"/>
            </w:tcBorders>
            <w:shd w:val="clear" w:color="auto" w:fill="auto"/>
            <w:noWrap/>
            <w:vAlign w:val="bottom"/>
            <w:hideMark/>
          </w:tcPr>
          <w:p w14:paraId="56E4A3A2"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0.21</w:t>
            </w:r>
          </w:p>
        </w:tc>
        <w:tc>
          <w:tcPr>
            <w:tcW w:w="191" w:type="dxa"/>
            <w:tcBorders>
              <w:top w:val="nil"/>
              <w:left w:val="nil"/>
              <w:bottom w:val="nil"/>
              <w:right w:val="nil"/>
            </w:tcBorders>
            <w:shd w:val="clear" w:color="auto" w:fill="auto"/>
            <w:noWrap/>
            <w:vAlign w:val="bottom"/>
            <w:hideMark/>
          </w:tcPr>
          <w:p w14:paraId="1C6664BB"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1F331C79"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0.96 [0.78-1.17]</w:t>
            </w:r>
          </w:p>
        </w:tc>
        <w:tc>
          <w:tcPr>
            <w:tcW w:w="850" w:type="dxa"/>
            <w:tcBorders>
              <w:top w:val="nil"/>
              <w:left w:val="nil"/>
              <w:bottom w:val="nil"/>
              <w:right w:val="nil"/>
            </w:tcBorders>
            <w:shd w:val="clear" w:color="auto" w:fill="auto"/>
            <w:noWrap/>
            <w:vAlign w:val="bottom"/>
            <w:hideMark/>
          </w:tcPr>
          <w:p w14:paraId="06D80CD3"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0.66</w:t>
            </w:r>
          </w:p>
        </w:tc>
      </w:tr>
      <w:tr w:rsidR="00D54129" w:rsidRPr="00397EC7" w14:paraId="45F358D6" w14:textId="77777777" w:rsidTr="00DB5008">
        <w:trPr>
          <w:trHeight w:val="170"/>
          <w:jc w:val="center"/>
        </w:trPr>
        <w:tc>
          <w:tcPr>
            <w:tcW w:w="3211" w:type="dxa"/>
            <w:tcBorders>
              <w:top w:val="nil"/>
              <w:left w:val="nil"/>
              <w:bottom w:val="nil"/>
              <w:right w:val="nil"/>
            </w:tcBorders>
            <w:shd w:val="clear" w:color="auto" w:fill="auto"/>
            <w:noWrap/>
            <w:vAlign w:val="bottom"/>
            <w:hideMark/>
          </w:tcPr>
          <w:p w14:paraId="651C7F68"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2000-4999</w:t>
            </w:r>
          </w:p>
        </w:tc>
        <w:tc>
          <w:tcPr>
            <w:tcW w:w="2835" w:type="dxa"/>
            <w:tcBorders>
              <w:top w:val="nil"/>
              <w:left w:val="nil"/>
              <w:bottom w:val="nil"/>
              <w:right w:val="nil"/>
            </w:tcBorders>
            <w:shd w:val="clear" w:color="auto" w:fill="auto"/>
            <w:noWrap/>
            <w:vAlign w:val="bottom"/>
            <w:hideMark/>
          </w:tcPr>
          <w:p w14:paraId="1150999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0.23 [0.19-0.29]</w:t>
            </w:r>
          </w:p>
        </w:tc>
        <w:tc>
          <w:tcPr>
            <w:tcW w:w="881" w:type="dxa"/>
            <w:tcBorders>
              <w:top w:val="nil"/>
              <w:left w:val="nil"/>
              <w:bottom w:val="nil"/>
              <w:right w:val="nil"/>
            </w:tcBorders>
            <w:shd w:val="clear" w:color="auto" w:fill="auto"/>
            <w:noWrap/>
            <w:vAlign w:val="bottom"/>
            <w:hideMark/>
          </w:tcPr>
          <w:p w14:paraId="5C210368"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798C868B"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2796" w:type="dxa"/>
            <w:tcBorders>
              <w:top w:val="nil"/>
              <w:left w:val="nil"/>
              <w:bottom w:val="nil"/>
              <w:right w:val="nil"/>
            </w:tcBorders>
            <w:shd w:val="clear" w:color="auto" w:fill="auto"/>
            <w:noWrap/>
            <w:vAlign w:val="bottom"/>
            <w:hideMark/>
          </w:tcPr>
          <w:p w14:paraId="1F127391"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0.44 [0.30-0.65]</w:t>
            </w:r>
          </w:p>
        </w:tc>
        <w:tc>
          <w:tcPr>
            <w:tcW w:w="959" w:type="dxa"/>
            <w:tcBorders>
              <w:top w:val="nil"/>
              <w:left w:val="nil"/>
              <w:bottom w:val="nil"/>
              <w:right w:val="nil"/>
            </w:tcBorders>
            <w:shd w:val="clear" w:color="auto" w:fill="auto"/>
            <w:noWrap/>
            <w:vAlign w:val="bottom"/>
            <w:hideMark/>
          </w:tcPr>
          <w:p w14:paraId="21E838E6"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64DBA45F"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760" w:type="dxa"/>
            <w:tcBorders>
              <w:top w:val="nil"/>
              <w:left w:val="nil"/>
              <w:bottom w:val="nil"/>
              <w:right w:val="nil"/>
            </w:tcBorders>
            <w:shd w:val="clear" w:color="auto" w:fill="auto"/>
            <w:noWrap/>
            <w:vAlign w:val="bottom"/>
            <w:hideMark/>
          </w:tcPr>
          <w:p w14:paraId="593DC207"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0.37 [0.28-0.48]</w:t>
            </w:r>
          </w:p>
        </w:tc>
        <w:tc>
          <w:tcPr>
            <w:tcW w:w="768" w:type="dxa"/>
            <w:tcBorders>
              <w:top w:val="nil"/>
              <w:left w:val="nil"/>
              <w:bottom w:val="nil"/>
              <w:right w:val="nil"/>
            </w:tcBorders>
            <w:shd w:val="clear" w:color="auto" w:fill="auto"/>
            <w:noWrap/>
            <w:vAlign w:val="bottom"/>
            <w:hideMark/>
          </w:tcPr>
          <w:p w14:paraId="31496780"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681474FC" w14:textId="77777777" w:rsidR="00D54129" w:rsidRPr="00397EC7" w:rsidRDefault="00D54129" w:rsidP="00DB5008">
            <w:pPr>
              <w:spacing w:after="0" w:line="240" w:lineRule="auto"/>
              <w:jc w:val="left"/>
              <w:rPr>
                <w:rFonts w:eastAsia="Times New Roman" w:cs="Arial"/>
                <w:color w:val="000000"/>
                <w:sz w:val="18"/>
                <w:szCs w:val="18"/>
                <w:lang w:val="en-GB" w:eastAsia="fr-FR"/>
              </w:rPr>
            </w:pPr>
          </w:p>
        </w:tc>
        <w:tc>
          <w:tcPr>
            <w:tcW w:w="1621" w:type="dxa"/>
            <w:tcBorders>
              <w:top w:val="nil"/>
              <w:left w:val="nil"/>
              <w:bottom w:val="nil"/>
              <w:right w:val="nil"/>
            </w:tcBorders>
            <w:shd w:val="clear" w:color="auto" w:fill="auto"/>
            <w:noWrap/>
            <w:vAlign w:val="bottom"/>
            <w:hideMark/>
          </w:tcPr>
          <w:p w14:paraId="73D8DF6E"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0.40 [0.32-0.49]</w:t>
            </w:r>
          </w:p>
        </w:tc>
        <w:tc>
          <w:tcPr>
            <w:tcW w:w="850" w:type="dxa"/>
            <w:tcBorders>
              <w:top w:val="nil"/>
              <w:left w:val="nil"/>
              <w:bottom w:val="nil"/>
              <w:right w:val="nil"/>
            </w:tcBorders>
            <w:shd w:val="clear" w:color="auto" w:fill="auto"/>
            <w:noWrap/>
            <w:vAlign w:val="bottom"/>
            <w:hideMark/>
          </w:tcPr>
          <w:p w14:paraId="620070C6"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D54129" w:rsidRPr="00397EC7" w14:paraId="01B0BDE3" w14:textId="77777777" w:rsidTr="00DB5008">
        <w:trPr>
          <w:trHeight w:val="170"/>
          <w:jc w:val="center"/>
        </w:trPr>
        <w:tc>
          <w:tcPr>
            <w:tcW w:w="3211" w:type="dxa"/>
            <w:tcBorders>
              <w:top w:val="nil"/>
              <w:left w:val="nil"/>
              <w:bottom w:val="single" w:sz="4" w:space="0" w:color="auto"/>
              <w:right w:val="nil"/>
            </w:tcBorders>
            <w:shd w:val="clear" w:color="auto" w:fill="auto"/>
            <w:noWrap/>
            <w:vAlign w:val="bottom"/>
            <w:hideMark/>
          </w:tcPr>
          <w:p w14:paraId="23A3DBB7" w14:textId="77777777" w:rsidR="00D54129" w:rsidRPr="00397EC7" w:rsidRDefault="00D54129"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≥5000</w:t>
            </w:r>
          </w:p>
        </w:tc>
        <w:tc>
          <w:tcPr>
            <w:tcW w:w="2835" w:type="dxa"/>
            <w:tcBorders>
              <w:top w:val="nil"/>
              <w:left w:val="nil"/>
              <w:bottom w:val="single" w:sz="4" w:space="0" w:color="auto"/>
              <w:right w:val="nil"/>
            </w:tcBorders>
            <w:shd w:val="clear" w:color="auto" w:fill="auto"/>
            <w:noWrap/>
            <w:vAlign w:val="bottom"/>
            <w:hideMark/>
          </w:tcPr>
          <w:p w14:paraId="6030CA61"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81" w:type="dxa"/>
            <w:tcBorders>
              <w:top w:val="nil"/>
              <w:left w:val="nil"/>
              <w:bottom w:val="single" w:sz="4" w:space="0" w:color="auto"/>
              <w:right w:val="nil"/>
            </w:tcBorders>
            <w:shd w:val="clear" w:color="auto" w:fill="auto"/>
            <w:noWrap/>
            <w:vAlign w:val="bottom"/>
            <w:hideMark/>
          </w:tcPr>
          <w:p w14:paraId="4AD0CF58"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91" w:type="dxa"/>
            <w:tcBorders>
              <w:top w:val="nil"/>
              <w:left w:val="nil"/>
              <w:bottom w:val="single" w:sz="4" w:space="0" w:color="auto"/>
              <w:right w:val="nil"/>
            </w:tcBorders>
            <w:shd w:val="clear" w:color="auto" w:fill="auto"/>
            <w:noWrap/>
            <w:vAlign w:val="bottom"/>
            <w:hideMark/>
          </w:tcPr>
          <w:p w14:paraId="47AF3038"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2796" w:type="dxa"/>
            <w:tcBorders>
              <w:top w:val="nil"/>
              <w:left w:val="nil"/>
              <w:bottom w:val="single" w:sz="4" w:space="0" w:color="auto"/>
              <w:right w:val="nil"/>
            </w:tcBorders>
            <w:shd w:val="clear" w:color="auto" w:fill="auto"/>
            <w:noWrap/>
            <w:vAlign w:val="bottom"/>
            <w:hideMark/>
          </w:tcPr>
          <w:p w14:paraId="26D9B89A"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59" w:type="dxa"/>
            <w:tcBorders>
              <w:top w:val="nil"/>
              <w:left w:val="nil"/>
              <w:bottom w:val="single" w:sz="4" w:space="0" w:color="auto"/>
              <w:right w:val="nil"/>
            </w:tcBorders>
            <w:shd w:val="clear" w:color="auto" w:fill="auto"/>
            <w:noWrap/>
            <w:vAlign w:val="bottom"/>
            <w:hideMark/>
          </w:tcPr>
          <w:p w14:paraId="098BA0C6"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91" w:type="dxa"/>
            <w:tcBorders>
              <w:top w:val="nil"/>
              <w:left w:val="nil"/>
              <w:bottom w:val="single" w:sz="4" w:space="0" w:color="auto"/>
              <w:right w:val="nil"/>
            </w:tcBorders>
            <w:shd w:val="clear" w:color="auto" w:fill="auto"/>
            <w:noWrap/>
            <w:vAlign w:val="bottom"/>
            <w:hideMark/>
          </w:tcPr>
          <w:p w14:paraId="4CA38194"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760" w:type="dxa"/>
            <w:tcBorders>
              <w:top w:val="nil"/>
              <w:left w:val="nil"/>
              <w:bottom w:val="single" w:sz="4" w:space="0" w:color="auto"/>
              <w:right w:val="nil"/>
            </w:tcBorders>
            <w:shd w:val="clear" w:color="auto" w:fill="auto"/>
            <w:noWrap/>
            <w:vAlign w:val="bottom"/>
            <w:hideMark/>
          </w:tcPr>
          <w:p w14:paraId="37AEE6B4"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768" w:type="dxa"/>
            <w:tcBorders>
              <w:top w:val="nil"/>
              <w:left w:val="nil"/>
              <w:bottom w:val="single" w:sz="4" w:space="0" w:color="auto"/>
              <w:right w:val="nil"/>
            </w:tcBorders>
            <w:shd w:val="clear" w:color="auto" w:fill="auto"/>
            <w:noWrap/>
            <w:vAlign w:val="bottom"/>
            <w:hideMark/>
          </w:tcPr>
          <w:p w14:paraId="4BD55C5C"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91" w:type="dxa"/>
            <w:tcBorders>
              <w:top w:val="nil"/>
              <w:left w:val="nil"/>
              <w:bottom w:val="single" w:sz="4" w:space="0" w:color="auto"/>
              <w:right w:val="nil"/>
            </w:tcBorders>
            <w:shd w:val="clear" w:color="auto" w:fill="auto"/>
            <w:noWrap/>
            <w:vAlign w:val="bottom"/>
            <w:hideMark/>
          </w:tcPr>
          <w:p w14:paraId="53450E83"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621" w:type="dxa"/>
            <w:tcBorders>
              <w:top w:val="nil"/>
              <w:left w:val="nil"/>
              <w:bottom w:val="single" w:sz="4" w:space="0" w:color="auto"/>
              <w:right w:val="nil"/>
            </w:tcBorders>
            <w:shd w:val="clear" w:color="auto" w:fill="auto"/>
            <w:noWrap/>
            <w:vAlign w:val="bottom"/>
            <w:hideMark/>
          </w:tcPr>
          <w:p w14:paraId="1B4A904F"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0" w:type="dxa"/>
            <w:tcBorders>
              <w:top w:val="nil"/>
              <w:left w:val="nil"/>
              <w:bottom w:val="single" w:sz="4" w:space="0" w:color="auto"/>
              <w:right w:val="nil"/>
            </w:tcBorders>
            <w:shd w:val="clear" w:color="auto" w:fill="auto"/>
            <w:noWrap/>
            <w:vAlign w:val="bottom"/>
            <w:hideMark/>
          </w:tcPr>
          <w:p w14:paraId="168EDC93" w14:textId="77777777" w:rsidR="00D54129" w:rsidRPr="00397EC7" w:rsidRDefault="00D54129"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r>
    </w:tbl>
    <w:p w14:paraId="36045F2D" w14:textId="51E3C949" w:rsidR="00966E2C" w:rsidRPr="00397EC7" w:rsidRDefault="00643360" w:rsidP="00966E2C">
      <w:pPr>
        <w:pStyle w:val="Citationintense"/>
        <w:rPr>
          <w:rFonts w:cs="Arial"/>
          <w:b w:val="0"/>
          <w:sz w:val="16"/>
          <w:lang w:val="en-GB"/>
        </w:rPr>
      </w:pPr>
      <w:r w:rsidRPr="00397EC7">
        <w:rPr>
          <w:rFonts w:cs="Arial"/>
          <w:b w:val="0"/>
          <w:sz w:val="16"/>
          <w:lang w:val="en-GB"/>
        </w:rPr>
        <w:t>OR [95% CI]:</w:t>
      </w:r>
      <w:r w:rsidR="00966E2C" w:rsidRPr="00397EC7">
        <w:rPr>
          <w:rFonts w:cs="Arial"/>
          <w:b w:val="0"/>
          <w:sz w:val="16"/>
          <w:lang w:val="en-GB"/>
        </w:rPr>
        <w:t xml:space="preserve"> Odds ratio (95% confidence interval).</w:t>
      </w:r>
    </w:p>
    <w:p w14:paraId="60C40143" w14:textId="6A62BD09" w:rsidR="00966E2C" w:rsidRPr="00397EC7" w:rsidRDefault="00457B87" w:rsidP="00966E2C">
      <w:pPr>
        <w:pStyle w:val="Citationintense"/>
        <w:rPr>
          <w:rFonts w:cs="Arial"/>
          <w:b w:val="0"/>
          <w:sz w:val="16"/>
          <w:lang w:val="en-GB"/>
        </w:rPr>
      </w:pPr>
      <w:proofErr w:type="spellStart"/>
      <w:proofErr w:type="gramStart"/>
      <w:r w:rsidRPr="00397EC7">
        <w:rPr>
          <w:rFonts w:cs="Arial"/>
          <w:b w:val="0"/>
          <w:sz w:val="16"/>
          <w:vertAlign w:val="superscript"/>
          <w:lang w:val="en-GB"/>
        </w:rPr>
        <w:t>a</w:t>
      </w:r>
      <w:proofErr w:type="spellEnd"/>
      <w:proofErr w:type="gramEnd"/>
      <w:r w:rsidR="00DE43B0" w:rsidRPr="00397EC7">
        <w:rPr>
          <w:rFonts w:cs="Arial"/>
          <w:b w:val="0"/>
          <w:sz w:val="16"/>
          <w:lang w:val="en-GB"/>
        </w:rPr>
        <w:t xml:space="preserve"> except non-</w:t>
      </w:r>
      <w:r w:rsidR="00966E2C" w:rsidRPr="00397EC7">
        <w:rPr>
          <w:rFonts w:cs="Arial"/>
          <w:b w:val="0"/>
          <w:sz w:val="16"/>
          <w:lang w:val="en-GB"/>
        </w:rPr>
        <w:t>melanoma skin cancer</w:t>
      </w:r>
    </w:p>
    <w:p w14:paraId="5A7155DC" w14:textId="7EAF23BD" w:rsidR="00966E2C" w:rsidRPr="00397EC7" w:rsidRDefault="00457B87" w:rsidP="00966E2C">
      <w:pPr>
        <w:pStyle w:val="Citationintense"/>
        <w:rPr>
          <w:rFonts w:cs="Arial"/>
          <w:b w:val="0"/>
          <w:bCs w:val="0"/>
          <w:sz w:val="16"/>
          <w:szCs w:val="18"/>
          <w:lang w:val="en-GB"/>
        </w:rPr>
      </w:pPr>
      <w:proofErr w:type="gramStart"/>
      <w:r w:rsidRPr="00397EC7">
        <w:rPr>
          <w:rFonts w:cs="Arial"/>
          <w:b w:val="0"/>
          <w:sz w:val="16"/>
          <w:vertAlign w:val="superscript"/>
          <w:lang w:val="en-GB"/>
        </w:rPr>
        <w:t>b</w:t>
      </w:r>
      <w:proofErr w:type="gramEnd"/>
      <w:r w:rsidR="00966E2C" w:rsidRPr="00397EC7">
        <w:rPr>
          <w:rFonts w:cs="Arial"/>
          <w:b w:val="0"/>
          <w:sz w:val="16"/>
          <w:lang w:val="en-GB"/>
        </w:rPr>
        <w:t xml:space="preserve"> including lymphoma and </w:t>
      </w:r>
      <w:proofErr w:type="spellStart"/>
      <w:r w:rsidR="00966E2C" w:rsidRPr="00397EC7">
        <w:rPr>
          <w:rFonts w:cs="Arial"/>
          <w:b w:val="0"/>
          <w:sz w:val="16"/>
          <w:lang w:val="en-GB"/>
        </w:rPr>
        <w:t>leukemia</w:t>
      </w:r>
      <w:proofErr w:type="spellEnd"/>
    </w:p>
    <w:p w14:paraId="531AFB9D" w14:textId="48F7AFB0" w:rsidR="00966E2C" w:rsidRPr="00397EC7" w:rsidRDefault="00966E2C">
      <w:pPr>
        <w:spacing w:line="276" w:lineRule="auto"/>
        <w:jc w:val="left"/>
        <w:rPr>
          <w:rStyle w:val="Titredulivre"/>
          <w:rFonts w:cs="Arial"/>
          <w:b/>
          <w:bCs/>
          <w:lang w:val="en-GB"/>
        </w:rPr>
      </w:pPr>
      <w:r w:rsidRPr="00397EC7">
        <w:rPr>
          <w:rStyle w:val="Titredulivre"/>
          <w:rFonts w:cs="Arial"/>
          <w:b/>
          <w:bCs/>
          <w:lang w:val="en-GB"/>
        </w:rPr>
        <w:br w:type="page"/>
      </w:r>
    </w:p>
    <w:p w14:paraId="3A2C3919" w14:textId="77777777" w:rsidR="00966E2C" w:rsidRPr="00397EC7" w:rsidRDefault="00966E2C">
      <w:pPr>
        <w:spacing w:line="276" w:lineRule="auto"/>
        <w:jc w:val="left"/>
        <w:rPr>
          <w:rStyle w:val="Titredulivre"/>
          <w:rFonts w:cs="Arial"/>
          <w:b/>
          <w:bCs/>
          <w:lang w:val="en-GB"/>
        </w:rPr>
        <w:sectPr w:rsidR="00966E2C" w:rsidRPr="00397EC7" w:rsidSect="00DB5008">
          <w:pgSz w:w="16838" w:h="11906" w:orient="landscape"/>
          <w:pgMar w:top="1417" w:right="1417" w:bottom="284" w:left="1417" w:header="708" w:footer="119" w:gutter="0"/>
          <w:cols w:space="708"/>
          <w:docGrid w:linePitch="360"/>
        </w:sectPr>
      </w:pPr>
    </w:p>
    <w:p w14:paraId="089F6ADF" w14:textId="7C9559CD" w:rsidR="00966E2C" w:rsidRPr="00397EC7" w:rsidRDefault="00A6091F" w:rsidP="00966E2C">
      <w:pPr>
        <w:pStyle w:val="Lgende"/>
        <w:spacing w:before="240"/>
        <w:rPr>
          <w:rFonts w:cs="Arial"/>
          <w:sz w:val="20"/>
          <w:lang w:val="en-GB"/>
        </w:rPr>
      </w:pPr>
      <w:r w:rsidRPr="00397EC7">
        <w:rPr>
          <w:rStyle w:val="Titredulivre"/>
          <w:rFonts w:cs="Times New Roman"/>
          <w:lang w:val="en-GB"/>
        </w:rPr>
        <w:lastRenderedPageBreak/>
        <w:t xml:space="preserve">Supplemental Table </w:t>
      </w:r>
      <w:r w:rsidR="00814A7A" w:rsidRPr="00397EC7">
        <w:rPr>
          <w:rFonts w:cs="Arial"/>
          <w:sz w:val="20"/>
          <w:lang w:val="en-GB"/>
        </w:rPr>
        <w:t>6</w:t>
      </w:r>
      <w:r w:rsidR="00966E2C" w:rsidRPr="00397EC7">
        <w:rPr>
          <w:rFonts w:cs="Arial"/>
          <w:sz w:val="20"/>
          <w:lang w:val="en-GB"/>
        </w:rPr>
        <w:t>: Characteristics associated with renal adverse events: unadjusted logistic regression models (N = 4,088,799)</w:t>
      </w:r>
      <w:r w:rsidR="00D54129" w:rsidRPr="00397EC7">
        <w:rPr>
          <w:rFonts w:cs="Arial"/>
          <w:sz w:val="20"/>
          <w:lang w:val="en-GB"/>
        </w:rPr>
        <w:t>.</w:t>
      </w:r>
    </w:p>
    <w:tbl>
      <w:tblPr>
        <w:tblW w:w="9731" w:type="dxa"/>
        <w:jc w:val="center"/>
        <w:tblCellMar>
          <w:left w:w="70" w:type="dxa"/>
          <w:right w:w="70" w:type="dxa"/>
        </w:tblCellMar>
        <w:tblLook w:val="04A0" w:firstRow="1" w:lastRow="0" w:firstColumn="1" w:lastColumn="0" w:noHBand="0" w:noVBand="1"/>
      </w:tblPr>
      <w:tblGrid>
        <w:gridCol w:w="4555"/>
        <w:gridCol w:w="1669"/>
        <w:gridCol w:w="851"/>
        <w:gridCol w:w="191"/>
        <w:gridCol w:w="1541"/>
        <w:gridCol w:w="924"/>
      </w:tblGrid>
      <w:tr w:rsidR="00966E2C" w:rsidRPr="00397EC7" w14:paraId="6C74E18C" w14:textId="77777777" w:rsidTr="00995C5C">
        <w:trPr>
          <w:trHeight w:val="20"/>
          <w:tblHeader/>
          <w:jc w:val="center"/>
        </w:trPr>
        <w:tc>
          <w:tcPr>
            <w:tcW w:w="4555" w:type="dxa"/>
            <w:tcBorders>
              <w:top w:val="single" w:sz="4" w:space="0" w:color="auto"/>
              <w:left w:val="nil"/>
              <w:bottom w:val="nil"/>
              <w:right w:val="nil"/>
            </w:tcBorders>
            <w:shd w:val="clear" w:color="auto" w:fill="auto"/>
            <w:noWrap/>
            <w:vAlign w:val="bottom"/>
            <w:hideMark/>
          </w:tcPr>
          <w:p w14:paraId="66D3AF79" w14:textId="77777777" w:rsidR="00966E2C" w:rsidRPr="00397EC7" w:rsidRDefault="00966E2C" w:rsidP="00643360">
            <w:pPr>
              <w:spacing w:after="0" w:line="240" w:lineRule="auto"/>
              <w:jc w:val="left"/>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2520" w:type="dxa"/>
            <w:gridSpan w:val="2"/>
            <w:tcBorders>
              <w:top w:val="single" w:sz="4" w:space="0" w:color="auto"/>
              <w:left w:val="nil"/>
              <w:bottom w:val="single" w:sz="4" w:space="0" w:color="auto"/>
              <w:right w:val="nil"/>
            </w:tcBorders>
            <w:shd w:val="clear" w:color="auto" w:fill="auto"/>
            <w:noWrap/>
            <w:vAlign w:val="bottom"/>
            <w:hideMark/>
          </w:tcPr>
          <w:p w14:paraId="61FF9337"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Acute renal failure</w:t>
            </w:r>
          </w:p>
        </w:tc>
        <w:tc>
          <w:tcPr>
            <w:tcW w:w="191" w:type="dxa"/>
            <w:tcBorders>
              <w:top w:val="single" w:sz="4" w:space="0" w:color="auto"/>
              <w:left w:val="nil"/>
              <w:bottom w:val="nil"/>
              <w:right w:val="nil"/>
            </w:tcBorders>
            <w:shd w:val="clear" w:color="auto" w:fill="auto"/>
            <w:noWrap/>
            <w:vAlign w:val="bottom"/>
            <w:hideMark/>
          </w:tcPr>
          <w:p w14:paraId="24BF922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2465" w:type="dxa"/>
            <w:gridSpan w:val="2"/>
            <w:tcBorders>
              <w:top w:val="single" w:sz="4" w:space="0" w:color="auto"/>
              <w:left w:val="nil"/>
              <w:bottom w:val="single" w:sz="4" w:space="0" w:color="auto"/>
              <w:right w:val="nil"/>
            </w:tcBorders>
            <w:shd w:val="clear" w:color="auto" w:fill="auto"/>
            <w:noWrap/>
            <w:vAlign w:val="bottom"/>
            <w:hideMark/>
          </w:tcPr>
          <w:p w14:paraId="6456AE98"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Urolithiasis</w:t>
            </w:r>
          </w:p>
        </w:tc>
      </w:tr>
      <w:tr w:rsidR="00966E2C" w:rsidRPr="00397EC7" w14:paraId="480BD372" w14:textId="77777777" w:rsidTr="00995C5C">
        <w:trPr>
          <w:trHeight w:val="20"/>
          <w:tblHeader/>
          <w:jc w:val="center"/>
        </w:trPr>
        <w:tc>
          <w:tcPr>
            <w:tcW w:w="4555" w:type="dxa"/>
            <w:tcBorders>
              <w:left w:val="nil"/>
              <w:bottom w:val="single" w:sz="4" w:space="0" w:color="auto"/>
              <w:right w:val="nil"/>
            </w:tcBorders>
            <w:shd w:val="clear" w:color="auto" w:fill="auto"/>
            <w:noWrap/>
            <w:vAlign w:val="bottom"/>
            <w:hideMark/>
          </w:tcPr>
          <w:p w14:paraId="5AFD9A04"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669" w:type="dxa"/>
            <w:tcBorders>
              <w:top w:val="nil"/>
              <w:left w:val="nil"/>
              <w:bottom w:val="single" w:sz="4" w:space="0" w:color="auto"/>
              <w:right w:val="nil"/>
            </w:tcBorders>
            <w:shd w:val="clear" w:color="auto" w:fill="auto"/>
            <w:noWrap/>
            <w:vAlign w:val="bottom"/>
            <w:hideMark/>
          </w:tcPr>
          <w:p w14:paraId="4E0A637E"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OR [95%CI]</w:t>
            </w:r>
          </w:p>
        </w:tc>
        <w:tc>
          <w:tcPr>
            <w:tcW w:w="851" w:type="dxa"/>
            <w:tcBorders>
              <w:top w:val="nil"/>
              <w:left w:val="nil"/>
              <w:bottom w:val="single" w:sz="4" w:space="0" w:color="auto"/>
              <w:right w:val="nil"/>
            </w:tcBorders>
            <w:shd w:val="clear" w:color="auto" w:fill="auto"/>
            <w:noWrap/>
            <w:vAlign w:val="bottom"/>
            <w:hideMark/>
          </w:tcPr>
          <w:p w14:paraId="7F97C305"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 value</w:t>
            </w:r>
          </w:p>
        </w:tc>
        <w:tc>
          <w:tcPr>
            <w:tcW w:w="191" w:type="dxa"/>
            <w:tcBorders>
              <w:top w:val="nil"/>
              <w:left w:val="nil"/>
              <w:bottom w:val="single" w:sz="4" w:space="0" w:color="auto"/>
              <w:right w:val="nil"/>
            </w:tcBorders>
            <w:shd w:val="clear" w:color="auto" w:fill="auto"/>
            <w:noWrap/>
            <w:vAlign w:val="bottom"/>
            <w:hideMark/>
          </w:tcPr>
          <w:p w14:paraId="7C218662"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1541" w:type="dxa"/>
            <w:tcBorders>
              <w:top w:val="nil"/>
              <w:left w:val="nil"/>
              <w:bottom w:val="single" w:sz="4" w:space="0" w:color="auto"/>
              <w:right w:val="nil"/>
            </w:tcBorders>
            <w:shd w:val="clear" w:color="auto" w:fill="auto"/>
            <w:noWrap/>
            <w:vAlign w:val="bottom"/>
            <w:hideMark/>
          </w:tcPr>
          <w:p w14:paraId="2D2D4946"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OR [95%CI]</w:t>
            </w:r>
          </w:p>
        </w:tc>
        <w:tc>
          <w:tcPr>
            <w:tcW w:w="924" w:type="dxa"/>
            <w:tcBorders>
              <w:top w:val="nil"/>
              <w:left w:val="nil"/>
              <w:bottom w:val="single" w:sz="4" w:space="0" w:color="auto"/>
              <w:right w:val="nil"/>
            </w:tcBorders>
            <w:shd w:val="clear" w:color="auto" w:fill="auto"/>
            <w:noWrap/>
            <w:vAlign w:val="bottom"/>
            <w:hideMark/>
          </w:tcPr>
          <w:p w14:paraId="3D60DD05"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 value</w:t>
            </w:r>
          </w:p>
        </w:tc>
      </w:tr>
      <w:tr w:rsidR="00966E2C" w:rsidRPr="00397EC7" w14:paraId="246D7DCD" w14:textId="77777777" w:rsidTr="00995C5C">
        <w:trPr>
          <w:trHeight w:val="20"/>
          <w:jc w:val="center"/>
        </w:trPr>
        <w:tc>
          <w:tcPr>
            <w:tcW w:w="4555" w:type="dxa"/>
            <w:tcBorders>
              <w:top w:val="single" w:sz="4" w:space="0" w:color="auto"/>
              <w:left w:val="nil"/>
              <w:bottom w:val="nil"/>
              <w:right w:val="nil"/>
            </w:tcBorders>
            <w:shd w:val="clear" w:color="auto" w:fill="auto"/>
            <w:noWrap/>
            <w:vAlign w:val="bottom"/>
            <w:hideMark/>
          </w:tcPr>
          <w:p w14:paraId="08BB92F6"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Year</w:t>
            </w:r>
          </w:p>
        </w:tc>
        <w:tc>
          <w:tcPr>
            <w:tcW w:w="1669" w:type="dxa"/>
            <w:tcBorders>
              <w:top w:val="nil"/>
              <w:left w:val="nil"/>
              <w:bottom w:val="nil"/>
              <w:right w:val="nil"/>
            </w:tcBorders>
            <w:shd w:val="clear" w:color="auto" w:fill="auto"/>
            <w:noWrap/>
            <w:vAlign w:val="bottom"/>
            <w:hideMark/>
          </w:tcPr>
          <w:p w14:paraId="1F0192FA" w14:textId="77777777" w:rsidR="00966E2C" w:rsidRPr="00397EC7" w:rsidRDefault="00966E2C" w:rsidP="00643360">
            <w:pPr>
              <w:spacing w:after="0" w:line="240" w:lineRule="auto"/>
              <w:jc w:val="center"/>
              <w:rPr>
                <w:rFonts w:eastAsia="Times New Roman" w:cs="Arial"/>
                <w:b/>
                <w:bCs/>
                <w:i/>
                <w:iCs/>
                <w:color w:val="000000"/>
                <w:sz w:val="18"/>
                <w:szCs w:val="18"/>
                <w:lang w:val="en-GB" w:eastAsia="fr-FR"/>
              </w:rPr>
            </w:pPr>
          </w:p>
        </w:tc>
        <w:tc>
          <w:tcPr>
            <w:tcW w:w="851" w:type="dxa"/>
            <w:tcBorders>
              <w:top w:val="nil"/>
              <w:left w:val="nil"/>
              <w:bottom w:val="nil"/>
              <w:right w:val="nil"/>
            </w:tcBorders>
            <w:shd w:val="clear" w:color="auto" w:fill="auto"/>
            <w:noWrap/>
            <w:vAlign w:val="bottom"/>
            <w:hideMark/>
          </w:tcPr>
          <w:p w14:paraId="1A704FB9" w14:textId="77777777" w:rsidR="00966E2C" w:rsidRPr="00397EC7" w:rsidRDefault="00966E2C" w:rsidP="00643360">
            <w:pPr>
              <w:spacing w:after="0" w:line="240" w:lineRule="auto"/>
              <w:jc w:val="center"/>
              <w:rPr>
                <w:rFonts w:eastAsia="Times New Roman" w:cs="Arial"/>
                <w:b/>
                <w:bCs/>
                <w:i/>
                <w:iCs/>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61AF29F2" w14:textId="77777777" w:rsidR="00966E2C" w:rsidRPr="00397EC7" w:rsidRDefault="00966E2C" w:rsidP="00643360">
            <w:pPr>
              <w:spacing w:after="0" w:line="240" w:lineRule="auto"/>
              <w:jc w:val="center"/>
              <w:rPr>
                <w:rFonts w:eastAsia="Times New Roman" w:cs="Arial"/>
                <w:b/>
                <w:bCs/>
                <w:i/>
                <w:iCs/>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17E91C88" w14:textId="77777777" w:rsidR="00966E2C" w:rsidRPr="00397EC7" w:rsidRDefault="00966E2C" w:rsidP="00643360">
            <w:pPr>
              <w:spacing w:after="0" w:line="240" w:lineRule="auto"/>
              <w:jc w:val="center"/>
              <w:rPr>
                <w:rFonts w:eastAsia="Times New Roman" w:cs="Arial"/>
                <w:b/>
                <w:bCs/>
                <w:i/>
                <w:iCs/>
                <w:color w:val="000000"/>
                <w:sz w:val="18"/>
                <w:szCs w:val="18"/>
                <w:lang w:val="en-GB" w:eastAsia="fr-FR"/>
              </w:rPr>
            </w:pPr>
          </w:p>
        </w:tc>
        <w:tc>
          <w:tcPr>
            <w:tcW w:w="924" w:type="dxa"/>
            <w:tcBorders>
              <w:top w:val="nil"/>
              <w:left w:val="nil"/>
              <w:bottom w:val="nil"/>
              <w:right w:val="nil"/>
            </w:tcBorders>
            <w:shd w:val="clear" w:color="auto" w:fill="auto"/>
            <w:noWrap/>
            <w:vAlign w:val="bottom"/>
            <w:hideMark/>
          </w:tcPr>
          <w:p w14:paraId="64F84B4C"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p>
        </w:tc>
      </w:tr>
      <w:tr w:rsidR="00966E2C" w:rsidRPr="00397EC7" w14:paraId="0BED0875"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177FD720"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2010</w:t>
            </w:r>
          </w:p>
        </w:tc>
        <w:tc>
          <w:tcPr>
            <w:tcW w:w="1669" w:type="dxa"/>
            <w:tcBorders>
              <w:top w:val="nil"/>
              <w:left w:val="nil"/>
              <w:bottom w:val="nil"/>
              <w:right w:val="nil"/>
            </w:tcBorders>
            <w:shd w:val="clear" w:color="auto" w:fill="auto"/>
            <w:noWrap/>
            <w:vAlign w:val="bottom"/>
            <w:hideMark/>
          </w:tcPr>
          <w:p w14:paraId="1E6C9C3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1.31 [1.15-1.51]</w:t>
            </w:r>
          </w:p>
        </w:tc>
        <w:tc>
          <w:tcPr>
            <w:tcW w:w="851" w:type="dxa"/>
            <w:tcBorders>
              <w:top w:val="nil"/>
              <w:left w:val="nil"/>
              <w:bottom w:val="nil"/>
              <w:right w:val="nil"/>
            </w:tcBorders>
            <w:shd w:val="clear" w:color="auto" w:fill="auto"/>
            <w:noWrap/>
            <w:vAlign w:val="bottom"/>
            <w:hideMark/>
          </w:tcPr>
          <w:p w14:paraId="47B1257F"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71F85239"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5E7753C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1.31 [1.10-1.55]</w:t>
            </w:r>
          </w:p>
        </w:tc>
        <w:tc>
          <w:tcPr>
            <w:tcW w:w="924" w:type="dxa"/>
            <w:tcBorders>
              <w:top w:val="nil"/>
              <w:left w:val="nil"/>
              <w:bottom w:val="nil"/>
              <w:right w:val="nil"/>
            </w:tcBorders>
            <w:shd w:val="clear" w:color="auto" w:fill="auto"/>
            <w:noWrap/>
            <w:vAlign w:val="bottom"/>
            <w:hideMark/>
          </w:tcPr>
          <w:p w14:paraId="22D6224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0.0016</w:t>
            </w:r>
          </w:p>
        </w:tc>
      </w:tr>
      <w:tr w:rsidR="00966E2C" w:rsidRPr="00397EC7" w14:paraId="44B2072F"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1F6A391D"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2011</w:t>
            </w:r>
          </w:p>
        </w:tc>
        <w:tc>
          <w:tcPr>
            <w:tcW w:w="1669" w:type="dxa"/>
            <w:tcBorders>
              <w:top w:val="nil"/>
              <w:left w:val="nil"/>
              <w:bottom w:val="nil"/>
              <w:right w:val="nil"/>
            </w:tcBorders>
            <w:shd w:val="clear" w:color="auto" w:fill="auto"/>
            <w:noWrap/>
            <w:vAlign w:val="bottom"/>
            <w:hideMark/>
          </w:tcPr>
          <w:p w14:paraId="491DC16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1.15 [1.00-1.33]</w:t>
            </w:r>
          </w:p>
        </w:tc>
        <w:tc>
          <w:tcPr>
            <w:tcW w:w="851" w:type="dxa"/>
            <w:tcBorders>
              <w:top w:val="nil"/>
              <w:left w:val="nil"/>
              <w:bottom w:val="nil"/>
              <w:right w:val="nil"/>
            </w:tcBorders>
            <w:shd w:val="clear" w:color="auto" w:fill="auto"/>
            <w:noWrap/>
            <w:vAlign w:val="bottom"/>
            <w:hideMark/>
          </w:tcPr>
          <w:p w14:paraId="1590C11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0.045</w:t>
            </w:r>
          </w:p>
        </w:tc>
        <w:tc>
          <w:tcPr>
            <w:tcW w:w="191" w:type="dxa"/>
            <w:tcBorders>
              <w:top w:val="nil"/>
              <w:left w:val="nil"/>
              <w:bottom w:val="nil"/>
              <w:right w:val="nil"/>
            </w:tcBorders>
            <w:shd w:val="clear" w:color="auto" w:fill="auto"/>
            <w:noWrap/>
            <w:vAlign w:val="bottom"/>
            <w:hideMark/>
          </w:tcPr>
          <w:p w14:paraId="6D4D60AE"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4C82E9A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1.35 [1.14-1.60]</w:t>
            </w:r>
          </w:p>
        </w:tc>
        <w:tc>
          <w:tcPr>
            <w:tcW w:w="924" w:type="dxa"/>
            <w:tcBorders>
              <w:top w:val="nil"/>
              <w:left w:val="nil"/>
              <w:bottom w:val="nil"/>
              <w:right w:val="nil"/>
            </w:tcBorders>
            <w:shd w:val="clear" w:color="auto" w:fill="auto"/>
            <w:noWrap/>
            <w:vAlign w:val="bottom"/>
            <w:hideMark/>
          </w:tcPr>
          <w:p w14:paraId="554B4C1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0.0004</w:t>
            </w:r>
          </w:p>
        </w:tc>
      </w:tr>
      <w:tr w:rsidR="00966E2C" w:rsidRPr="00397EC7" w14:paraId="4B379869"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7CCA7C33"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2012</w:t>
            </w:r>
          </w:p>
        </w:tc>
        <w:tc>
          <w:tcPr>
            <w:tcW w:w="1669" w:type="dxa"/>
            <w:tcBorders>
              <w:top w:val="nil"/>
              <w:left w:val="nil"/>
              <w:bottom w:val="nil"/>
              <w:right w:val="nil"/>
            </w:tcBorders>
            <w:shd w:val="clear" w:color="auto" w:fill="auto"/>
            <w:noWrap/>
            <w:vAlign w:val="bottom"/>
            <w:hideMark/>
          </w:tcPr>
          <w:p w14:paraId="7F0BA07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1" w:type="dxa"/>
            <w:tcBorders>
              <w:top w:val="nil"/>
              <w:left w:val="nil"/>
              <w:bottom w:val="nil"/>
              <w:right w:val="nil"/>
            </w:tcBorders>
            <w:shd w:val="clear" w:color="auto" w:fill="auto"/>
            <w:noWrap/>
            <w:vAlign w:val="bottom"/>
            <w:hideMark/>
          </w:tcPr>
          <w:p w14:paraId="7C1803D1"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40575C3E"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727A7EFA"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24" w:type="dxa"/>
            <w:tcBorders>
              <w:top w:val="nil"/>
              <w:left w:val="nil"/>
              <w:bottom w:val="nil"/>
              <w:right w:val="nil"/>
            </w:tcBorders>
            <w:shd w:val="clear" w:color="auto" w:fill="auto"/>
            <w:noWrap/>
            <w:vAlign w:val="bottom"/>
            <w:hideMark/>
          </w:tcPr>
          <w:p w14:paraId="60662F75"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211451CA"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2EDEC61E"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2013</w:t>
            </w:r>
          </w:p>
        </w:tc>
        <w:tc>
          <w:tcPr>
            <w:tcW w:w="1669" w:type="dxa"/>
            <w:tcBorders>
              <w:top w:val="nil"/>
              <w:left w:val="nil"/>
              <w:bottom w:val="nil"/>
              <w:right w:val="nil"/>
            </w:tcBorders>
            <w:shd w:val="clear" w:color="auto" w:fill="auto"/>
            <w:noWrap/>
            <w:vAlign w:val="bottom"/>
            <w:hideMark/>
          </w:tcPr>
          <w:p w14:paraId="33633BC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1.11 [0.96-1.29]</w:t>
            </w:r>
          </w:p>
        </w:tc>
        <w:tc>
          <w:tcPr>
            <w:tcW w:w="851" w:type="dxa"/>
            <w:tcBorders>
              <w:top w:val="nil"/>
              <w:left w:val="nil"/>
              <w:bottom w:val="nil"/>
              <w:right w:val="nil"/>
            </w:tcBorders>
            <w:shd w:val="clear" w:color="auto" w:fill="auto"/>
            <w:noWrap/>
            <w:vAlign w:val="bottom"/>
            <w:hideMark/>
          </w:tcPr>
          <w:p w14:paraId="00F9E53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0.14</w:t>
            </w:r>
          </w:p>
        </w:tc>
        <w:tc>
          <w:tcPr>
            <w:tcW w:w="191" w:type="dxa"/>
            <w:tcBorders>
              <w:top w:val="nil"/>
              <w:left w:val="nil"/>
              <w:bottom w:val="nil"/>
              <w:right w:val="nil"/>
            </w:tcBorders>
            <w:shd w:val="clear" w:color="auto" w:fill="auto"/>
            <w:noWrap/>
            <w:vAlign w:val="bottom"/>
            <w:hideMark/>
          </w:tcPr>
          <w:p w14:paraId="0DDB3C3C"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2EA287B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0.86 [0.71-1.04]</w:t>
            </w:r>
          </w:p>
        </w:tc>
        <w:tc>
          <w:tcPr>
            <w:tcW w:w="924" w:type="dxa"/>
            <w:tcBorders>
              <w:top w:val="nil"/>
              <w:left w:val="nil"/>
              <w:bottom w:val="nil"/>
              <w:right w:val="nil"/>
            </w:tcBorders>
            <w:shd w:val="clear" w:color="auto" w:fill="auto"/>
            <w:noWrap/>
            <w:vAlign w:val="bottom"/>
            <w:hideMark/>
          </w:tcPr>
          <w:p w14:paraId="2C3C51A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0.13</w:t>
            </w:r>
          </w:p>
        </w:tc>
      </w:tr>
      <w:tr w:rsidR="00966E2C" w:rsidRPr="00397EC7" w14:paraId="300B0802"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2392685F"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2014</w:t>
            </w:r>
          </w:p>
        </w:tc>
        <w:tc>
          <w:tcPr>
            <w:tcW w:w="1669" w:type="dxa"/>
            <w:tcBorders>
              <w:top w:val="nil"/>
              <w:left w:val="nil"/>
              <w:bottom w:val="nil"/>
              <w:right w:val="nil"/>
            </w:tcBorders>
            <w:shd w:val="clear" w:color="auto" w:fill="auto"/>
            <w:noWrap/>
            <w:vAlign w:val="bottom"/>
            <w:hideMark/>
          </w:tcPr>
          <w:p w14:paraId="42BAC64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1.07 [0.92-1.24]</w:t>
            </w:r>
          </w:p>
        </w:tc>
        <w:tc>
          <w:tcPr>
            <w:tcW w:w="851" w:type="dxa"/>
            <w:tcBorders>
              <w:top w:val="nil"/>
              <w:left w:val="nil"/>
              <w:bottom w:val="nil"/>
              <w:right w:val="nil"/>
            </w:tcBorders>
            <w:shd w:val="clear" w:color="auto" w:fill="auto"/>
            <w:noWrap/>
            <w:vAlign w:val="bottom"/>
            <w:hideMark/>
          </w:tcPr>
          <w:p w14:paraId="1254CDF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0.37</w:t>
            </w:r>
          </w:p>
        </w:tc>
        <w:tc>
          <w:tcPr>
            <w:tcW w:w="191" w:type="dxa"/>
            <w:tcBorders>
              <w:top w:val="nil"/>
              <w:left w:val="nil"/>
              <w:bottom w:val="nil"/>
              <w:right w:val="nil"/>
            </w:tcBorders>
            <w:shd w:val="clear" w:color="auto" w:fill="auto"/>
            <w:noWrap/>
            <w:vAlign w:val="bottom"/>
            <w:hideMark/>
          </w:tcPr>
          <w:p w14:paraId="5A6D97BA"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39629A1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0.79 [0.65-0.97]</w:t>
            </w:r>
          </w:p>
        </w:tc>
        <w:tc>
          <w:tcPr>
            <w:tcW w:w="924" w:type="dxa"/>
            <w:tcBorders>
              <w:top w:val="nil"/>
              <w:left w:val="nil"/>
              <w:bottom w:val="nil"/>
              <w:right w:val="nil"/>
            </w:tcBorders>
            <w:shd w:val="clear" w:color="auto" w:fill="auto"/>
            <w:noWrap/>
            <w:vAlign w:val="bottom"/>
            <w:hideMark/>
          </w:tcPr>
          <w:p w14:paraId="16BEC7F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0.024</w:t>
            </w:r>
          </w:p>
        </w:tc>
      </w:tr>
      <w:tr w:rsidR="00966E2C" w:rsidRPr="00397EC7" w14:paraId="70E2D813"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323EF910"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2015</w:t>
            </w:r>
          </w:p>
        </w:tc>
        <w:tc>
          <w:tcPr>
            <w:tcW w:w="1669" w:type="dxa"/>
            <w:tcBorders>
              <w:top w:val="nil"/>
              <w:left w:val="nil"/>
              <w:bottom w:val="single" w:sz="4" w:space="0" w:color="auto"/>
              <w:right w:val="nil"/>
            </w:tcBorders>
            <w:shd w:val="clear" w:color="auto" w:fill="auto"/>
            <w:noWrap/>
            <w:vAlign w:val="bottom"/>
            <w:hideMark/>
          </w:tcPr>
          <w:p w14:paraId="34E5A77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1.09 [0.93-1.27]</w:t>
            </w:r>
          </w:p>
        </w:tc>
        <w:tc>
          <w:tcPr>
            <w:tcW w:w="851" w:type="dxa"/>
            <w:tcBorders>
              <w:top w:val="nil"/>
              <w:left w:val="nil"/>
              <w:bottom w:val="single" w:sz="4" w:space="0" w:color="auto"/>
              <w:right w:val="nil"/>
            </w:tcBorders>
            <w:shd w:val="clear" w:color="auto" w:fill="auto"/>
            <w:noWrap/>
            <w:vAlign w:val="bottom"/>
            <w:hideMark/>
          </w:tcPr>
          <w:p w14:paraId="6956531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0.27</w:t>
            </w:r>
          </w:p>
        </w:tc>
        <w:tc>
          <w:tcPr>
            <w:tcW w:w="191" w:type="dxa"/>
            <w:tcBorders>
              <w:top w:val="nil"/>
              <w:left w:val="nil"/>
              <w:bottom w:val="single" w:sz="4" w:space="0" w:color="auto"/>
              <w:right w:val="nil"/>
            </w:tcBorders>
            <w:shd w:val="clear" w:color="auto" w:fill="auto"/>
            <w:noWrap/>
            <w:vAlign w:val="bottom"/>
            <w:hideMark/>
          </w:tcPr>
          <w:p w14:paraId="2FBEE23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541" w:type="dxa"/>
            <w:tcBorders>
              <w:top w:val="nil"/>
              <w:left w:val="nil"/>
              <w:bottom w:val="single" w:sz="4" w:space="0" w:color="auto"/>
              <w:right w:val="nil"/>
            </w:tcBorders>
            <w:shd w:val="clear" w:color="auto" w:fill="auto"/>
            <w:noWrap/>
            <w:vAlign w:val="bottom"/>
            <w:hideMark/>
          </w:tcPr>
          <w:p w14:paraId="48FA172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0.73 [0.59-0.90]</w:t>
            </w:r>
          </w:p>
        </w:tc>
        <w:tc>
          <w:tcPr>
            <w:tcW w:w="924" w:type="dxa"/>
            <w:tcBorders>
              <w:top w:val="nil"/>
              <w:left w:val="nil"/>
              <w:bottom w:val="single" w:sz="4" w:space="0" w:color="auto"/>
              <w:right w:val="nil"/>
            </w:tcBorders>
            <w:shd w:val="clear" w:color="auto" w:fill="auto"/>
            <w:noWrap/>
            <w:vAlign w:val="bottom"/>
            <w:hideMark/>
          </w:tcPr>
          <w:p w14:paraId="3D57EB1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0.0041</w:t>
            </w:r>
          </w:p>
        </w:tc>
      </w:tr>
      <w:tr w:rsidR="00966E2C" w:rsidRPr="00397EC7" w14:paraId="1470865B" w14:textId="77777777" w:rsidTr="00995C5C">
        <w:trPr>
          <w:trHeight w:val="20"/>
          <w:jc w:val="center"/>
        </w:trPr>
        <w:tc>
          <w:tcPr>
            <w:tcW w:w="4555" w:type="dxa"/>
            <w:tcBorders>
              <w:top w:val="single" w:sz="4" w:space="0" w:color="auto"/>
              <w:left w:val="nil"/>
              <w:bottom w:val="nil"/>
              <w:right w:val="nil"/>
            </w:tcBorders>
            <w:shd w:val="clear" w:color="000000" w:fill="F2F2F2"/>
            <w:noWrap/>
            <w:vAlign w:val="bottom"/>
            <w:hideMark/>
          </w:tcPr>
          <w:p w14:paraId="4988415F" w14:textId="77777777" w:rsidR="00966E2C" w:rsidRPr="00397EC7" w:rsidRDefault="00966E2C" w:rsidP="00643360">
            <w:pPr>
              <w:spacing w:after="0" w:line="240" w:lineRule="auto"/>
              <w:jc w:val="left"/>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Patient characteristics</w:t>
            </w:r>
          </w:p>
        </w:tc>
        <w:tc>
          <w:tcPr>
            <w:tcW w:w="1669" w:type="dxa"/>
            <w:tcBorders>
              <w:top w:val="nil"/>
              <w:left w:val="nil"/>
              <w:bottom w:val="nil"/>
              <w:right w:val="nil"/>
            </w:tcBorders>
            <w:shd w:val="clear" w:color="000000" w:fill="F2F2F2"/>
            <w:noWrap/>
            <w:vAlign w:val="bottom"/>
            <w:hideMark/>
          </w:tcPr>
          <w:p w14:paraId="0B40A5B8"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xml:space="preserve"> </w:t>
            </w:r>
          </w:p>
        </w:tc>
        <w:tc>
          <w:tcPr>
            <w:tcW w:w="851" w:type="dxa"/>
            <w:tcBorders>
              <w:top w:val="nil"/>
              <w:left w:val="nil"/>
              <w:bottom w:val="nil"/>
              <w:right w:val="nil"/>
            </w:tcBorders>
            <w:shd w:val="clear" w:color="000000" w:fill="F2F2F2"/>
            <w:noWrap/>
            <w:vAlign w:val="bottom"/>
            <w:hideMark/>
          </w:tcPr>
          <w:p w14:paraId="4A222CE7"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191" w:type="dxa"/>
            <w:tcBorders>
              <w:top w:val="nil"/>
              <w:left w:val="nil"/>
              <w:bottom w:val="nil"/>
              <w:right w:val="nil"/>
            </w:tcBorders>
            <w:shd w:val="clear" w:color="000000" w:fill="F2F2F2"/>
            <w:noWrap/>
            <w:vAlign w:val="bottom"/>
            <w:hideMark/>
          </w:tcPr>
          <w:p w14:paraId="1C218871"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1541" w:type="dxa"/>
            <w:tcBorders>
              <w:top w:val="nil"/>
              <w:left w:val="nil"/>
              <w:bottom w:val="nil"/>
              <w:right w:val="nil"/>
            </w:tcBorders>
            <w:shd w:val="clear" w:color="000000" w:fill="F2F2F2"/>
            <w:noWrap/>
            <w:vAlign w:val="bottom"/>
            <w:hideMark/>
          </w:tcPr>
          <w:p w14:paraId="4D7C0774"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xml:space="preserve"> </w:t>
            </w:r>
          </w:p>
        </w:tc>
        <w:tc>
          <w:tcPr>
            <w:tcW w:w="924" w:type="dxa"/>
            <w:tcBorders>
              <w:top w:val="nil"/>
              <w:left w:val="nil"/>
              <w:bottom w:val="nil"/>
              <w:right w:val="nil"/>
            </w:tcBorders>
            <w:shd w:val="clear" w:color="000000" w:fill="F2F2F2"/>
            <w:noWrap/>
            <w:vAlign w:val="bottom"/>
            <w:hideMark/>
          </w:tcPr>
          <w:p w14:paraId="2A36D405"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r>
      <w:tr w:rsidR="00966E2C" w:rsidRPr="00397EC7" w14:paraId="5715314E"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3BDF0FED"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Sex</w:t>
            </w:r>
          </w:p>
        </w:tc>
        <w:tc>
          <w:tcPr>
            <w:tcW w:w="1669" w:type="dxa"/>
            <w:tcBorders>
              <w:top w:val="nil"/>
              <w:left w:val="nil"/>
              <w:bottom w:val="nil"/>
              <w:right w:val="nil"/>
            </w:tcBorders>
            <w:shd w:val="clear" w:color="auto" w:fill="auto"/>
            <w:noWrap/>
            <w:vAlign w:val="bottom"/>
            <w:hideMark/>
          </w:tcPr>
          <w:p w14:paraId="7772B9C8" w14:textId="77777777" w:rsidR="00966E2C" w:rsidRPr="00397EC7" w:rsidRDefault="00966E2C" w:rsidP="00643360">
            <w:pPr>
              <w:spacing w:after="0" w:line="240" w:lineRule="auto"/>
              <w:jc w:val="center"/>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 xml:space="preserve"> </w:t>
            </w:r>
          </w:p>
        </w:tc>
        <w:tc>
          <w:tcPr>
            <w:tcW w:w="851" w:type="dxa"/>
            <w:tcBorders>
              <w:top w:val="nil"/>
              <w:left w:val="nil"/>
              <w:bottom w:val="nil"/>
              <w:right w:val="nil"/>
            </w:tcBorders>
            <w:shd w:val="clear" w:color="auto" w:fill="auto"/>
            <w:noWrap/>
            <w:vAlign w:val="bottom"/>
            <w:hideMark/>
          </w:tcPr>
          <w:p w14:paraId="074E20D3" w14:textId="77777777" w:rsidR="00966E2C" w:rsidRPr="00397EC7" w:rsidRDefault="00966E2C" w:rsidP="00643360">
            <w:pPr>
              <w:spacing w:after="0" w:line="240" w:lineRule="auto"/>
              <w:jc w:val="center"/>
              <w:rPr>
                <w:rFonts w:eastAsia="Times New Roman" w:cs="Arial"/>
                <w:b/>
                <w:bCs/>
                <w:i/>
                <w:iCs/>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5B4DF92C" w14:textId="77777777" w:rsidR="00966E2C" w:rsidRPr="00397EC7" w:rsidRDefault="00966E2C" w:rsidP="00643360">
            <w:pPr>
              <w:spacing w:after="0" w:line="240" w:lineRule="auto"/>
              <w:jc w:val="center"/>
              <w:rPr>
                <w:rFonts w:eastAsia="Times New Roman" w:cs="Arial"/>
                <w:b/>
                <w:bCs/>
                <w:i/>
                <w:iCs/>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595CE181" w14:textId="77777777" w:rsidR="00966E2C" w:rsidRPr="00397EC7" w:rsidRDefault="00966E2C" w:rsidP="00643360">
            <w:pPr>
              <w:spacing w:after="0" w:line="240" w:lineRule="auto"/>
              <w:jc w:val="center"/>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 xml:space="preserve"> </w:t>
            </w:r>
          </w:p>
        </w:tc>
        <w:tc>
          <w:tcPr>
            <w:tcW w:w="924" w:type="dxa"/>
            <w:tcBorders>
              <w:top w:val="nil"/>
              <w:left w:val="nil"/>
              <w:bottom w:val="nil"/>
              <w:right w:val="nil"/>
            </w:tcBorders>
            <w:shd w:val="clear" w:color="auto" w:fill="auto"/>
            <w:noWrap/>
            <w:vAlign w:val="bottom"/>
            <w:hideMark/>
          </w:tcPr>
          <w:p w14:paraId="5B43E781" w14:textId="77777777" w:rsidR="00966E2C" w:rsidRPr="00397EC7" w:rsidRDefault="00966E2C" w:rsidP="00643360">
            <w:pPr>
              <w:spacing w:after="0" w:line="240" w:lineRule="auto"/>
              <w:jc w:val="center"/>
              <w:rPr>
                <w:rFonts w:eastAsia="Times New Roman" w:cs="Arial"/>
                <w:b/>
                <w:bCs/>
                <w:i/>
                <w:iCs/>
                <w:color w:val="000000"/>
                <w:sz w:val="18"/>
                <w:szCs w:val="18"/>
                <w:lang w:val="en-GB" w:eastAsia="fr-FR"/>
              </w:rPr>
            </w:pPr>
          </w:p>
        </w:tc>
      </w:tr>
      <w:tr w:rsidR="00966E2C" w:rsidRPr="00397EC7" w14:paraId="0BE39BF4"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63115753"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male</w:t>
            </w:r>
          </w:p>
        </w:tc>
        <w:tc>
          <w:tcPr>
            <w:tcW w:w="1669" w:type="dxa"/>
            <w:tcBorders>
              <w:top w:val="nil"/>
              <w:left w:val="nil"/>
              <w:bottom w:val="nil"/>
              <w:right w:val="nil"/>
            </w:tcBorders>
            <w:shd w:val="clear" w:color="auto" w:fill="auto"/>
            <w:noWrap/>
            <w:vAlign w:val="bottom"/>
            <w:hideMark/>
          </w:tcPr>
          <w:p w14:paraId="2B4FEAC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1" w:type="dxa"/>
            <w:tcBorders>
              <w:top w:val="nil"/>
              <w:left w:val="nil"/>
              <w:bottom w:val="nil"/>
              <w:right w:val="nil"/>
            </w:tcBorders>
            <w:shd w:val="clear" w:color="auto" w:fill="auto"/>
            <w:noWrap/>
            <w:vAlign w:val="bottom"/>
            <w:hideMark/>
          </w:tcPr>
          <w:p w14:paraId="33EE0BF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91" w:type="dxa"/>
            <w:tcBorders>
              <w:top w:val="nil"/>
              <w:left w:val="nil"/>
              <w:bottom w:val="nil"/>
              <w:right w:val="nil"/>
            </w:tcBorders>
            <w:shd w:val="clear" w:color="auto" w:fill="auto"/>
            <w:noWrap/>
            <w:vAlign w:val="bottom"/>
            <w:hideMark/>
          </w:tcPr>
          <w:p w14:paraId="4E4EB7E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541" w:type="dxa"/>
            <w:tcBorders>
              <w:top w:val="nil"/>
              <w:left w:val="nil"/>
              <w:bottom w:val="nil"/>
              <w:right w:val="nil"/>
            </w:tcBorders>
            <w:shd w:val="clear" w:color="auto" w:fill="auto"/>
            <w:noWrap/>
            <w:vAlign w:val="bottom"/>
            <w:hideMark/>
          </w:tcPr>
          <w:p w14:paraId="3CF1442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24" w:type="dxa"/>
            <w:tcBorders>
              <w:top w:val="nil"/>
              <w:left w:val="nil"/>
              <w:bottom w:val="nil"/>
              <w:right w:val="nil"/>
            </w:tcBorders>
            <w:shd w:val="clear" w:color="auto" w:fill="auto"/>
            <w:noWrap/>
            <w:vAlign w:val="bottom"/>
            <w:hideMark/>
          </w:tcPr>
          <w:p w14:paraId="0ED13B7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r>
      <w:tr w:rsidR="00966E2C" w:rsidRPr="00397EC7" w14:paraId="6BB801B2"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35E290F2"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female</w:t>
            </w:r>
          </w:p>
        </w:tc>
        <w:tc>
          <w:tcPr>
            <w:tcW w:w="1669" w:type="dxa"/>
            <w:tcBorders>
              <w:top w:val="nil"/>
              <w:left w:val="nil"/>
              <w:bottom w:val="nil"/>
              <w:right w:val="nil"/>
            </w:tcBorders>
            <w:shd w:val="clear" w:color="auto" w:fill="auto"/>
            <w:noWrap/>
            <w:vAlign w:val="bottom"/>
            <w:hideMark/>
          </w:tcPr>
          <w:p w14:paraId="4FDF5B5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0.49 [0.45-0.54]</w:t>
            </w:r>
          </w:p>
        </w:tc>
        <w:tc>
          <w:tcPr>
            <w:tcW w:w="851" w:type="dxa"/>
            <w:tcBorders>
              <w:top w:val="nil"/>
              <w:left w:val="nil"/>
              <w:bottom w:val="nil"/>
              <w:right w:val="nil"/>
            </w:tcBorders>
            <w:shd w:val="clear" w:color="auto" w:fill="auto"/>
            <w:noWrap/>
            <w:vAlign w:val="bottom"/>
            <w:hideMark/>
          </w:tcPr>
          <w:p w14:paraId="46BF369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309E754F"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541" w:type="dxa"/>
            <w:tcBorders>
              <w:top w:val="nil"/>
              <w:left w:val="nil"/>
              <w:bottom w:val="nil"/>
              <w:right w:val="nil"/>
            </w:tcBorders>
            <w:shd w:val="clear" w:color="auto" w:fill="auto"/>
            <w:noWrap/>
            <w:vAlign w:val="bottom"/>
            <w:hideMark/>
          </w:tcPr>
          <w:p w14:paraId="4A07167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0.47 [0.42-0.52]</w:t>
            </w:r>
          </w:p>
        </w:tc>
        <w:tc>
          <w:tcPr>
            <w:tcW w:w="924" w:type="dxa"/>
            <w:tcBorders>
              <w:top w:val="nil"/>
              <w:left w:val="nil"/>
              <w:bottom w:val="nil"/>
              <w:right w:val="nil"/>
            </w:tcBorders>
            <w:shd w:val="clear" w:color="auto" w:fill="auto"/>
            <w:noWrap/>
            <w:vAlign w:val="bottom"/>
            <w:hideMark/>
          </w:tcPr>
          <w:p w14:paraId="0CF69B7F"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115D5CC7"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0D25EA1A"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Age</w:t>
            </w:r>
          </w:p>
        </w:tc>
        <w:tc>
          <w:tcPr>
            <w:tcW w:w="1669" w:type="dxa"/>
            <w:tcBorders>
              <w:top w:val="nil"/>
              <w:left w:val="nil"/>
              <w:bottom w:val="nil"/>
              <w:right w:val="nil"/>
            </w:tcBorders>
            <w:shd w:val="clear" w:color="auto" w:fill="auto"/>
            <w:noWrap/>
            <w:vAlign w:val="bottom"/>
            <w:hideMark/>
          </w:tcPr>
          <w:p w14:paraId="0292923C"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r w:rsidRPr="00397EC7">
              <w:rPr>
                <w:rFonts w:eastAsia="Times New Roman" w:cs="Arial"/>
                <w:b/>
                <w:bCs/>
                <w:iCs/>
                <w:color w:val="000000"/>
                <w:sz w:val="18"/>
                <w:szCs w:val="18"/>
                <w:lang w:val="en-GB" w:eastAsia="fr-FR"/>
              </w:rPr>
              <w:t xml:space="preserve"> </w:t>
            </w:r>
          </w:p>
        </w:tc>
        <w:tc>
          <w:tcPr>
            <w:tcW w:w="851" w:type="dxa"/>
            <w:tcBorders>
              <w:top w:val="nil"/>
              <w:left w:val="nil"/>
              <w:bottom w:val="nil"/>
              <w:right w:val="nil"/>
            </w:tcBorders>
            <w:shd w:val="clear" w:color="auto" w:fill="auto"/>
            <w:noWrap/>
            <w:vAlign w:val="bottom"/>
            <w:hideMark/>
          </w:tcPr>
          <w:p w14:paraId="4C00B068"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517C70DB"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2E0261B1"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r w:rsidRPr="00397EC7">
              <w:rPr>
                <w:rFonts w:eastAsia="Times New Roman" w:cs="Arial"/>
                <w:b/>
                <w:bCs/>
                <w:iCs/>
                <w:color w:val="000000"/>
                <w:sz w:val="18"/>
                <w:szCs w:val="18"/>
                <w:lang w:val="en-GB" w:eastAsia="fr-FR"/>
              </w:rPr>
              <w:t xml:space="preserve"> </w:t>
            </w:r>
          </w:p>
        </w:tc>
        <w:tc>
          <w:tcPr>
            <w:tcW w:w="924" w:type="dxa"/>
            <w:tcBorders>
              <w:top w:val="nil"/>
              <w:left w:val="nil"/>
              <w:bottom w:val="nil"/>
              <w:right w:val="nil"/>
            </w:tcBorders>
            <w:shd w:val="clear" w:color="auto" w:fill="auto"/>
            <w:noWrap/>
            <w:vAlign w:val="bottom"/>
            <w:hideMark/>
          </w:tcPr>
          <w:p w14:paraId="2C6A9EDD"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p>
        </w:tc>
      </w:tr>
      <w:tr w:rsidR="00966E2C" w:rsidRPr="00397EC7" w14:paraId="7469A7B5"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45BD05A0"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30-39</w:t>
            </w:r>
          </w:p>
        </w:tc>
        <w:tc>
          <w:tcPr>
            <w:tcW w:w="1669" w:type="dxa"/>
            <w:tcBorders>
              <w:top w:val="nil"/>
              <w:left w:val="nil"/>
              <w:bottom w:val="nil"/>
              <w:right w:val="nil"/>
            </w:tcBorders>
            <w:shd w:val="clear" w:color="auto" w:fill="auto"/>
            <w:noWrap/>
            <w:vAlign w:val="bottom"/>
            <w:hideMark/>
          </w:tcPr>
          <w:p w14:paraId="7F8DA1F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1" w:type="dxa"/>
            <w:tcBorders>
              <w:top w:val="nil"/>
              <w:left w:val="nil"/>
              <w:bottom w:val="nil"/>
              <w:right w:val="nil"/>
            </w:tcBorders>
            <w:shd w:val="clear" w:color="auto" w:fill="auto"/>
            <w:noWrap/>
            <w:vAlign w:val="bottom"/>
            <w:hideMark/>
          </w:tcPr>
          <w:p w14:paraId="778B6E93"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3B1DE255"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0480A42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24" w:type="dxa"/>
            <w:tcBorders>
              <w:top w:val="nil"/>
              <w:left w:val="nil"/>
              <w:bottom w:val="nil"/>
              <w:right w:val="nil"/>
            </w:tcBorders>
            <w:shd w:val="clear" w:color="auto" w:fill="auto"/>
            <w:noWrap/>
            <w:vAlign w:val="bottom"/>
            <w:hideMark/>
          </w:tcPr>
          <w:p w14:paraId="56256A3E"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62244F0E"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1453CD22"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40-49</w:t>
            </w:r>
          </w:p>
        </w:tc>
        <w:tc>
          <w:tcPr>
            <w:tcW w:w="1669" w:type="dxa"/>
            <w:tcBorders>
              <w:top w:val="nil"/>
              <w:left w:val="nil"/>
              <w:bottom w:val="nil"/>
              <w:right w:val="nil"/>
            </w:tcBorders>
            <w:shd w:val="clear" w:color="auto" w:fill="auto"/>
            <w:noWrap/>
            <w:vAlign w:val="bottom"/>
            <w:hideMark/>
          </w:tcPr>
          <w:p w14:paraId="6DF146E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1.24 [0.91-1.69]</w:t>
            </w:r>
          </w:p>
        </w:tc>
        <w:tc>
          <w:tcPr>
            <w:tcW w:w="851" w:type="dxa"/>
            <w:tcBorders>
              <w:top w:val="nil"/>
              <w:left w:val="nil"/>
              <w:bottom w:val="nil"/>
              <w:right w:val="nil"/>
            </w:tcBorders>
            <w:shd w:val="clear" w:color="auto" w:fill="auto"/>
            <w:noWrap/>
            <w:vAlign w:val="bottom"/>
            <w:hideMark/>
          </w:tcPr>
          <w:p w14:paraId="5C3AC71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0.17</w:t>
            </w:r>
          </w:p>
        </w:tc>
        <w:tc>
          <w:tcPr>
            <w:tcW w:w="191" w:type="dxa"/>
            <w:tcBorders>
              <w:top w:val="nil"/>
              <w:left w:val="nil"/>
              <w:bottom w:val="nil"/>
              <w:right w:val="nil"/>
            </w:tcBorders>
            <w:shd w:val="clear" w:color="auto" w:fill="auto"/>
            <w:noWrap/>
            <w:vAlign w:val="bottom"/>
            <w:hideMark/>
          </w:tcPr>
          <w:p w14:paraId="55F3B06A"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00C3B92A"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1.14 [0.91-1.44]</w:t>
            </w:r>
          </w:p>
        </w:tc>
        <w:tc>
          <w:tcPr>
            <w:tcW w:w="924" w:type="dxa"/>
            <w:tcBorders>
              <w:top w:val="nil"/>
              <w:left w:val="nil"/>
              <w:bottom w:val="nil"/>
              <w:right w:val="nil"/>
            </w:tcBorders>
            <w:shd w:val="clear" w:color="auto" w:fill="auto"/>
            <w:noWrap/>
            <w:vAlign w:val="bottom"/>
            <w:hideMark/>
          </w:tcPr>
          <w:p w14:paraId="6FA32DE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0.24</w:t>
            </w:r>
          </w:p>
        </w:tc>
      </w:tr>
      <w:tr w:rsidR="00966E2C" w:rsidRPr="00397EC7" w14:paraId="392AD16B"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25F9BF8D"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50-59</w:t>
            </w:r>
          </w:p>
        </w:tc>
        <w:tc>
          <w:tcPr>
            <w:tcW w:w="1669" w:type="dxa"/>
            <w:tcBorders>
              <w:top w:val="nil"/>
              <w:left w:val="nil"/>
              <w:bottom w:val="nil"/>
              <w:right w:val="nil"/>
            </w:tcBorders>
            <w:shd w:val="clear" w:color="auto" w:fill="auto"/>
            <w:noWrap/>
            <w:vAlign w:val="bottom"/>
            <w:hideMark/>
          </w:tcPr>
          <w:p w14:paraId="79365A8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1.66 [1.25-2.22]</w:t>
            </w:r>
          </w:p>
        </w:tc>
        <w:tc>
          <w:tcPr>
            <w:tcW w:w="851" w:type="dxa"/>
            <w:tcBorders>
              <w:top w:val="nil"/>
              <w:left w:val="nil"/>
              <w:bottom w:val="nil"/>
              <w:right w:val="nil"/>
            </w:tcBorders>
            <w:shd w:val="clear" w:color="auto" w:fill="auto"/>
            <w:noWrap/>
            <w:vAlign w:val="bottom"/>
            <w:hideMark/>
          </w:tcPr>
          <w:p w14:paraId="353C439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0.0005</w:t>
            </w:r>
          </w:p>
        </w:tc>
        <w:tc>
          <w:tcPr>
            <w:tcW w:w="191" w:type="dxa"/>
            <w:tcBorders>
              <w:top w:val="nil"/>
              <w:left w:val="nil"/>
              <w:bottom w:val="nil"/>
              <w:right w:val="nil"/>
            </w:tcBorders>
            <w:shd w:val="clear" w:color="auto" w:fill="auto"/>
            <w:noWrap/>
            <w:vAlign w:val="bottom"/>
            <w:hideMark/>
          </w:tcPr>
          <w:p w14:paraId="63F8C6A6"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59E9B84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1.04 [0.84-1.30]</w:t>
            </w:r>
          </w:p>
        </w:tc>
        <w:tc>
          <w:tcPr>
            <w:tcW w:w="924" w:type="dxa"/>
            <w:tcBorders>
              <w:top w:val="nil"/>
              <w:left w:val="nil"/>
              <w:bottom w:val="nil"/>
              <w:right w:val="nil"/>
            </w:tcBorders>
            <w:shd w:val="clear" w:color="auto" w:fill="auto"/>
            <w:noWrap/>
            <w:vAlign w:val="bottom"/>
            <w:hideMark/>
          </w:tcPr>
          <w:p w14:paraId="764E694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0.68</w:t>
            </w:r>
          </w:p>
        </w:tc>
      </w:tr>
      <w:tr w:rsidR="00966E2C" w:rsidRPr="00397EC7" w14:paraId="00FB37F6"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3AB0C7EB"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60-69</w:t>
            </w:r>
          </w:p>
        </w:tc>
        <w:tc>
          <w:tcPr>
            <w:tcW w:w="1669" w:type="dxa"/>
            <w:tcBorders>
              <w:top w:val="nil"/>
              <w:left w:val="nil"/>
              <w:bottom w:val="nil"/>
              <w:right w:val="nil"/>
            </w:tcBorders>
            <w:shd w:val="clear" w:color="auto" w:fill="auto"/>
            <w:noWrap/>
            <w:vAlign w:val="bottom"/>
            <w:hideMark/>
          </w:tcPr>
          <w:p w14:paraId="2AF2583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3.04 [2.30-4.02]</w:t>
            </w:r>
          </w:p>
        </w:tc>
        <w:tc>
          <w:tcPr>
            <w:tcW w:w="851" w:type="dxa"/>
            <w:tcBorders>
              <w:top w:val="nil"/>
              <w:left w:val="nil"/>
              <w:bottom w:val="nil"/>
              <w:right w:val="nil"/>
            </w:tcBorders>
            <w:shd w:val="clear" w:color="auto" w:fill="auto"/>
            <w:noWrap/>
            <w:vAlign w:val="bottom"/>
            <w:hideMark/>
          </w:tcPr>
          <w:p w14:paraId="2E2FFC2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01E8E512"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5EA89DE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0.96 [0.77-1.20]</w:t>
            </w:r>
          </w:p>
        </w:tc>
        <w:tc>
          <w:tcPr>
            <w:tcW w:w="924" w:type="dxa"/>
            <w:tcBorders>
              <w:top w:val="nil"/>
              <w:left w:val="nil"/>
              <w:bottom w:val="nil"/>
              <w:right w:val="nil"/>
            </w:tcBorders>
            <w:shd w:val="clear" w:color="auto" w:fill="auto"/>
            <w:noWrap/>
            <w:vAlign w:val="bottom"/>
            <w:hideMark/>
          </w:tcPr>
          <w:p w14:paraId="05BEBA3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0.77</w:t>
            </w:r>
          </w:p>
        </w:tc>
      </w:tr>
      <w:tr w:rsidR="00966E2C" w:rsidRPr="00397EC7" w14:paraId="6F776E1B"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409E99A1"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70-79</w:t>
            </w:r>
          </w:p>
        </w:tc>
        <w:tc>
          <w:tcPr>
            <w:tcW w:w="1669" w:type="dxa"/>
            <w:tcBorders>
              <w:top w:val="nil"/>
              <w:left w:val="nil"/>
              <w:bottom w:val="nil"/>
              <w:right w:val="nil"/>
            </w:tcBorders>
            <w:shd w:val="clear" w:color="auto" w:fill="auto"/>
            <w:noWrap/>
            <w:vAlign w:val="bottom"/>
            <w:hideMark/>
          </w:tcPr>
          <w:p w14:paraId="1F78975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5.87 [4.44-7.76]</w:t>
            </w:r>
          </w:p>
        </w:tc>
        <w:tc>
          <w:tcPr>
            <w:tcW w:w="851" w:type="dxa"/>
            <w:tcBorders>
              <w:top w:val="nil"/>
              <w:left w:val="nil"/>
              <w:bottom w:val="nil"/>
              <w:right w:val="nil"/>
            </w:tcBorders>
            <w:shd w:val="clear" w:color="auto" w:fill="auto"/>
            <w:noWrap/>
            <w:vAlign w:val="bottom"/>
            <w:hideMark/>
          </w:tcPr>
          <w:p w14:paraId="7052F8D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3A202857"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7EB8774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0.95 [0.74-1.21]</w:t>
            </w:r>
          </w:p>
        </w:tc>
        <w:tc>
          <w:tcPr>
            <w:tcW w:w="924" w:type="dxa"/>
            <w:tcBorders>
              <w:top w:val="nil"/>
              <w:left w:val="nil"/>
              <w:bottom w:val="nil"/>
              <w:right w:val="nil"/>
            </w:tcBorders>
            <w:shd w:val="clear" w:color="auto" w:fill="auto"/>
            <w:noWrap/>
            <w:vAlign w:val="bottom"/>
            <w:hideMark/>
          </w:tcPr>
          <w:p w14:paraId="05C4F1A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0.69</w:t>
            </w:r>
          </w:p>
        </w:tc>
      </w:tr>
      <w:tr w:rsidR="00966E2C" w:rsidRPr="00397EC7" w14:paraId="55D13457"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53C7E4DD"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80 and older</w:t>
            </w:r>
          </w:p>
        </w:tc>
        <w:tc>
          <w:tcPr>
            <w:tcW w:w="1669" w:type="dxa"/>
            <w:tcBorders>
              <w:top w:val="nil"/>
              <w:left w:val="nil"/>
              <w:bottom w:val="nil"/>
              <w:right w:val="nil"/>
            </w:tcBorders>
            <w:shd w:val="clear" w:color="auto" w:fill="auto"/>
            <w:noWrap/>
            <w:vAlign w:val="bottom"/>
            <w:hideMark/>
          </w:tcPr>
          <w:p w14:paraId="36A3D13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19.6 [14.8-26.0]</w:t>
            </w:r>
          </w:p>
        </w:tc>
        <w:tc>
          <w:tcPr>
            <w:tcW w:w="851" w:type="dxa"/>
            <w:tcBorders>
              <w:top w:val="nil"/>
              <w:left w:val="nil"/>
              <w:bottom w:val="nil"/>
              <w:right w:val="nil"/>
            </w:tcBorders>
            <w:shd w:val="clear" w:color="auto" w:fill="auto"/>
            <w:noWrap/>
            <w:vAlign w:val="bottom"/>
            <w:hideMark/>
          </w:tcPr>
          <w:p w14:paraId="459E308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60B79290"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7D7E860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1.56 [1.17-2.09]</w:t>
            </w:r>
          </w:p>
        </w:tc>
        <w:tc>
          <w:tcPr>
            <w:tcW w:w="924" w:type="dxa"/>
            <w:tcBorders>
              <w:top w:val="nil"/>
              <w:left w:val="nil"/>
              <w:bottom w:val="nil"/>
              <w:right w:val="nil"/>
            </w:tcBorders>
            <w:shd w:val="clear" w:color="auto" w:fill="auto"/>
            <w:noWrap/>
            <w:vAlign w:val="bottom"/>
            <w:hideMark/>
          </w:tcPr>
          <w:p w14:paraId="79E809E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0.002</w:t>
            </w:r>
          </w:p>
        </w:tc>
      </w:tr>
      <w:tr w:rsidR="00966E2C" w:rsidRPr="00397EC7" w14:paraId="356AA8F3"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55D1E1D1"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Pre-existing conditions</w:t>
            </w:r>
          </w:p>
        </w:tc>
        <w:tc>
          <w:tcPr>
            <w:tcW w:w="1669" w:type="dxa"/>
            <w:tcBorders>
              <w:top w:val="nil"/>
              <w:left w:val="nil"/>
              <w:bottom w:val="nil"/>
              <w:right w:val="nil"/>
            </w:tcBorders>
            <w:shd w:val="clear" w:color="auto" w:fill="auto"/>
            <w:noWrap/>
            <w:vAlign w:val="bottom"/>
            <w:hideMark/>
          </w:tcPr>
          <w:p w14:paraId="6FD10490"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r w:rsidRPr="00397EC7">
              <w:rPr>
                <w:rFonts w:eastAsia="Times New Roman" w:cs="Arial"/>
                <w:b/>
                <w:bCs/>
                <w:iCs/>
                <w:color w:val="000000"/>
                <w:sz w:val="18"/>
                <w:szCs w:val="18"/>
                <w:lang w:val="en-GB" w:eastAsia="fr-FR"/>
              </w:rPr>
              <w:t xml:space="preserve"> </w:t>
            </w:r>
          </w:p>
        </w:tc>
        <w:tc>
          <w:tcPr>
            <w:tcW w:w="851" w:type="dxa"/>
            <w:tcBorders>
              <w:top w:val="nil"/>
              <w:left w:val="nil"/>
              <w:bottom w:val="nil"/>
              <w:right w:val="nil"/>
            </w:tcBorders>
            <w:shd w:val="clear" w:color="auto" w:fill="auto"/>
            <w:noWrap/>
            <w:vAlign w:val="bottom"/>
            <w:hideMark/>
          </w:tcPr>
          <w:p w14:paraId="40A8E8E5"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2AFB7847"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0C420287"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r w:rsidRPr="00397EC7">
              <w:rPr>
                <w:rFonts w:eastAsia="Times New Roman" w:cs="Arial"/>
                <w:b/>
                <w:bCs/>
                <w:iCs/>
                <w:color w:val="000000"/>
                <w:sz w:val="18"/>
                <w:szCs w:val="18"/>
                <w:lang w:val="en-GB" w:eastAsia="fr-FR"/>
              </w:rPr>
              <w:t xml:space="preserve"> </w:t>
            </w:r>
          </w:p>
        </w:tc>
        <w:tc>
          <w:tcPr>
            <w:tcW w:w="924" w:type="dxa"/>
            <w:tcBorders>
              <w:top w:val="nil"/>
              <w:left w:val="nil"/>
              <w:bottom w:val="nil"/>
              <w:right w:val="nil"/>
            </w:tcBorders>
            <w:shd w:val="clear" w:color="auto" w:fill="auto"/>
            <w:noWrap/>
            <w:vAlign w:val="bottom"/>
            <w:hideMark/>
          </w:tcPr>
          <w:p w14:paraId="5B67BA80"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p>
        </w:tc>
      </w:tr>
      <w:tr w:rsidR="00966E2C" w:rsidRPr="00397EC7" w14:paraId="454D3B54"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57E0540F"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myocardial infarction</w:t>
            </w:r>
          </w:p>
        </w:tc>
        <w:tc>
          <w:tcPr>
            <w:tcW w:w="1669" w:type="dxa"/>
            <w:tcBorders>
              <w:top w:val="nil"/>
              <w:left w:val="nil"/>
              <w:bottom w:val="nil"/>
              <w:right w:val="nil"/>
            </w:tcBorders>
            <w:shd w:val="clear" w:color="auto" w:fill="auto"/>
            <w:noWrap/>
            <w:vAlign w:val="bottom"/>
            <w:hideMark/>
          </w:tcPr>
          <w:p w14:paraId="54059ED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7.78 [7.06-8.58]</w:t>
            </w:r>
          </w:p>
        </w:tc>
        <w:tc>
          <w:tcPr>
            <w:tcW w:w="851" w:type="dxa"/>
            <w:tcBorders>
              <w:top w:val="nil"/>
              <w:left w:val="nil"/>
              <w:bottom w:val="nil"/>
              <w:right w:val="nil"/>
            </w:tcBorders>
            <w:shd w:val="clear" w:color="auto" w:fill="auto"/>
            <w:noWrap/>
            <w:vAlign w:val="bottom"/>
            <w:hideMark/>
          </w:tcPr>
          <w:p w14:paraId="76AC4ED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4B595DAE"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3E6BB27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1.52 [1.21-1.91]</w:t>
            </w:r>
          </w:p>
        </w:tc>
        <w:tc>
          <w:tcPr>
            <w:tcW w:w="924" w:type="dxa"/>
            <w:tcBorders>
              <w:top w:val="nil"/>
              <w:left w:val="nil"/>
              <w:bottom w:val="nil"/>
              <w:right w:val="nil"/>
            </w:tcBorders>
            <w:shd w:val="clear" w:color="auto" w:fill="auto"/>
            <w:noWrap/>
            <w:vAlign w:val="bottom"/>
            <w:hideMark/>
          </w:tcPr>
          <w:p w14:paraId="44A9E89A"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0.0003</w:t>
            </w:r>
          </w:p>
        </w:tc>
      </w:tr>
      <w:tr w:rsidR="00966E2C" w:rsidRPr="00397EC7" w14:paraId="24E69A35"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3EE9E81F"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congestive heart failure</w:t>
            </w:r>
          </w:p>
        </w:tc>
        <w:tc>
          <w:tcPr>
            <w:tcW w:w="1669" w:type="dxa"/>
            <w:tcBorders>
              <w:top w:val="nil"/>
              <w:left w:val="nil"/>
              <w:bottom w:val="nil"/>
              <w:right w:val="nil"/>
            </w:tcBorders>
            <w:shd w:val="clear" w:color="auto" w:fill="auto"/>
            <w:noWrap/>
            <w:vAlign w:val="bottom"/>
            <w:hideMark/>
          </w:tcPr>
          <w:p w14:paraId="2E7AC89A"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28.4 [25.9-31.1]</w:t>
            </w:r>
          </w:p>
        </w:tc>
        <w:tc>
          <w:tcPr>
            <w:tcW w:w="851" w:type="dxa"/>
            <w:tcBorders>
              <w:top w:val="nil"/>
              <w:left w:val="nil"/>
              <w:bottom w:val="nil"/>
              <w:right w:val="nil"/>
            </w:tcBorders>
            <w:shd w:val="clear" w:color="auto" w:fill="auto"/>
            <w:noWrap/>
            <w:vAlign w:val="bottom"/>
            <w:hideMark/>
          </w:tcPr>
          <w:p w14:paraId="376E7F8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251F581A"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3E83B32A"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2.30 [1.69-3.13]</w:t>
            </w:r>
          </w:p>
        </w:tc>
        <w:tc>
          <w:tcPr>
            <w:tcW w:w="924" w:type="dxa"/>
            <w:tcBorders>
              <w:top w:val="nil"/>
              <w:left w:val="nil"/>
              <w:bottom w:val="nil"/>
              <w:right w:val="nil"/>
            </w:tcBorders>
            <w:shd w:val="clear" w:color="auto" w:fill="auto"/>
            <w:noWrap/>
            <w:vAlign w:val="bottom"/>
            <w:hideMark/>
          </w:tcPr>
          <w:p w14:paraId="5D7D244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4CEC3D2C"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3DB69CE0"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peripheral vascular disease</w:t>
            </w:r>
          </w:p>
        </w:tc>
        <w:tc>
          <w:tcPr>
            <w:tcW w:w="1669" w:type="dxa"/>
            <w:tcBorders>
              <w:top w:val="nil"/>
              <w:left w:val="nil"/>
              <w:bottom w:val="nil"/>
              <w:right w:val="nil"/>
            </w:tcBorders>
            <w:shd w:val="clear" w:color="auto" w:fill="auto"/>
            <w:noWrap/>
            <w:vAlign w:val="bottom"/>
            <w:hideMark/>
          </w:tcPr>
          <w:p w14:paraId="21AD0B0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11.3 [10.3-12.4]</w:t>
            </w:r>
          </w:p>
        </w:tc>
        <w:tc>
          <w:tcPr>
            <w:tcW w:w="851" w:type="dxa"/>
            <w:tcBorders>
              <w:top w:val="nil"/>
              <w:left w:val="nil"/>
              <w:bottom w:val="nil"/>
              <w:right w:val="nil"/>
            </w:tcBorders>
            <w:shd w:val="clear" w:color="auto" w:fill="auto"/>
            <w:noWrap/>
            <w:vAlign w:val="bottom"/>
            <w:hideMark/>
          </w:tcPr>
          <w:p w14:paraId="068BDFB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3F12F5E1"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556F969F"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1.74 [1.38-2.20]</w:t>
            </w:r>
          </w:p>
        </w:tc>
        <w:tc>
          <w:tcPr>
            <w:tcW w:w="924" w:type="dxa"/>
            <w:tcBorders>
              <w:top w:val="nil"/>
              <w:left w:val="nil"/>
              <w:bottom w:val="nil"/>
              <w:right w:val="nil"/>
            </w:tcBorders>
            <w:shd w:val="clear" w:color="auto" w:fill="auto"/>
            <w:noWrap/>
            <w:vAlign w:val="bottom"/>
            <w:hideMark/>
          </w:tcPr>
          <w:p w14:paraId="34F2427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6459E89D"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1DF3A371"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cerebrovascular disease</w:t>
            </w:r>
          </w:p>
        </w:tc>
        <w:tc>
          <w:tcPr>
            <w:tcW w:w="1669" w:type="dxa"/>
            <w:tcBorders>
              <w:top w:val="nil"/>
              <w:left w:val="nil"/>
              <w:bottom w:val="nil"/>
              <w:right w:val="nil"/>
            </w:tcBorders>
            <w:shd w:val="clear" w:color="auto" w:fill="auto"/>
            <w:noWrap/>
            <w:vAlign w:val="bottom"/>
            <w:hideMark/>
          </w:tcPr>
          <w:p w14:paraId="26D1F37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7.91 [7.02-8.91]</w:t>
            </w:r>
          </w:p>
        </w:tc>
        <w:tc>
          <w:tcPr>
            <w:tcW w:w="851" w:type="dxa"/>
            <w:tcBorders>
              <w:top w:val="nil"/>
              <w:left w:val="nil"/>
              <w:bottom w:val="nil"/>
              <w:right w:val="nil"/>
            </w:tcBorders>
            <w:shd w:val="clear" w:color="auto" w:fill="auto"/>
            <w:noWrap/>
            <w:vAlign w:val="bottom"/>
            <w:hideMark/>
          </w:tcPr>
          <w:p w14:paraId="5F7574F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3815210A"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1DA1596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1.46 [1.07-2.00]</w:t>
            </w:r>
          </w:p>
        </w:tc>
        <w:tc>
          <w:tcPr>
            <w:tcW w:w="924" w:type="dxa"/>
            <w:tcBorders>
              <w:top w:val="nil"/>
              <w:left w:val="nil"/>
              <w:bottom w:val="nil"/>
              <w:right w:val="nil"/>
            </w:tcBorders>
            <w:shd w:val="clear" w:color="auto" w:fill="auto"/>
            <w:noWrap/>
            <w:vAlign w:val="bottom"/>
            <w:hideMark/>
          </w:tcPr>
          <w:p w14:paraId="51EF4C9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0.020</w:t>
            </w:r>
          </w:p>
        </w:tc>
      </w:tr>
      <w:tr w:rsidR="00966E2C" w:rsidRPr="00397EC7" w14:paraId="6AAC8C4C"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683DABDF"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dementia</w:t>
            </w:r>
          </w:p>
        </w:tc>
        <w:tc>
          <w:tcPr>
            <w:tcW w:w="1669" w:type="dxa"/>
            <w:tcBorders>
              <w:top w:val="nil"/>
              <w:left w:val="nil"/>
              <w:bottom w:val="nil"/>
              <w:right w:val="nil"/>
            </w:tcBorders>
            <w:shd w:val="clear" w:color="auto" w:fill="auto"/>
            <w:noWrap/>
            <w:vAlign w:val="bottom"/>
            <w:hideMark/>
          </w:tcPr>
          <w:p w14:paraId="20F765E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9.96 [8.26-12.0]</w:t>
            </w:r>
          </w:p>
        </w:tc>
        <w:tc>
          <w:tcPr>
            <w:tcW w:w="851" w:type="dxa"/>
            <w:tcBorders>
              <w:top w:val="nil"/>
              <w:left w:val="nil"/>
              <w:bottom w:val="nil"/>
              <w:right w:val="nil"/>
            </w:tcBorders>
            <w:shd w:val="clear" w:color="auto" w:fill="auto"/>
            <w:noWrap/>
            <w:vAlign w:val="bottom"/>
            <w:hideMark/>
          </w:tcPr>
          <w:p w14:paraId="4E0C106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3FDD1016"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1EBEF45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2.18 [1.33-3.56]</w:t>
            </w:r>
          </w:p>
        </w:tc>
        <w:tc>
          <w:tcPr>
            <w:tcW w:w="924" w:type="dxa"/>
            <w:tcBorders>
              <w:top w:val="nil"/>
              <w:left w:val="nil"/>
              <w:bottom w:val="nil"/>
              <w:right w:val="nil"/>
            </w:tcBorders>
            <w:shd w:val="clear" w:color="auto" w:fill="auto"/>
            <w:noWrap/>
            <w:vAlign w:val="bottom"/>
            <w:hideMark/>
          </w:tcPr>
          <w:p w14:paraId="1EB040A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0.002</w:t>
            </w:r>
          </w:p>
        </w:tc>
      </w:tr>
      <w:tr w:rsidR="00966E2C" w:rsidRPr="00397EC7" w14:paraId="29AEB38B"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788F2CB4"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chronic pulmonary disease</w:t>
            </w:r>
          </w:p>
        </w:tc>
        <w:tc>
          <w:tcPr>
            <w:tcW w:w="1669" w:type="dxa"/>
            <w:tcBorders>
              <w:top w:val="nil"/>
              <w:left w:val="nil"/>
              <w:bottom w:val="nil"/>
              <w:right w:val="nil"/>
            </w:tcBorders>
            <w:shd w:val="clear" w:color="auto" w:fill="auto"/>
            <w:noWrap/>
            <w:vAlign w:val="bottom"/>
            <w:hideMark/>
          </w:tcPr>
          <w:p w14:paraId="27B2E13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2.16 [1.97-2.36]</w:t>
            </w:r>
          </w:p>
        </w:tc>
        <w:tc>
          <w:tcPr>
            <w:tcW w:w="851" w:type="dxa"/>
            <w:tcBorders>
              <w:top w:val="nil"/>
              <w:left w:val="nil"/>
              <w:bottom w:val="nil"/>
              <w:right w:val="nil"/>
            </w:tcBorders>
            <w:shd w:val="clear" w:color="auto" w:fill="auto"/>
            <w:noWrap/>
            <w:vAlign w:val="bottom"/>
            <w:hideMark/>
          </w:tcPr>
          <w:p w14:paraId="1476BD2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2A42F6D4"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6603FA4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1.12 [0.97-1.29]</w:t>
            </w:r>
          </w:p>
        </w:tc>
        <w:tc>
          <w:tcPr>
            <w:tcW w:w="924" w:type="dxa"/>
            <w:tcBorders>
              <w:top w:val="nil"/>
              <w:left w:val="nil"/>
              <w:bottom w:val="nil"/>
              <w:right w:val="nil"/>
            </w:tcBorders>
            <w:shd w:val="clear" w:color="auto" w:fill="auto"/>
            <w:noWrap/>
            <w:vAlign w:val="bottom"/>
            <w:hideMark/>
          </w:tcPr>
          <w:p w14:paraId="41A673A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0.10</w:t>
            </w:r>
          </w:p>
        </w:tc>
      </w:tr>
      <w:tr w:rsidR="00966E2C" w:rsidRPr="00397EC7" w14:paraId="5DAAAB85"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2E2A9CFC"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connective tissue disease</w:t>
            </w:r>
          </w:p>
        </w:tc>
        <w:tc>
          <w:tcPr>
            <w:tcW w:w="1669" w:type="dxa"/>
            <w:tcBorders>
              <w:top w:val="nil"/>
              <w:left w:val="nil"/>
              <w:bottom w:val="nil"/>
              <w:right w:val="nil"/>
            </w:tcBorders>
            <w:shd w:val="clear" w:color="auto" w:fill="auto"/>
            <w:noWrap/>
            <w:vAlign w:val="bottom"/>
            <w:hideMark/>
          </w:tcPr>
          <w:p w14:paraId="33D53FF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2.45 [1.93-3.10]</w:t>
            </w:r>
          </w:p>
        </w:tc>
        <w:tc>
          <w:tcPr>
            <w:tcW w:w="851" w:type="dxa"/>
            <w:tcBorders>
              <w:top w:val="nil"/>
              <w:left w:val="nil"/>
              <w:bottom w:val="nil"/>
              <w:right w:val="nil"/>
            </w:tcBorders>
            <w:shd w:val="clear" w:color="auto" w:fill="auto"/>
            <w:noWrap/>
            <w:vAlign w:val="bottom"/>
            <w:hideMark/>
          </w:tcPr>
          <w:p w14:paraId="1702FCEF"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68AE2461"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7BB688F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1.16 [0.75-1.79]</w:t>
            </w:r>
          </w:p>
        </w:tc>
        <w:tc>
          <w:tcPr>
            <w:tcW w:w="924" w:type="dxa"/>
            <w:tcBorders>
              <w:top w:val="nil"/>
              <w:left w:val="nil"/>
              <w:bottom w:val="nil"/>
              <w:right w:val="nil"/>
            </w:tcBorders>
            <w:shd w:val="clear" w:color="auto" w:fill="auto"/>
            <w:noWrap/>
            <w:vAlign w:val="bottom"/>
            <w:hideMark/>
          </w:tcPr>
          <w:p w14:paraId="24B20D0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0.50</w:t>
            </w:r>
          </w:p>
        </w:tc>
      </w:tr>
      <w:tr w:rsidR="00966E2C" w:rsidRPr="00397EC7" w14:paraId="20698BDC"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7782EF52"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ulcer disease</w:t>
            </w:r>
          </w:p>
        </w:tc>
        <w:tc>
          <w:tcPr>
            <w:tcW w:w="1669" w:type="dxa"/>
            <w:tcBorders>
              <w:top w:val="nil"/>
              <w:left w:val="nil"/>
              <w:bottom w:val="nil"/>
              <w:right w:val="nil"/>
            </w:tcBorders>
            <w:shd w:val="clear" w:color="auto" w:fill="auto"/>
            <w:noWrap/>
            <w:vAlign w:val="bottom"/>
            <w:hideMark/>
          </w:tcPr>
          <w:p w14:paraId="75240D1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6.04 [5.25-6.95]</w:t>
            </w:r>
          </w:p>
        </w:tc>
        <w:tc>
          <w:tcPr>
            <w:tcW w:w="851" w:type="dxa"/>
            <w:tcBorders>
              <w:top w:val="nil"/>
              <w:left w:val="nil"/>
              <w:bottom w:val="nil"/>
              <w:right w:val="nil"/>
            </w:tcBorders>
            <w:shd w:val="clear" w:color="auto" w:fill="auto"/>
            <w:noWrap/>
            <w:vAlign w:val="bottom"/>
            <w:hideMark/>
          </w:tcPr>
          <w:p w14:paraId="0317A97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3DCC056E"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56F91B5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2.11 [1.58-2.80]</w:t>
            </w:r>
          </w:p>
        </w:tc>
        <w:tc>
          <w:tcPr>
            <w:tcW w:w="924" w:type="dxa"/>
            <w:tcBorders>
              <w:top w:val="nil"/>
              <w:left w:val="nil"/>
              <w:bottom w:val="nil"/>
              <w:right w:val="nil"/>
            </w:tcBorders>
            <w:shd w:val="clear" w:color="auto" w:fill="auto"/>
            <w:noWrap/>
            <w:vAlign w:val="bottom"/>
            <w:hideMark/>
          </w:tcPr>
          <w:p w14:paraId="2D9AA2F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35AFC7DC"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0C273305"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moderate or severe renal disease</w:t>
            </w:r>
          </w:p>
        </w:tc>
        <w:tc>
          <w:tcPr>
            <w:tcW w:w="1669" w:type="dxa"/>
            <w:tcBorders>
              <w:top w:val="nil"/>
              <w:left w:val="nil"/>
              <w:bottom w:val="nil"/>
              <w:right w:val="nil"/>
            </w:tcBorders>
            <w:shd w:val="clear" w:color="auto" w:fill="auto"/>
            <w:noWrap/>
            <w:vAlign w:val="bottom"/>
            <w:hideMark/>
          </w:tcPr>
          <w:p w14:paraId="56DCEDDA"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82.8 [76.2-90.0]</w:t>
            </w:r>
          </w:p>
        </w:tc>
        <w:tc>
          <w:tcPr>
            <w:tcW w:w="851" w:type="dxa"/>
            <w:tcBorders>
              <w:top w:val="nil"/>
              <w:left w:val="nil"/>
              <w:bottom w:val="nil"/>
              <w:right w:val="nil"/>
            </w:tcBorders>
            <w:shd w:val="clear" w:color="auto" w:fill="auto"/>
            <w:noWrap/>
            <w:vAlign w:val="bottom"/>
            <w:hideMark/>
          </w:tcPr>
          <w:p w14:paraId="749DB66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616AC6E9"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585DB57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2.70 [1.99-3.66]</w:t>
            </w:r>
          </w:p>
        </w:tc>
        <w:tc>
          <w:tcPr>
            <w:tcW w:w="924" w:type="dxa"/>
            <w:tcBorders>
              <w:top w:val="nil"/>
              <w:left w:val="nil"/>
              <w:bottom w:val="nil"/>
              <w:right w:val="nil"/>
            </w:tcBorders>
            <w:shd w:val="clear" w:color="auto" w:fill="auto"/>
            <w:noWrap/>
            <w:vAlign w:val="bottom"/>
            <w:hideMark/>
          </w:tcPr>
          <w:p w14:paraId="1E080B8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34840E3D"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33932022"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hemiplegia</w:t>
            </w:r>
          </w:p>
        </w:tc>
        <w:tc>
          <w:tcPr>
            <w:tcW w:w="1669" w:type="dxa"/>
            <w:tcBorders>
              <w:top w:val="nil"/>
              <w:left w:val="nil"/>
              <w:bottom w:val="nil"/>
              <w:right w:val="nil"/>
            </w:tcBorders>
            <w:shd w:val="clear" w:color="auto" w:fill="auto"/>
            <w:noWrap/>
            <w:vAlign w:val="bottom"/>
            <w:hideMark/>
          </w:tcPr>
          <w:p w14:paraId="2E4490B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10.5 [8.88-12.5]</w:t>
            </w:r>
          </w:p>
        </w:tc>
        <w:tc>
          <w:tcPr>
            <w:tcW w:w="851" w:type="dxa"/>
            <w:tcBorders>
              <w:top w:val="nil"/>
              <w:left w:val="nil"/>
              <w:bottom w:val="nil"/>
              <w:right w:val="nil"/>
            </w:tcBorders>
            <w:shd w:val="clear" w:color="auto" w:fill="auto"/>
            <w:noWrap/>
            <w:vAlign w:val="bottom"/>
            <w:hideMark/>
          </w:tcPr>
          <w:p w14:paraId="176FB61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33A83C89"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58271A8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2.18 [1.37-3.47]</w:t>
            </w:r>
          </w:p>
        </w:tc>
        <w:tc>
          <w:tcPr>
            <w:tcW w:w="924" w:type="dxa"/>
            <w:tcBorders>
              <w:top w:val="nil"/>
              <w:left w:val="nil"/>
              <w:bottom w:val="nil"/>
              <w:right w:val="nil"/>
            </w:tcBorders>
            <w:shd w:val="clear" w:color="auto" w:fill="auto"/>
            <w:noWrap/>
            <w:vAlign w:val="bottom"/>
            <w:hideMark/>
          </w:tcPr>
          <w:p w14:paraId="6F308C5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0.001</w:t>
            </w:r>
          </w:p>
        </w:tc>
      </w:tr>
      <w:tr w:rsidR="00966E2C" w:rsidRPr="00397EC7" w14:paraId="21410CEE"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49231C17"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HIV/AIDS</w:t>
            </w:r>
          </w:p>
        </w:tc>
        <w:tc>
          <w:tcPr>
            <w:tcW w:w="1669" w:type="dxa"/>
            <w:tcBorders>
              <w:top w:val="nil"/>
              <w:left w:val="nil"/>
              <w:bottom w:val="nil"/>
              <w:right w:val="nil"/>
            </w:tcBorders>
            <w:shd w:val="clear" w:color="auto" w:fill="auto"/>
            <w:noWrap/>
            <w:vAlign w:val="bottom"/>
            <w:hideMark/>
          </w:tcPr>
          <w:p w14:paraId="62F987B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3.92 [2.66-5.78]</w:t>
            </w:r>
          </w:p>
        </w:tc>
        <w:tc>
          <w:tcPr>
            <w:tcW w:w="851" w:type="dxa"/>
            <w:tcBorders>
              <w:top w:val="nil"/>
              <w:left w:val="nil"/>
              <w:bottom w:val="nil"/>
              <w:right w:val="nil"/>
            </w:tcBorders>
            <w:shd w:val="clear" w:color="auto" w:fill="auto"/>
            <w:noWrap/>
            <w:vAlign w:val="bottom"/>
            <w:hideMark/>
          </w:tcPr>
          <w:p w14:paraId="19D7ED1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0BAE7581"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3EDE7E8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2.99 [1.69-5.28]</w:t>
            </w:r>
          </w:p>
        </w:tc>
        <w:tc>
          <w:tcPr>
            <w:tcW w:w="924" w:type="dxa"/>
            <w:tcBorders>
              <w:top w:val="nil"/>
              <w:left w:val="nil"/>
              <w:bottom w:val="nil"/>
              <w:right w:val="nil"/>
            </w:tcBorders>
            <w:shd w:val="clear" w:color="auto" w:fill="auto"/>
            <w:noWrap/>
            <w:vAlign w:val="bottom"/>
            <w:hideMark/>
          </w:tcPr>
          <w:p w14:paraId="78A9B2E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0.0002</w:t>
            </w:r>
          </w:p>
        </w:tc>
      </w:tr>
      <w:tr w:rsidR="00966E2C" w:rsidRPr="00397EC7" w14:paraId="18C1C7DB"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5799C52D"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liver disease</w:t>
            </w:r>
          </w:p>
        </w:tc>
        <w:tc>
          <w:tcPr>
            <w:tcW w:w="1669" w:type="dxa"/>
            <w:tcBorders>
              <w:top w:val="nil"/>
              <w:left w:val="nil"/>
              <w:bottom w:val="nil"/>
              <w:right w:val="nil"/>
            </w:tcBorders>
            <w:shd w:val="clear" w:color="auto" w:fill="auto"/>
            <w:noWrap/>
            <w:vAlign w:val="bottom"/>
          </w:tcPr>
          <w:p w14:paraId="412E2A76"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851" w:type="dxa"/>
            <w:tcBorders>
              <w:top w:val="nil"/>
              <w:left w:val="nil"/>
              <w:bottom w:val="nil"/>
              <w:right w:val="nil"/>
            </w:tcBorders>
            <w:shd w:val="clear" w:color="auto" w:fill="auto"/>
            <w:noWrap/>
            <w:vAlign w:val="bottom"/>
          </w:tcPr>
          <w:p w14:paraId="231FC5EA"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tcPr>
          <w:p w14:paraId="14F85BB5"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tcPr>
          <w:p w14:paraId="16E2DCFD"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924" w:type="dxa"/>
            <w:tcBorders>
              <w:top w:val="nil"/>
              <w:left w:val="nil"/>
              <w:bottom w:val="nil"/>
              <w:right w:val="nil"/>
            </w:tcBorders>
            <w:shd w:val="clear" w:color="auto" w:fill="auto"/>
            <w:noWrap/>
            <w:vAlign w:val="bottom"/>
          </w:tcPr>
          <w:p w14:paraId="18448C29"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4AE8EA35"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5D1CD08F" w14:textId="77777777" w:rsidR="00966E2C" w:rsidRPr="00397EC7" w:rsidRDefault="00966E2C" w:rsidP="00643360">
            <w:pPr>
              <w:spacing w:after="0" w:line="240" w:lineRule="auto"/>
              <w:jc w:val="left"/>
              <w:rPr>
                <w:rFonts w:eastAsia="Times New Roman" w:cs="Arial"/>
                <w:i/>
                <w:iCs/>
                <w:color w:val="000000"/>
                <w:sz w:val="18"/>
                <w:szCs w:val="18"/>
                <w:lang w:val="en-GB" w:eastAsia="fr-FR"/>
              </w:rPr>
            </w:pPr>
            <w:r w:rsidRPr="00397EC7">
              <w:rPr>
                <w:rFonts w:eastAsia="Times New Roman" w:cs="Arial"/>
                <w:i/>
                <w:iCs/>
                <w:color w:val="000000"/>
                <w:sz w:val="18"/>
                <w:szCs w:val="18"/>
                <w:lang w:val="en-GB" w:eastAsia="fr-FR"/>
              </w:rPr>
              <w:t xml:space="preserve">      mild liver disease</w:t>
            </w:r>
          </w:p>
        </w:tc>
        <w:tc>
          <w:tcPr>
            <w:tcW w:w="1669" w:type="dxa"/>
            <w:tcBorders>
              <w:top w:val="nil"/>
              <w:left w:val="nil"/>
              <w:bottom w:val="nil"/>
              <w:right w:val="nil"/>
            </w:tcBorders>
            <w:shd w:val="clear" w:color="auto" w:fill="auto"/>
            <w:noWrap/>
            <w:vAlign w:val="bottom"/>
            <w:hideMark/>
          </w:tcPr>
          <w:p w14:paraId="3579DA09"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r w:rsidRPr="00397EC7">
              <w:rPr>
                <w:rFonts w:eastAsia="Times New Roman" w:cs="Arial"/>
                <w:iCs/>
                <w:color w:val="000000"/>
                <w:sz w:val="18"/>
                <w:szCs w:val="18"/>
                <w:lang w:val="en-GB" w:eastAsia="fr-FR"/>
              </w:rPr>
              <w:t>5.97 [5.10-6.99]</w:t>
            </w:r>
          </w:p>
        </w:tc>
        <w:tc>
          <w:tcPr>
            <w:tcW w:w="851" w:type="dxa"/>
            <w:tcBorders>
              <w:top w:val="nil"/>
              <w:left w:val="nil"/>
              <w:bottom w:val="nil"/>
              <w:right w:val="nil"/>
            </w:tcBorders>
            <w:shd w:val="clear" w:color="auto" w:fill="auto"/>
            <w:noWrap/>
            <w:vAlign w:val="bottom"/>
            <w:hideMark/>
          </w:tcPr>
          <w:p w14:paraId="1EAE6E2D"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r w:rsidRPr="00397EC7">
              <w:rPr>
                <w:rFonts w:eastAsia="Times New Roman" w:cs="Arial"/>
                <w:iCs/>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24C58533"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4893A8A1"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r w:rsidRPr="00397EC7">
              <w:rPr>
                <w:rFonts w:eastAsia="Times New Roman" w:cs="Arial"/>
                <w:iCs/>
                <w:color w:val="000000"/>
                <w:sz w:val="18"/>
                <w:szCs w:val="18"/>
                <w:lang w:val="en-GB" w:eastAsia="fr-FR"/>
              </w:rPr>
              <w:t>3.17 [2.45-4.11]</w:t>
            </w:r>
          </w:p>
        </w:tc>
        <w:tc>
          <w:tcPr>
            <w:tcW w:w="924" w:type="dxa"/>
            <w:tcBorders>
              <w:top w:val="nil"/>
              <w:left w:val="nil"/>
              <w:bottom w:val="nil"/>
              <w:right w:val="nil"/>
            </w:tcBorders>
            <w:shd w:val="clear" w:color="auto" w:fill="auto"/>
            <w:noWrap/>
            <w:vAlign w:val="bottom"/>
            <w:hideMark/>
          </w:tcPr>
          <w:p w14:paraId="63B8FDAE"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r w:rsidRPr="00397EC7">
              <w:rPr>
                <w:rFonts w:eastAsia="Times New Roman" w:cs="Arial"/>
                <w:iCs/>
                <w:color w:val="000000"/>
                <w:sz w:val="18"/>
                <w:szCs w:val="18"/>
                <w:lang w:val="en-GB" w:eastAsia="fr-FR"/>
              </w:rPr>
              <w:t>&lt;.0001</w:t>
            </w:r>
          </w:p>
        </w:tc>
      </w:tr>
      <w:tr w:rsidR="00966E2C" w:rsidRPr="00397EC7" w14:paraId="541353A8"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646DBF9B" w14:textId="77777777" w:rsidR="00966E2C" w:rsidRPr="00397EC7" w:rsidRDefault="00966E2C" w:rsidP="00643360">
            <w:pPr>
              <w:spacing w:after="0" w:line="240" w:lineRule="auto"/>
              <w:jc w:val="left"/>
              <w:rPr>
                <w:rFonts w:eastAsia="Times New Roman" w:cs="Arial"/>
                <w:i/>
                <w:iCs/>
                <w:color w:val="000000"/>
                <w:sz w:val="18"/>
                <w:szCs w:val="18"/>
                <w:lang w:val="en-GB" w:eastAsia="fr-FR"/>
              </w:rPr>
            </w:pPr>
            <w:r w:rsidRPr="00397EC7">
              <w:rPr>
                <w:rFonts w:eastAsia="Times New Roman" w:cs="Arial"/>
                <w:i/>
                <w:iCs/>
                <w:color w:val="000000"/>
                <w:sz w:val="18"/>
                <w:szCs w:val="18"/>
                <w:lang w:val="en-GB" w:eastAsia="fr-FR"/>
              </w:rPr>
              <w:t xml:space="preserve">      moderate or severe liver disease</w:t>
            </w:r>
          </w:p>
        </w:tc>
        <w:tc>
          <w:tcPr>
            <w:tcW w:w="1669" w:type="dxa"/>
            <w:tcBorders>
              <w:top w:val="nil"/>
              <w:left w:val="nil"/>
              <w:bottom w:val="nil"/>
              <w:right w:val="nil"/>
            </w:tcBorders>
            <w:shd w:val="clear" w:color="auto" w:fill="auto"/>
            <w:noWrap/>
            <w:vAlign w:val="bottom"/>
            <w:hideMark/>
          </w:tcPr>
          <w:p w14:paraId="615C7AAB"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r w:rsidRPr="00397EC7">
              <w:rPr>
                <w:rFonts w:eastAsia="Times New Roman" w:cs="Arial"/>
                <w:iCs/>
                <w:color w:val="000000"/>
                <w:sz w:val="18"/>
                <w:szCs w:val="18"/>
                <w:lang w:val="en-GB" w:eastAsia="fr-FR"/>
              </w:rPr>
              <w:t>19.7 [16.9-22.9]</w:t>
            </w:r>
          </w:p>
        </w:tc>
        <w:tc>
          <w:tcPr>
            <w:tcW w:w="851" w:type="dxa"/>
            <w:tcBorders>
              <w:top w:val="nil"/>
              <w:left w:val="nil"/>
              <w:bottom w:val="nil"/>
              <w:right w:val="nil"/>
            </w:tcBorders>
            <w:shd w:val="clear" w:color="auto" w:fill="auto"/>
            <w:noWrap/>
            <w:vAlign w:val="bottom"/>
            <w:hideMark/>
          </w:tcPr>
          <w:p w14:paraId="33DAD866"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r w:rsidRPr="00397EC7">
              <w:rPr>
                <w:rFonts w:eastAsia="Times New Roman" w:cs="Arial"/>
                <w:iCs/>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6DAC9892"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1165F8E0"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r w:rsidRPr="00397EC7">
              <w:rPr>
                <w:rFonts w:eastAsia="Times New Roman" w:cs="Arial"/>
                <w:iCs/>
                <w:color w:val="000000"/>
                <w:sz w:val="18"/>
                <w:szCs w:val="18"/>
                <w:lang w:val="en-GB" w:eastAsia="fr-FR"/>
              </w:rPr>
              <w:t>2.22 [1.31-3.76]</w:t>
            </w:r>
          </w:p>
        </w:tc>
        <w:tc>
          <w:tcPr>
            <w:tcW w:w="924" w:type="dxa"/>
            <w:tcBorders>
              <w:top w:val="nil"/>
              <w:left w:val="nil"/>
              <w:bottom w:val="nil"/>
              <w:right w:val="nil"/>
            </w:tcBorders>
            <w:shd w:val="clear" w:color="auto" w:fill="auto"/>
            <w:noWrap/>
            <w:vAlign w:val="bottom"/>
            <w:hideMark/>
          </w:tcPr>
          <w:p w14:paraId="10096924"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r w:rsidRPr="00397EC7">
              <w:rPr>
                <w:rFonts w:eastAsia="Times New Roman" w:cs="Arial"/>
                <w:iCs/>
                <w:color w:val="000000"/>
                <w:sz w:val="18"/>
                <w:szCs w:val="18"/>
                <w:lang w:val="en-GB" w:eastAsia="fr-FR"/>
              </w:rPr>
              <w:t>0.003</w:t>
            </w:r>
          </w:p>
        </w:tc>
      </w:tr>
      <w:tr w:rsidR="00966E2C" w:rsidRPr="00397EC7" w14:paraId="3396303E" w14:textId="77777777" w:rsidTr="00995C5C">
        <w:trPr>
          <w:trHeight w:val="20"/>
          <w:jc w:val="center"/>
        </w:trPr>
        <w:tc>
          <w:tcPr>
            <w:tcW w:w="4555" w:type="dxa"/>
            <w:tcBorders>
              <w:top w:val="nil"/>
              <w:left w:val="nil"/>
              <w:right w:val="nil"/>
            </w:tcBorders>
            <w:shd w:val="clear" w:color="auto" w:fill="auto"/>
            <w:noWrap/>
            <w:vAlign w:val="bottom"/>
            <w:hideMark/>
          </w:tcPr>
          <w:p w14:paraId="047D3C1C"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diabetes</w:t>
            </w:r>
          </w:p>
        </w:tc>
        <w:tc>
          <w:tcPr>
            <w:tcW w:w="1669" w:type="dxa"/>
            <w:tcBorders>
              <w:top w:val="nil"/>
              <w:left w:val="nil"/>
              <w:right w:val="nil"/>
            </w:tcBorders>
            <w:shd w:val="clear" w:color="auto" w:fill="auto"/>
            <w:noWrap/>
            <w:vAlign w:val="bottom"/>
          </w:tcPr>
          <w:p w14:paraId="5377BD1C"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851" w:type="dxa"/>
            <w:tcBorders>
              <w:top w:val="nil"/>
              <w:left w:val="nil"/>
              <w:right w:val="nil"/>
            </w:tcBorders>
            <w:shd w:val="clear" w:color="auto" w:fill="auto"/>
            <w:noWrap/>
            <w:vAlign w:val="bottom"/>
          </w:tcPr>
          <w:p w14:paraId="339ECB31"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right w:val="nil"/>
            </w:tcBorders>
            <w:shd w:val="clear" w:color="auto" w:fill="auto"/>
            <w:noWrap/>
            <w:vAlign w:val="bottom"/>
          </w:tcPr>
          <w:p w14:paraId="6DE5DF7B"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right w:val="nil"/>
            </w:tcBorders>
            <w:shd w:val="clear" w:color="auto" w:fill="auto"/>
            <w:noWrap/>
            <w:vAlign w:val="bottom"/>
          </w:tcPr>
          <w:p w14:paraId="26BB52DE"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924" w:type="dxa"/>
            <w:tcBorders>
              <w:top w:val="nil"/>
              <w:left w:val="nil"/>
              <w:right w:val="nil"/>
            </w:tcBorders>
            <w:shd w:val="clear" w:color="auto" w:fill="auto"/>
            <w:noWrap/>
            <w:vAlign w:val="bottom"/>
          </w:tcPr>
          <w:p w14:paraId="7B66D8C0"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5B7941B2" w14:textId="77777777" w:rsidTr="00995C5C">
        <w:trPr>
          <w:trHeight w:val="20"/>
          <w:jc w:val="center"/>
        </w:trPr>
        <w:tc>
          <w:tcPr>
            <w:tcW w:w="4555" w:type="dxa"/>
            <w:tcBorders>
              <w:top w:val="nil"/>
              <w:left w:val="nil"/>
              <w:right w:val="nil"/>
            </w:tcBorders>
            <w:shd w:val="clear" w:color="auto" w:fill="auto"/>
            <w:noWrap/>
            <w:vAlign w:val="bottom"/>
            <w:hideMark/>
          </w:tcPr>
          <w:p w14:paraId="23C582FB" w14:textId="77777777" w:rsidR="00966E2C" w:rsidRPr="00397EC7" w:rsidRDefault="00966E2C" w:rsidP="00643360">
            <w:pPr>
              <w:spacing w:after="0" w:line="240" w:lineRule="auto"/>
              <w:jc w:val="left"/>
              <w:rPr>
                <w:rFonts w:eastAsia="Times New Roman" w:cs="Arial"/>
                <w:i/>
                <w:iCs/>
                <w:color w:val="000000"/>
                <w:sz w:val="18"/>
                <w:szCs w:val="18"/>
                <w:lang w:val="en-GB" w:eastAsia="fr-FR"/>
              </w:rPr>
            </w:pPr>
            <w:r w:rsidRPr="00397EC7">
              <w:rPr>
                <w:rFonts w:eastAsia="Times New Roman" w:cs="Arial"/>
                <w:i/>
                <w:iCs/>
                <w:color w:val="000000"/>
                <w:sz w:val="18"/>
                <w:szCs w:val="18"/>
                <w:lang w:val="en-GB" w:eastAsia="fr-FR"/>
              </w:rPr>
              <w:t xml:space="preserve">      diabetes without end-organ damage</w:t>
            </w:r>
          </w:p>
        </w:tc>
        <w:tc>
          <w:tcPr>
            <w:tcW w:w="1669" w:type="dxa"/>
            <w:tcBorders>
              <w:top w:val="nil"/>
              <w:left w:val="nil"/>
              <w:right w:val="nil"/>
            </w:tcBorders>
            <w:shd w:val="clear" w:color="auto" w:fill="auto"/>
            <w:noWrap/>
            <w:vAlign w:val="bottom"/>
            <w:hideMark/>
          </w:tcPr>
          <w:p w14:paraId="6B3EA375"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r w:rsidRPr="00397EC7">
              <w:rPr>
                <w:rFonts w:eastAsia="Times New Roman" w:cs="Arial"/>
                <w:iCs/>
                <w:color w:val="000000"/>
                <w:sz w:val="18"/>
                <w:szCs w:val="18"/>
                <w:lang w:val="en-GB" w:eastAsia="fr-FR"/>
              </w:rPr>
              <w:t>2.53 [2.24-2.85]</w:t>
            </w:r>
          </w:p>
        </w:tc>
        <w:tc>
          <w:tcPr>
            <w:tcW w:w="851" w:type="dxa"/>
            <w:tcBorders>
              <w:top w:val="nil"/>
              <w:left w:val="nil"/>
              <w:right w:val="nil"/>
            </w:tcBorders>
            <w:shd w:val="clear" w:color="auto" w:fill="auto"/>
            <w:noWrap/>
            <w:vAlign w:val="bottom"/>
            <w:hideMark/>
          </w:tcPr>
          <w:p w14:paraId="5D11BC42"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r w:rsidRPr="00397EC7">
              <w:rPr>
                <w:rFonts w:eastAsia="Times New Roman" w:cs="Arial"/>
                <w:iCs/>
                <w:color w:val="000000"/>
                <w:sz w:val="18"/>
                <w:szCs w:val="18"/>
                <w:lang w:val="en-GB" w:eastAsia="fr-FR"/>
              </w:rPr>
              <w:t>&lt;.0001</w:t>
            </w:r>
          </w:p>
        </w:tc>
        <w:tc>
          <w:tcPr>
            <w:tcW w:w="191" w:type="dxa"/>
            <w:tcBorders>
              <w:top w:val="nil"/>
              <w:left w:val="nil"/>
              <w:right w:val="nil"/>
            </w:tcBorders>
            <w:shd w:val="clear" w:color="auto" w:fill="auto"/>
            <w:noWrap/>
            <w:vAlign w:val="bottom"/>
            <w:hideMark/>
          </w:tcPr>
          <w:p w14:paraId="0C701A74"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p>
        </w:tc>
        <w:tc>
          <w:tcPr>
            <w:tcW w:w="1541" w:type="dxa"/>
            <w:tcBorders>
              <w:top w:val="nil"/>
              <w:left w:val="nil"/>
              <w:right w:val="nil"/>
            </w:tcBorders>
            <w:shd w:val="clear" w:color="auto" w:fill="auto"/>
            <w:noWrap/>
            <w:vAlign w:val="bottom"/>
            <w:hideMark/>
          </w:tcPr>
          <w:p w14:paraId="43B38BE3"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r w:rsidRPr="00397EC7">
              <w:rPr>
                <w:rFonts w:eastAsia="Times New Roman" w:cs="Arial"/>
                <w:iCs/>
                <w:color w:val="000000"/>
                <w:sz w:val="18"/>
                <w:szCs w:val="18"/>
                <w:lang w:val="en-GB" w:eastAsia="fr-FR"/>
              </w:rPr>
              <w:t>1.78 [1.52-2.08]</w:t>
            </w:r>
          </w:p>
        </w:tc>
        <w:tc>
          <w:tcPr>
            <w:tcW w:w="924" w:type="dxa"/>
            <w:tcBorders>
              <w:top w:val="nil"/>
              <w:left w:val="nil"/>
              <w:right w:val="nil"/>
            </w:tcBorders>
            <w:shd w:val="clear" w:color="auto" w:fill="auto"/>
            <w:noWrap/>
            <w:vAlign w:val="bottom"/>
            <w:hideMark/>
          </w:tcPr>
          <w:p w14:paraId="5A0A62B3"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r w:rsidRPr="00397EC7">
              <w:rPr>
                <w:rFonts w:eastAsia="Times New Roman" w:cs="Arial"/>
                <w:iCs/>
                <w:color w:val="000000"/>
                <w:sz w:val="18"/>
                <w:szCs w:val="18"/>
                <w:lang w:val="en-GB" w:eastAsia="fr-FR"/>
              </w:rPr>
              <w:t>&lt;.0001</w:t>
            </w:r>
          </w:p>
        </w:tc>
      </w:tr>
      <w:tr w:rsidR="00966E2C" w:rsidRPr="00397EC7" w14:paraId="098AC3CC" w14:textId="77777777" w:rsidTr="00995C5C">
        <w:trPr>
          <w:trHeight w:val="20"/>
          <w:jc w:val="center"/>
        </w:trPr>
        <w:tc>
          <w:tcPr>
            <w:tcW w:w="4555" w:type="dxa"/>
            <w:tcBorders>
              <w:left w:val="nil"/>
              <w:bottom w:val="nil"/>
              <w:right w:val="nil"/>
            </w:tcBorders>
            <w:shd w:val="clear" w:color="auto" w:fill="auto"/>
            <w:noWrap/>
            <w:vAlign w:val="bottom"/>
            <w:hideMark/>
          </w:tcPr>
          <w:p w14:paraId="55DA2D3E" w14:textId="77777777" w:rsidR="00966E2C" w:rsidRPr="00397EC7" w:rsidRDefault="00966E2C" w:rsidP="00643360">
            <w:pPr>
              <w:spacing w:after="0" w:line="240" w:lineRule="auto"/>
              <w:jc w:val="left"/>
              <w:rPr>
                <w:rFonts w:eastAsia="Times New Roman" w:cs="Arial"/>
                <w:i/>
                <w:iCs/>
                <w:color w:val="000000"/>
                <w:sz w:val="18"/>
                <w:szCs w:val="18"/>
                <w:lang w:val="en-GB" w:eastAsia="fr-FR"/>
              </w:rPr>
            </w:pPr>
            <w:r w:rsidRPr="00397EC7">
              <w:rPr>
                <w:rFonts w:eastAsia="Times New Roman" w:cs="Arial"/>
                <w:i/>
                <w:iCs/>
                <w:color w:val="000000"/>
                <w:sz w:val="18"/>
                <w:szCs w:val="18"/>
                <w:lang w:val="en-GB" w:eastAsia="fr-FR"/>
              </w:rPr>
              <w:t xml:space="preserve">      diabetes with end-organ damage</w:t>
            </w:r>
          </w:p>
        </w:tc>
        <w:tc>
          <w:tcPr>
            <w:tcW w:w="1669" w:type="dxa"/>
            <w:tcBorders>
              <w:left w:val="nil"/>
              <w:bottom w:val="nil"/>
              <w:right w:val="nil"/>
            </w:tcBorders>
            <w:shd w:val="clear" w:color="auto" w:fill="auto"/>
            <w:noWrap/>
            <w:vAlign w:val="bottom"/>
            <w:hideMark/>
          </w:tcPr>
          <w:p w14:paraId="2E068CB9"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r w:rsidRPr="00397EC7">
              <w:rPr>
                <w:rFonts w:eastAsia="Times New Roman" w:cs="Arial"/>
                <w:iCs/>
                <w:color w:val="000000"/>
                <w:sz w:val="18"/>
                <w:szCs w:val="18"/>
                <w:lang w:val="en-GB" w:eastAsia="fr-FR"/>
              </w:rPr>
              <w:t>24.6 [22.2-27.4]</w:t>
            </w:r>
          </w:p>
        </w:tc>
        <w:tc>
          <w:tcPr>
            <w:tcW w:w="851" w:type="dxa"/>
            <w:tcBorders>
              <w:left w:val="nil"/>
              <w:bottom w:val="nil"/>
              <w:right w:val="nil"/>
            </w:tcBorders>
            <w:shd w:val="clear" w:color="auto" w:fill="auto"/>
            <w:noWrap/>
            <w:vAlign w:val="bottom"/>
            <w:hideMark/>
          </w:tcPr>
          <w:p w14:paraId="4C516FF2"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r w:rsidRPr="00397EC7">
              <w:rPr>
                <w:rFonts w:eastAsia="Times New Roman" w:cs="Arial"/>
                <w:iCs/>
                <w:color w:val="000000"/>
                <w:sz w:val="18"/>
                <w:szCs w:val="18"/>
                <w:lang w:val="en-GB" w:eastAsia="fr-FR"/>
              </w:rPr>
              <w:t>&lt;.0001</w:t>
            </w:r>
          </w:p>
        </w:tc>
        <w:tc>
          <w:tcPr>
            <w:tcW w:w="191" w:type="dxa"/>
            <w:tcBorders>
              <w:left w:val="nil"/>
              <w:bottom w:val="nil"/>
              <w:right w:val="nil"/>
            </w:tcBorders>
            <w:shd w:val="clear" w:color="auto" w:fill="auto"/>
            <w:noWrap/>
            <w:vAlign w:val="bottom"/>
            <w:hideMark/>
          </w:tcPr>
          <w:p w14:paraId="6B406F7A"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p>
        </w:tc>
        <w:tc>
          <w:tcPr>
            <w:tcW w:w="1541" w:type="dxa"/>
            <w:tcBorders>
              <w:left w:val="nil"/>
              <w:bottom w:val="nil"/>
              <w:right w:val="nil"/>
            </w:tcBorders>
            <w:shd w:val="clear" w:color="auto" w:fill="auto"/>
            <w:noWrap/>
            <w:vAlign w:val="bottom"/>
            <w:hideMark/>
          </w:tcPr>
          <w:p w14:paraId="22018FFC"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r w:rsidRPr="00397EC7">
              <w:rPr>
                <w:rFonts w:eastAsia="Times New Roman" w:cs="Arial"/>
                <w:iCs/>
                <w:color w:val="000000"/>
                <w:sz w:val="18"/>
                <w:szCs w:val="18"/>
                <w:lang w:val="en-GB" w:eastAsia="fr-FR"/>
              </w:rPr>
              <w:t>1.89 [1.30-2.75]</w:t>
            </w:r>
          </w:p>
        </w:tc>
        <w:tc>
          <w:tcPr>
            <w:tcW w:w="924" w:type="dxa"/>
            <w:tcBorders>
              <w:left w:val="nil"/>
              <w:bottom w:val="nil"/>
              <w:right w:val="nil"/>
            </w:tcBorders>
            <w:shd w:val="clear" w:color="auto" w:fill="auto"/>
            <w:noWrap/>
            <w:vAlign w:val="bottom"/>
            <w:hideMark/>
          </w:tcPr>
          <w:p w14:paraId="30FD8958"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r w:rsidRPr="00397EC7">
              <w:rPr>
                <w:rFonts w:eastAsia="Times New Roman" w:cs="Arial"/>
                <w:iCs/>
                <w:color w:val="000000"/>
                <w:sz w:val="18"/>
                <w:szCs w:val="18"/>
                <w:lang w:val="en-GB" w:eastAsia="fr-FR"/>
              </w:rPr>
              <w:t>0.0009</w:t>
            </w:r>
          </w:p>
        </w:tc>
      </w:tr>
      <w:tr w:rsidR="00966E2C" w:rsidRPr="00397EC7" w14:paraId="6CA4B9B0"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2B861FE2" w14:textId="7EC43D49" w:rsidR="00966E2C" w:rsidRPr="00397EC7" w:rsidRDefault="00966E2C" w:rsidP="00457B87">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w:t>
            </w:r>
            <w:proofErr w:type="spellStart"/>
            <w:r w:rsidRPr="00397EC7">
              <w:rPr>
                <w:rFonts w:eastAsia="Times New Roman" w:cs="Arial"/>
                <w:color w:val="000000"/>
                <w:sz w:val="18"/>
                <w:szCs w:val="18"/>
                <w:lang w:val="en-GB" w:eastAsia="fr-FR"/>
              </w:rPr>
              <w:t>cancer</w:t>
            </w:r>
            <w:r w:rsidR="00457B87" w:rsidRPr="00397EC7">
              <w:rPr>
                <w:rFonts w:eastAsia="Times New Roman" w:cs="Arial"/>
                <w:color w:val="000000"/>
                <w:sz w:val="18"/>
                <w:szCs w:val="18"/>
                <w:vertAlign w:val="superscript"/>
                <w:lang w:val="en-GB" w:eastAsia="fr-FR"/>
              </w:rPr>
              <w:t>a</w:t>
            </w:r>
            <w:proofErr w:type="spellEnd"/>
          </w:p>
        </w:tc>
        <w:tc>
          <w:tcPr>
            <w:tcW w:w="1669" w:type="dxa"/>
            <w:tcBorders>
              <w:top w:val="nil"/>
              <w:left w:val="nil"/>
              <w:bottom w:val="nil"/>
              <w:right w:val="nil"/>
            </w:tcBorders>
            <w:shd w:val="clear" w:color="auto" w:fill="auto"/>
            <w:noWrap/>
            <w:vAlign w:val="bottom"/>
          </w:tcPr>
          <w:p w14:paraId="5381F279"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851" w:type="dxa"/>
            <w:tcBorders>
              <w:top w:val="nil"/>
              <w:left w:val="nil"/>
              <w:bottom w:val="nil"/>
              <w:right w:val="nil"/>
            </w:tcBorders>
            <w:shd w:val="clear" w:color="auto" w:fill="auto"/>
            <w:noWrap/>
            <w:vAlign w:val="bottom"/>
          </w:tcPr>
          <w:p w14:paraId="3B3FEFD6"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tcPr>
          <w:p w14:paraId="1EE0C374"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tcPr>
          <w:p w14:paraId="2FB70365"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924" w:type="dxa"/>
            <w:tcBorders>
              <w:top w:val="nil"/>
              <w:left w:val="nil"/>
              <w:bottom w:val="nil"/>
              <w:right w:val="nil"/>
            </w:tcBorders>
            <w:shd w:val="clear" w:color="auto" w:fill="auto"/>
            <w:noWrap/>
            <w:vAlign w:val="bottom"/>
          </w:tcPr>
          <w:p w14:paraId="1B0A13C2"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7B3A7E6C"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06748855" w14:textId="5C593BA6" w:rsidR="00966E2C" w:rsidRPr="00397EC7" w:rsidRDefault="00966E2C" w:rsidP="00457B87">
            <w:pPr>
              <w:spacing w:after="0" w:line="240" w:lineRule="auto"/>
              <w:jc w:val="left"/>
              <w:rPr>
                <w:rFonts w:eastAsia="Times New Roman" w:cs="Arial"/>
                <w:i/>
                <w:iCs/>
                <w:color w:val="000000"/>
                <w:sz w:val="18"/>
                <w:szCs w:val="18"/>
                <w:lang w:val="en-GB" w:eastAsia="fr-FR"/>
              </w:rPr>
            </w:pPr>
            <w:r w:rsidRPr="00397EC7">
              <w:rPr>
                <w:rFonts w:eastAsia="Times New Roman" w:cs="Arial"/>
                <w:i/>
                <w:iCs/>
                <w:color w:val="000000"/>
                <w:sz w:val="18"/>
                <w:szCs w:val="18"/>
                <w:lang w:val="en-GB" w:eastAsia="fr-FR"/>
              </w:rPr>
              <w:t xml:space="preserve">      non-metastatic </w:t>
            </w:r>
            <w:proofErr w:type="spellStart"/>
            <w:r w:rsidRPr="00397EC7">
              <w:rPr>
                <w:rFonts w:eastAsia="Times New Roman" w:cs="Arial"/>
                <w:i/>
                <w:iCs/>
                <w:color w:val="000000"/>
                <w:sz w:val="18"/>
                <w:szCs w:val="18"/>
                <w:lang w:val="en-GB" w:eastAsia="fr-FR"/>
              </w:rPr>
              <w:t>cancer</w:t>
            </w:r>
            <w:r w:rsidR="00457B87" w:rsidRPr="00397EC7">
              <w:rPr>
                <w:rFonts w:eastAsia="Times New Roman" w:cs="Arial"/>
                <w:i/>
                <w:iCs/>
                <w:color w:val="000000"/>
                <w:sz w:val="18"/>
                <w:szCs w:val="18"/>
                <w:vertAlign w:val="superscript"/>
                <w:lang w:val="en-GB" w:eastAsia="fr-FR"/>
              </w:rPr>
              <w:t>b</w:t>
            </w:r>
            <w:proofErr w:type="spellEnd"/>
          </w:p>
        </w:tc>
        <w:tc>
          <w:tcPr>
            <w:tcW w:w="1669" w:type="dxa"/>
            <w:tcBorders>
              <w:top w:val="nil"/>
              <w:left w:val="nil"/>
              <w:bottom w:val="nil"/>
              <w:right w:val="nil"/>
            </w:tcBorders>
            <w:shd w:val="clear" w:color="auto" w:fill="auto"/>
            <w:noWrap/>
            <w:vAlign w:val="bottom"/>
            <w:hideMark/>
          </w:tcPr>
          <w:p w14:paraId="3F9ECDDD"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r w:rsidRPr="00397EC7">
              <w:rPr>
                <w:rFonts w:eastAsia="Times New Roman" w:cs="Arial"/>
                <w:iCs/>
                <w:color w:val="000000"/>
                <w:sz w:val="18"/>
                <w:szCs w:val="18"/>
                <w:lang w:val="en-GB" w:eastAsia="fr-FR"/>
              </w:rPr>
              <w:t>2.92 [2.64-3.22]</w:t>
            </w:r>
          </w:p>
        </w:tc>
        <w:tc>
          <w:tcPr>
            <w:tcW w:w="851" w:type="dxa"/>
            <w:tcBorders>
              <w:top w:val="nil"/>
              <w:left w:val="nil"/>
              <w:bottom w:val="nil"/>
              <w:right w:val="nil"/>
            </w:tcBorders>
            <w:shd w:val="clear" w:color="auto" w:fill="auto"/>
            <w:noWrap/>
            <w:vAlign w:val="bottom"/>
            <w:hideMark/>
          </w:tcPr>
          <w:p w14:paraId="4A4C7ED6"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r w:rsidRPr="00397EC7">
              <w:rPr>
                <w:rFonts w:eastAsia="Times New Roman" w:cs="Arial"/>
                <w:iCs/>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73AAB2A1"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7693B0FD"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r w:rsidRPr="00397EC7">
              <w:rPr>
                <w:rFonts w:eastAsia="Times New Roman" w:cs="Arial"/>
                <w:iCs/>
                <w:color w:val="000000"/>
                <w:sz w:val="18"/>
                <w:szCs w:val="18"/>
                <w:lang w:val="en-GB" w:eastAsia="fr-FR"/>
              </w:rPr>
              <w:t>0.95 [0.79-1.14]</w:t>
            </w:r>
          </w:p>
        </w:tc>
        <w:tc>
          <w:tcPr>
            <w:tcW w:w="924" w:type="dxa"/>
            <w:tcBorders>
              <w:top w:val="nil"/>
              <w:left w:val="nil"/>
              <w:bottom w:val="nil"/>
              <w:right w:val="nil"/>
            </w:tcBorders>
            <w:shd w:val="clear" w:color="auto" w:fill="auto"/>
            <w:noWrap/>
            <w:vAlign w:val="bottom"/>
            <w:hideMark/>
          </w:tcPr>
          <w:p w14:paraId="1AF9C656"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r w:rsidRPr="00397EC7">
              <w:rPr>
                <w:rFonts w:eastAsia="Times New Roman" w:cs="Arial"/>
                <w:iCs/>
                <w:color w:val="000000"/>
                <w:sz w:val="18"/>
                <w:szCs w:val="18"/>
                <w:lang w:val="en-GB" w:eastAsia="fr-FR"/>
              </w:rPr>
              <w:t>0.62</w:t>
            </w:r>
          </w:p>
        </w:tc>
      </w:tr>
      <w:tr w:rsidR="00966E2C" w:rsidRPr="00397EC7" w14:paraId="4859A0C6"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0E10E362" w14:textId="6A435F38" w:rsidR="00966E2C" w:rsidRPr="00397EC7" w:rsidRDefault="00966E2C" w:rsidP="00643360">
            <w:pPr>
              <w:spacing w:after="0" w:line="240" w:lineRule="auto"/>
              <w:jc w:val="left"/>
              <w:rPr>
                <w:rFonts w:eastAsia="Times New Roman" w:cs="Arial"/>
                <w:i/>
                <w:iCs/>
                <w:color w:val="000000"/>
                <w:sz w:val="18"/>
                <w:szCs w:val="18"/>
                <w:lang w:val="en-GB" w:eastAsia="fr-FR"/>
              </w:rPr>
            </w:pPr>
            <w:r w:rsidRPr="00397EC7">
              <w:rPr>
                <w:rFonts w:eastAsia="Times New Roman" w:cs="Arial"/>
                <w:i/>
                <w:iCs/>
                <w:color w:val="000000"/>
                <w:sz w:val="18"/>
                <w:szCs w:val="18"/>
                <w:lang w:val="en-GB" w:eastAsia="fr-FR"/>
              </w:rPr>
              <w:t xml:space="preserve">      metastatic solid </w:t>
            </w:r>
            <w:proofErr w:type="spellStart"/>
            <w:r w:rsidRPr="00397EC7">
              <w:rPr>
                <w:rFonts w:eastAsia="Times New Roman" w:cs="Arial"/>
                <w:i/>
                <w:iCs/>
                <w:color w:val="000000"/>
                <w:sz w:val="18"/>
                <w:szCs w:val="18"/>
                <w:lang w:val="en-GB" w:eastAsia="fr-FR"/>
              </w:rPr>
              <w:t>tumor</w:t>
            </w:r>
            <w:proofErr w:type="spellEnd"/>
          </w:p>
        </w:tc>
        <w:tc>
          <w:tcPr>
            <w:tcW w:w="1669" w:type="dxa"/>
            <w:tcBorders>
              <w:top w:val="nil"/>
              <w:left w:val="nil"/>
              <w:bottom w:val="nil"/>
              <w:right w:val="nil"/>
            </w:tcBorders>
            <w:shd w:val="clear" w:color="auto" w:fill="auto"/>
            <w:noWrap/>
            <w:vAlign w:val="bottom"/>
            <w:hideMark/>
          </w:tcPr>
          <w:p w14:paraId="38EFDAAD"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r w:rsidRPr="00397EC7">
              <w:rPr>
                <w:rFonts w:eastAsia="Times New Roman" w:cs="Arial"/>
                <w:iCs/>
                <w:color w:val="000000"/>
                <w:sz w:val="18"/>
                <w:szCs w:val="18"/>
                <w:lang w:val="en-GB" w:eastAsia="fr-FR"/>
              </w:rPr>
              <w:t>11.3 [9.62-13.4]</w:t>
            </w:r>
          </w:p>
        </w:tc>
        <w:tc>
          <w:tcPr>
            <w:tcW w:w="851" w:type="dxa"/>
            <w:tcBorders>
              <w:top w:val="nil"/>
              <w:left w:val="nil"/>
              <w:bottom w:val="nil"/>
              <w:right w:val="nil"/>
            </w:tcBorders>
            <w:shd w:val="clear" w:color="auto" w:fill="auto"/>
            <w:noWrap/>
            <w:vAlign w:val="bottom"/>
            <w:hideMark/>
          </w:tcPr>
          <w:p w14:paraId="64A501E7"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r w:rsidRPr="00397EC7">
              <w:rPr>
                <w:rFonts w:eastAsia="Times New Roman" w:cs="Arial"/>
                <w:iCs/>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2946D9B4"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1E1A9F9E"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r w:rsidRPr="00397EC7">
              <w:rPr>
                <w:rFonts w:eastAsia="Times New Roman" w:cs="Arial"/>
                <w:iCs/>
                <w:color w:val="000000"/>
                <w:sz w:val="18"/>
                <w:szCs w:val="18"/>
                <w:lang w:val="en-GB" w:eastAsia="fr-FR"/>
              </w:rPr>
              <w:t>1.68 [1.04-2.72]</w:t>
            </w:r>
          </w:p>
        </w:tc>
        <w:tc>
          <w:tcPr>
            <w:tcW w:w="924" w:type="dxa"/>
            <w:tcBorders>
              <w:top w:val="nil"/>
              <w:left w:val="nil"/>
              <w:bottom w:val="nil"/>
              <w:right w:val="nil"/>
            </w:tcBorders>
            <w:shd w:val="clear" w:color="auto" w:fill="auto"/>
            <w:noWrap/>
            <w:vAlign w:val="bottom"/>
            <w:hideMark/>
          </w:tcPr>
          <w:p w14:paraId="7E6A1FF9" w14:textId="77777777" w:rsidR="00966E2C" w:rsidRPr="00397EC7" w:rsidRDefault="00966E2C" w:rsidP="00643360">
            <w:pPr>
              <w:spacing w:after="0" w:line="240" w:lineRule="auto"/>
              <w:jc w:val="center"/>
              <w:rPr>
                <w:rFonts w:eastAsia="Times New Roman" w:cs="Arial"/>
                <w:iCs/>
                <w:color w:val="000000"/>
                <w:sz w:val="18"/>
                <w:szCs w:val="18"/>
                <w:lang w:val="en-GB" w:eastAsia="fr-FR"/>
              </w:rPr>
            </w:pPr>
            <w:r w:rsidRPr="00397EC7">
              <w:rPr>
                <w:rFonts w:eastAsia="Times New Roman" w:cs="Arial"/>
                <w:iCs/>
                <w:color w:val="000000"/>
                <w:sz w:val="18"/>
                <w:szCs w:val="18"/>
                <w:lang w:val="en-GB" w:eastAsia="fr-FR"/>
              </w:rPr>
              <w:t>0.030</w:t>
            </w:r>
          </w:p>
        </w:tc>
      </w:tr>
      <w:tr w:rsidR="00966E2C" w:rsidRPr="00397EC7" w14:paraId="193E0712"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31799596"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proofErr w:type="spellStart"/>
            <w:r w:rsidRPr="00397EC7">
              <w:rPr>
                <w:rFonts w:eastAsia="Times New Roman" w:cs="Arial"/>
                <w:b/>
                <w:bCs/>
                <w:i/>
                <w:iCs/>
                <w:color w:val="000000"/>
                <w:sz w:val="18"/>
                <w:szCs w:val="18"/>
                <w:lang w:val="en-GB" w:eastAsia="fr-FR"/>
              </w:rPr>
              <w:t>Charlson</w:t>
            </w:r>
            <w:proofErr w:type="spellEnd"/>
            <w:r w:rsidRPr="00397EC7">
              <w:rPr>
                <w:rFonts w:eastAsia="Times New Roman" w:cs="Arial"/>
                <w:b/>
                <w:bCs/>
                <w:i/>
                <w:iCs/>
                <w:color w:val="000000"/>
                <w:sz w:val="18"/>
                <w:szCs w:val="18"/>
                <w:lang w:val="en-GB" w:eastAsia="fr-FR"/>
              </w:rPr>
              <w:t xml:space="preserve"> index </w:t>
            </w:r>
          </w:p>
        </w:tc>
        <w:tc>
          <w:tcPr>
            <w:tcW w:w="1669" w:type="dxa"/>
            <w:tcBorders>
              <w:top w:val="nil"/>
              <w:left w:val="nil"/>
              <w:bottom w:val="nil"/>
              <w:right w:val="nil"/>
            </w:tcBorders>
            <w:shd w:val="clear" w:color="auto" w:fill="auto"/>
            <w:noWrap/>
            <w:vAlign w:val="bottom"/>
            <w:hideMark/>
          </w:tcPr>
          <w:p w14:paraId="206C642D"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r w:rsidRPr="00397EC7">
              <w:rPr>
                <w:rFonts w:eastAsia="Times New Roman" w:cs="Arial"/>
                <w:b/>
                <w:bCs/>
                <w:iCs/>
                <w:color w:val="000000"/>
                <w:sz w:val="18"/>
                <w:szCs w:val="18"/>
                <w:lang w:val="en-GB" w:eastAsia="fr-FR"/>
              </w:rPr>
              <w:t xml:space="preserve"> </w:t>
            </w:r>
          </w:p>
        </w:tc>
        <w:tc>
          <w:tcPr>
            <w:tcW w:w="851" w:type="dxa"/>
            <w:tcBorders>
              <w:top w:val="nil"/>
              <w:left w:val="nil"/>
              <w:bottom w:val="nil"/>
              <w:right w:val="nil"/>
            </w:tcBorders>
            <w:shd w:val="clear" w:color="auto" w:fill="auto"/>
            <w:noWrap/>
            <w:vAlign w:val="bottom"/>
            <w:hideMark/>
          </w:tcPr>
          <w:p w14:paraId="794BCD2A"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6C0AB4A6"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71C12FD3"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r w:rsidRPr="00397EC7">
              <w:rPr>
                <w:rFonts w:eastAsia="Times New Roman" w:cs="Arial"/>
                <w:b/>
                <w:bCs/>
                <w:iCs/>
                <w:color w:val="000000"/>
                <w:sz w:val="18"/>
                <w:szCs w:val="18"/>
                <w:lang w:val="en-GB" w:eastAsia="fr-FR"/>
              </w:rPr>
              <w:t xml:space="preserve"> </w:t>
            </w:r>
          </w:p>
        </w:tc>
        <w:tc>
          <w:tcPr>
            <w:tcW w:w="924" w:type="dxa"/>
            <w:tcBorders>
              <w:top w:val="nil"/>
              <w:left w:val="nil"/>
              <w:bottom w:val="nil"/>
              <w:right w:val="nil"/>
            </w:tcBorders>
            <w:shd w:val="clear" w:color="auto" w:fill="auto"/>
            <w:noWrap/>
            <w:vAlign w:val="bottom"/>
            <w:hideMark/>
          </w:tcPr>
          <w:p w14:paraId="1B54A4AB"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p>
        </w:tc>
      </w:tr>
      <w:tr w:rsidR="00966E2C" w:rsidRPr="00397EC7" w14:paraId="0054EF09"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7BA1F3EF"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0</w:t>
            </w:r>
          </w:p>
        </w:tc>
        <w:tc>
          <w:tcPr>
            <w:tcW w:w="1669" w:type="dxa"/>
            <w:tcBorders>
              <w:top w:val="nil"/>
              <w:left w:val="nil"/>
              <w:bottom w:val="nil"/>
              <w:right w:val="nil"/>
            </w:tcBorders>
            <w:shd w:val="clear" w:color="auto" w:fill="auto"/>
            <w:noWrap/>
            <w:vAlign w:val="bottom"/>
            <w:hideMark/>
          </w:tcPr>
          <w:p w14:paraId="0F18131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1" w:type="dxa"/>
            <w:tcBorders>
              <w:top w:val="nil"/>
              <w:left w:val="nil"/>
              <w:bottom w:val="nil"/>
              <w:right w:val="nil"/>
            </w:tcBorders>
            <w:shd w:val="clear" w:color="auto" w:fill="auto"/>
            <w:noWrap/>
            <w:vAlign w:val="bottom"/>
            <w:hideMark/>
          </w:tcPr>
          <w:p w14:paraId="29A0DED4"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1B912876"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2AC9E83F"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24" w:type="dxa"/>
            <w:tcBorders>
              <w:top w:val="nil"/>
              <w:left w:val="nil"/>
              <w:bottom w:val="nil"/>
              <w:right w:val="nil"/>
            </w:tcBorders>
            <w:shd w:val="clear" w:color="auto" w:fill="auto"/>
            <w:noWrap/>
            <w:vAlign w:val="bottom"/>
            <w:hideMark/>
          </w:tcPr>
          <w:p w14:paraId="1EDF8744"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5C7F9512"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5562C9A4"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1</w:t>
            </w:r>
          </w:p>
        </w:tc>
        <w:tc>
          <w:tcPr>
            <w:tcW w:w="1669" w:type="dxa"/>
            <w:tcBorders>
              <w:top w:val="nil"/>
              <w:left w:val="nil"/>
              <w:bottom w:val="nil"/>
              <w:right w:val="nil"/>
            </w:tcBorders>
            <w:shd w:val="clear" w:color="auto" w:fill="auto"/>
            <w:noWrap/>
            <w:vAlign w:val="bottom"/>
            <w:hideMark/>
          </w:tcPr>
          <w:p w14:paraId="49DE7A3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6.27 [5.34-7.36]</w:t>
            </w:r>
          </w:p>
        </w:tc>
        <w:tc>
          <w:tcPr>
            <w:tcW w:w="851" w:type="dxa"/>
            <w:tcBorders>
              <w:top w:val="nil"/>
              <w:left w:val="nil"/>
              <w:bottom w:val="nil"/>
              <w:right w:val="nil"/>
            </w:tcBorders>
            <w:shd w:val="clear" w:color="auto" w:fill="auto"/>
            <w:noWrap/>
            <w:vAlign w:val="bottom"/>
            <w:hideMark/>
          </w:tcPr>
          <w:p w14:paraId="7703457A"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538D4DAF"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6EEA0FD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1.25 [1.08-1.44]</w:t>
            </w:r>
          </w:p>
        </w:tc>
        <w:tc>
          <w:tcPr>
            <w:tcW w:w="924" w:type="dxa"/>
            <w:tcBorders>
              <w:top w:val="nil"/>
              <w:left w:val="nil"/>
              <w:bottom w:val="nil"/>
              <w:right w:val="nil"/>
            </w:tcBorders>
            <w:shd w:val="clear" w:color="auto" w:fill="auto"/>
            <w:noWrap/>
            <w:vAlign w:val="bottom"/>
            <w:hideMark/>
          </w:tcPr>
          <w:p w14:paraId="246F4A3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0.003</w:t>
            </w:r>
          </w:p>
        </w:tc>
      </w:tr>
      <w:tr w:rsidR="00966E2C" w:rsidRPr="00397EC7" w14:paraId="3152124E"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2586B300"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≥2</w:t>
            </w:r>
          </w:p>
        </w:tc>
        <w:tc>
          <w:tcPr>
            <w:tcW w:w="1669" w:type="dxa"/>
            <w:tcBorders>
              <w:top w:val="nil"/>
              <w:left w:val="nil"/>
              <w:bottom w:val="nil"/>
              <w:right w:val="nil"/>
            </w:tcBorders>
            <w:shd w:val="clear" w:color="auto" w:fill="auto"/>
            <w:noWrap/>
            <w:vAlign w:val="bottom"/>
            <w:hideMark/>
          </w:tcPr>
          <w:p w14:paraId="3B8DCA3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29.4 [25.8-33.5]</w:t>
            </w:r>
          </w:p>
        </w:tc>
        <w:tc>
          <w:tcPr>
            <w:tcW w:w="851" w:type="dxa"/>
            <w:tcBorders>
              <w:top w:val="nil"/>
              <w:left w:val="nil"/>
              <w:bottom w:val="nil"/>
              <w:right w:val="nil"/>
            </w:tcBorders>
            <w:shd w:val="clear" w:color="auto" w:fill="auto"/>
            <w:noWrap/>
            <w:vAlign w:val="bottom"/>
            <w:hideMark/>
          </w:tcPr>
          <w:p w14:paraId="499350D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3390E5B4"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58C8FA9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1.53 [1.33-1.75]</w:t>
            </w:r>
          </w:p>
        </w:tc>
        <w:tc>
          <w:tcPr>
            <w:tcW w:w="924" w:type="dxa"/>
            <w:tcBorders>
              <w:top w:val="nil"/>
              <w:left w:val="nil"/>
              <w:bottom w:val="nil"/>
              <w:right w:val="nil"/>
            </w:tcBorders>
            <w:shd w:val="clear" w:color="auto" w:fill="auto"/>
            <w:noWrap/>
            <w:vAlign w:val="bottom"/>
            <w:hideMark/>
          </w:tcPr>
          <w:p w14:paraId="31414DCA"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4ECF6428"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3494FE99"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Medical history of urolithiasis</w:t>
            </w:r>
          </w:p>
        </w:tc>
        <w:tc>
          <w:tcPr>
            <w:tcW w:w="1669" w:type="dxa"/>
            <w:tcBorders>
              <w:top w:val="nil"/>
              <w:left w:val="nil"/>
              <w:bottom w:val="nil"/>
              <w:right w:val="nil"/>
            </w:tcBorders>
            <w:shd w:val="clear" w:color="auto" w:fill="auto"/>
            <w:noWrap/>
            <w:vAlign w:val="bottom"/>
            <w:hideMark/>
          </w:tcPr>
          <w:p w14:paraId="52F7F944"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r w:rsidRPr="00397EC7">
              <w:rPr>
                <w:rFonts w:eastAsia="Times New Roman" w:cs="Arial"/>
                <w:b/>
                <w:bCs/>
                <w:iCs/>
                <w:color w:val="000000"/>
                <w:sz w:val="18"/>
                <w:szCs w:val="18"/>
                <w:lang w:val="en-GB" w:eastAsia="fr-FR"/>
              </w:rPr>
              <w:t xml:space="preserve"> </w:t>
            </w:r>
          </w:p>
        </w:tc>
        <w:tc>
          <w:tcPr>
            <w:tcW w:w="851" w:type="dxa"/>
            <w:tcBorders>
              <w:top w:val="nil"/>
              <w:left w:val="nil"/>
              <w:bottom w:val="nil"/>
              <w:right w:val="nil"/>
            </w:tcBorders>
            <w:shd w:val="clear" w:color="auto" w:fill="auto"/>
            <w:noWrap/>
            <w:vAlign w:val="bottom"/>
            <w:hideMark/>
          </w:tcPr>
          <w:p w14:paraId="0E227CB3"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5C168E15"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6855982A"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r w:rsidRPr="00397EC7">
              <w:rPr>
                <w:rFonts w:eastAsia="Times New Roman" w:cs="Arial"/>
                <w:b/>
                <w:bCs/>
                <w:iCs/>
                <w:color w:val="000000"/>
                <w:sz w:val="18"/>
                <w:szCs w:val="18"/>
                <w:lang w:val="en-GB" w:eastAsia="fr-FR"/>
              </w:rPr>
              <w:t xml:space="preserve"> </w:t>
            </w:r>
          </w:p>
        </w:tc>
        <w:tc>
          <w:tcPr>
            <w:tcW w:w="924" w:type="dxa"/>
            <w:tcBorders>
              <w:top w:val="nil"/>
              <w:left w:val="nil"/>
              <w:bottom w:val="nil"/>
              <w:right w:val="nil"/>
            </w:tcBorders>
            <w:shd w:val="clear" w:color="auto" w:fill="auto"/>
            <w:noWrap/>
            <w:vAlign w:val="bottom"/>
            <w:hideMark/>
          </w:tcPr>
          <w:p w14:paraId="36BB699C"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p>
        </w:tc>
      </w:tr>
      <w:tr w:rsidR="00966E2C" w:rsidRPr="00397EC7" w14:paraId="39B85163"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05422E3F"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no</w:t>
            </w:r>
          </w:p>
        </w:tc>
        <w:tc>
          <w:tcPr>
            <w:tcW w:w="1669" w:type="dxa"/>
            <w:tcBorders>
              <w:top w:val="nil"/>
              <w:left w:val="nil"/>
              <w:bottom w:val="nil"/>
              <w:right w:val="nil"/>
            </w:tcBorders>
            <w:shd w:val="clear" w:color="auto" w:fill="auto"/>
            <w:noWrap/>
            <w:vAlign w:val="bottom"/>
            <w:hideMark/>
          </w:tcPr>
          <w:p w14:paraId="56F4E6F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1" w:type="dxa"/>
            <w:tcBorders>
              <w:top w:val="nil"/>
              <w:left w:val="nil"/>
              <w:bottom w:val="nil"/>
              <w:right w:val="nil"/>
            </w:tcBorders>
            <w:shd w:val="clear" w:color="auto" w:fill="auto"/>
            <w:noWrap/>
            <w:vAlign w:val="bottom"/>
            <w:hideMark/>
          </w:tcPr>
          <w:p w14:paraId="0C4CDDBC"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7BE32685"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5449C97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24" w:type="dxa"/>
            <w:tcBorders>
              <w:top w:val="nil"/>
              <w:left w:val="nil"/>
              <w:bottom w:val="nil"/>
              <w:right w:val="nil"/>
            </w:tcBorders>
            <w:shd w:val="clear" w:color="auto" w:fill="auto"/>
            <w:noWrap/>
            <w:vAlign w:val="bottom"/>
            <w:hideMark/>
          </w:tcPr>
          <w:p w14:paraId="2DC3559E"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740E87DC"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6F170546"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yes</w:t>
            </w:r>
          </w:p>
        </w:tc>
        <w:tc>
          <w:tcPr>
            <w:tcW w:w="1669" w:type="dxa"/>
            <w:tcBorders>
              <w:top w:val="nil"/>
              <w:left w:val="nil"/>
              <w:bottom w:val="nil"/>
              <w:right w:val="nil"/>
            </w:tcBorders>
            <w:shd w:val="clear" w:color="auto" w:fill="auto"/>
            <w:noWrap/>
            <w:vAlign w:val="bottom"/>
            <w:hideMark/>
          </w:tcPr>
          <w:p w14:paraId="6132451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1.03 [0.68-1.56]</w:t>
            </w:r>
          </w:p>
        </w:tc>
        <w:tc>
          <w:tcPr>
            <w:tcW w:w="851" w:type="dxa"/>
            <w:tcBorders>
              <w:top w:val="nil"/>
              <w:left w:val="nil"/>
              <w:bottom w:val="nil"/>
              <w:right w:val="nil"/>
            </w:tcBorders>
            <w:shd w:val="clear" w:color="auto" w:fill="auto"/>
            <w:noWrap/>
            <w:vAlign w:val="bottom"/>
            <w:hideMark/>
          </w:tcPr>
          <w:p w14:paraId="60925EF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0.86</w:t>
            </w:r>
          </w:p>
        </w:tc>
        <w:tc>
          <w:tcPr>
            <w:tcW w:w="191" w:type="dxa"/>
            <w:tcBorders>
              <w:top w:val="nil"/>
              <w:left w:val="nil"/>
              <w:bottom w:val="nil"/>
              <w:right w:val="nil"/>
            </w:tcBorders>
            <w:shd w:val="clear" w:color="auto" w:fill="auto"/>
            <w:noWrap/>
            <w:vAlign w:val="bottom"/>
            <w:hideMark/>
          </w:tcPr>
          <w:p w14:paraId="6A515BF4"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4E418B0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29.1 [25.6-33.0]</w:t>
            </w:r>
          </w:p>
        </w:tc>
        <w:tc>
          <w:tcPr>
            <w:tcW w:w="924" w:type="dxa"/>
            <w:tcBorders>
              <w:top w:val="nil"/>
              <w:left w:val="nil"/>
              <w:bottom w:val="nil"/>
              <w:right w:val="nil"/>
            </w:tcBorders>
            <w:shd w:val="clear" w:color="auto" w:fill="auto"/>
            <w:noWrap/>
            <w:vAlign w:val="bottom"/>
            <w:hideMark/>
          </w:tcPr>
          <w:p w14:paraId="437ED71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5A16FDB3"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6C7F0273"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Previous treatment (during previous 6 months)</w:t>
            </w:r>
          </w:p>
        </w:tc>
        <w:tc>
          <w:tcPr>
            <w:tcW w:w="1669" w:type="dxa"/>
            <w:tcBorders>
              <w:top w:val="nil"/>
              <w:left w:val="nil"/>
              <w:bottom w:val="nil"/>
              <w:right w:val="nil"/>
            </w:tcBorders>
            <w:shd w:val="clear" w:color="auto" w:fill="auto"/>
            <w:noWrap/>
            <w:vAlign w:val="bottom"/>
            <w:hideMark/>
          </w:tcPr>
          <w:p w14:paraId="5F8DD59C"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r w:rsidRPr="00397EC7">
              <w:rPr>
                <w:rFonts w:eastAsia="Times New Roman" w:cs="Arial"/>
                <w:b/>
                <w:bCs/>
                <w:iCs/>
                <w:color w:val="000000"/>
                <w:sz w:val="18"/>
                <w:szCs w:val="18"/>
                <w:lang w:val="en-GB" w:eastAsia="fr-FR"/>
              </w:rPr>
              <w:t xml:space="preserve"> </w:t>
            </w:r>
          </w:p>
        </w:tc>
        <w:tc>
          <w:tcPr>
            <w:tcW w:w="851" w:type="dxa"/>
            <w:tcBorders>
              <w:top w:val="nil"/>
              <w:left w:val="nil"/>
              <w:bottom w:val="nil"/>
              <w:right w:val="nil"/>
            </w:tcBorders>
            <w:shd w:val="clear" w:color="auto" w:fill="auto"/>
            <w:noWrap/>
            <w:vAlign w:val="bottom"/>
            <w:hideMark/>
          </w:tcPr>
          <w:p w14:paraId="5F48A7CC"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015A2D0E"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7B7F33CB"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r w:rsidRPr="00397EC7">
              <w:rPr>
                <w:rFonts w:eastAsia="Times New Roman" w:cs="Arial"/>
                <w:b/>
                <w:bCs/>
                <w:iCs/>
                <w:color w:val="000000"/>
                <w:sz w:val="18"/>
                <w:szCs w:val="18"/>
                <w:lang w:val="en-GB" w:eastAsia="fr-FR"/>
              </w:rPr>
              <w:t xml:space="preserve"> </w:t>
            </w:r>
          </w:p>
        </w:tc>
        <w:tc>
          <w:tcPr>
            <w:tcW w:w="924" w:type="dxa"/>
            <w:tcBorders>
              <w:top w:val="nil"/>
              <w:left w:val="nil"/>
              <w:bottom w:val="nil"/>
              <w:right w:val="nil"/>
            </w:tcBorders>
            <w:shd w:val="clear" w:color="auto" w:fill="auto"/>
            <w:noWrap/>
            <w:vAlign w:val="bottom"/>
            <w:hideMark/>
          </w:tcPr>
          <w:p w14:paraId="59F2FE6A" w14:textId="77777777" w:rsidR="00966E2C" w:rsidRPr="00397EC7" w:rsidRDefault="00966E2C" w:rsidP="00643360">
            <w:pPr>
              <w:spacing w:after="0" w:line="240" w:lineRule="auto"/>
              <w:jc w:val="center"/>
              <w:rPr>
                <w:rFonts w:eastAsia="Times New Roman" w:cs="Arial"/>
                <w:b/>
                <w:bCs/>
                <w:iCs/>
                <w:color w:val="000000"/>
                <w:sz w:val="18"/>
                <w:szCs w:val="18"/>
                <w:lang w:val="en-GB" w:eastAsia="fr-FR"/>
              </w:rPr>
            </w:pPr>
          </w:p>
        </w:tc>
      </w:tr>
      <w:tr w:rsidR="00966E2C" w:rsidRPr="00397EC7" w14:paraId="1740F47A" w14:textId="77777777" w:rsidTr="00995C5C">
        <w:trPr>
          <w:trHeight w:val="20"/>
          <w:jc w:val="center"/>
        </w:trPr>
        <w:tc>
          <w:tcPr>
            <w:tcW w:w="4555" w:type="dxa"/>
            <w:tcBorders>
              <w:top w:val="nil"/>
              <w:left w:val="nil"/>
              <w:right w:val="nil"/>
            </w:tcBorders>
            <w:shd w:val="clear" w:color="auto" w:fill="auto"/>
            <w:noWrap/>
            <w:vAlign w:val="bottom"/>
            <w:hideMark/>
          </w:tcPr>
          <w:p w14:paraId="3F0FAA06" w14:textId="1F3A421D"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w:t>
            </w:r>
            <w:r w:rsidR="00643360" w:rsidRPr="00397EC7">
              <w:rPr>
                <w:rFonts w:eastAsia="Times New Roman" w:cs="Arial"/>
                <w:color w:val="000000"/>
                <w:sz w:val="18"/>
                <w:szCs w:val="18"/>
                <w:lang w:val="en-GB" w:eastAsia="fr-FR"/>
              </w:rPr>
              <w:t>a</w:t>
            </w:r>
            <w:r w:rsidRPr="00397EC7">
              <w:rPr>
                <w:rFonts w:eastAsia="Times New Roman" w:cs="Arial"/>
                <w:color w:val="000000"/>
                <w:sz w:val="18"/>
                <w:szCs w:val="18"/>
                <w:lang w:val="en-GB" w:eastAsia="fr-FR"/>
              </w:rPr>
              <w:t>ntiplatelet</w:t>
            </w:r>
            <w:r w:rsidR="00643360" w:rsidRPr="00397EC7">
              <w:rPr>
                <w:rFonts w:eastAsia="Times New Roman" w:cs="Arial"/>
                <w:color w:val="000000"/>
                <w:sz w:val="18"/>
                <w:szCs w:val="18"/>
                <w:lang w:val="en-GB" w:eastAsia="fr-FR"/>
              </w:rPr>
              <w:t xml:space="preserve"> drug</w:t>
            </w:r>
            <w:r w:rsidRPr="00397EC7">
              <w:rPr>
                <w:rFonts w:eastAsia="Times New Roman" w:cs="Arial"/>
                <w:color w:val="000000"/>
                <w:sz w:val="18"/>
                <w:szCs w:val="18"/>
                <w:lang w:val="en-GB" w:eastAsia="fr-FR"/>
              </w:rPr>
              <w:t>s</w:t>
            </w:r>
          </w:p>
        </w:tc>
        <w:tc>
          <w:tcPr>
            <w:tcW w:w="1669" w:type="dxa"/>
            <w:tcBorders>
              <w:top w:val="nil"/>
              <w:left w:val="nil"/>
              <w:right w:val="nil"/>
            </w:tcBorders>
            <w:shd w:val="clear" w:color="auto" w:fill="auto"/>
            <w:noWrap/>
            <w:vAlign w:val="bottom"/>
            <w:hideMark/>
          </w:tcPr>
          <w:p w14:paraId="56FA748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4.53 [4.17-4.93]</w:t>
            </w:r>
          </w:p>
        </w:tc>
        <w:tc>
          <w:tcPr>
            <w:tcW w:w="851" w:type="dxa"/>
            <w:tcBorders>
              <w:top w:val="nil"/>
              <w:left w:val="nil"/>
              <w:right w:val="nil"/>
            </w:tcBorders>
            <w:shd w:val="clear" w:color="auto" w:fill="auto"/>
            <w:noWrap/>
            <w:vAlign w:val="bottom"/>
            <w:hideMark/>
          </w:tcPr>
          <w:p w14:paraId="615562C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right w:val="nil"/>
            </w:tcBorders>
            <w:shd w:val="clear" w:color="auto" w:fill="auto"/>
            <w:noWrap/>
            <w:vAlign w:val="bottom"/>
            <w:hideMark/>
          </w:tcPr>
          <w:p w14:paraId="23BADF7B"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right w:val="nil"/>
            </w:tcBorders>
            <w:shd w:val="clear" w:color="auto" w:fill="auto"/>
            <w:noWrap/>
            <w:vAlign w:val="bottom"/>
            <w:hideMark/>
          </w:tcPr>
          <w:p w14:paraId="531C493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1.20 [1.04-1.40]</w:t>
            </w:r>
          </w:p>
        </w:tc>
        <w:tc>
          <w:tcPr>
            <w:tcW w:w="924" w:type="dxa"/>
            <w:tcBorders>
              <w:top w:val="nil"/>
              <w:left w:val="nil"/>
              <w:right w:val="nil"/>
            </w:tcBorders>
            <w:shd w:val="clear" w:color="auto" w:fill="auto"/>
            <w:noWrap/>
            <w:vAlign w:val="bottom"/>
            <w:hideMark/>
          </w:tcPr>
          <w:p w14:paraId="7F31095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0.01</w:t>
            </w:r>
          </w:p>
        </w:tc>
      </w:tr>
      <w:tr w:rsidR="00966E2C" w:rsidRPr="00397EC7" w14:paraId="679482AD" w14:textId="77777777" w:rsidTr="00995C5C">
        <w:trPr>
          <w:trHeight w:val="20"/>
          <w:jc w:val="center"/>
        </w:trPr>
        <w:tc>
          <w:tcPr>
            <w:tcW w:w="4555" w:type="dxa"/>
            <w:tcBorders>
              <w:top w:val="nil"/>
              <w:left w:val="nil"/>
              <w:bottom w:val="single" w:sz="4" w:space="0" w:color="auto"/>
              <w:right w:val="nil"/>
            </w:tcBorders>
            <w:shd w:val="clear" w:color="auto" w:fill="auto"/>
            <w:noWrap/>
            <w:vAlign w:val="bottom"/>
            <w:hideMark/>
          </w:tcPr>
          <w:p w14:paraId="31EFAF15"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anticoagulants</w:t>
            </w:r>
          </w:p>
        </w:tc>
        <w:tc>
          <w:tcPr>
            <w:tcW w:w="1669" w:type="dxa"/>
            <w:tcBorders>
              <w:top w:val="nil"/>
              <w:left w:val="nil"/>
              <w:bottom w:val="single" w:sz="4" w:space="0" w:color="auto"/>
              <w:right w:val="nil"/>
            </w:tcBorders>
            <w:shd w:val="clear" w:color="auto" w:fill="auto"/>
            <w:noWrap/>
            <w:vAlign w:val="bottom"/>
            <w:hideMark/>
          </w:tcPr>
          <w:p w14:paraId="531C8C6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7.10 [6.47-7.79]</w:t>
            </w:r>
          </w:p>
        </w:tc>
        <w:tc>
          <w:tcPr>
            <w:tcW w:w="851" w:type="dxa"/>
            <w:tcBorders>
              <w:top w:val="nil"/>
              <w:left w:val="nil"/>
              <w:bottom w:val="single" w:sz="4" w:space="0" w:color="auto"/>
              <w:right w:val="nil"/>
            </w:tcBorders>
            <w:shd w:val="clear" w:color="auto" w:fill="auto"/>
            <w:noWrap/>
            <w:vAlign w:val="bottom"/>
            <w:hideMark/>
          </w:tcPr>
          <w:p w14:paraId="094301BF"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single" w:sz="4" w:space="0" w:color="auto"/>
              <w:right w:val="nil"/>
            </w:tcBorders>
            <w:shd w:val="clear" w:color="auto" w:fill="auto"/>
            <w:noWrap/>
            <w:vAlign w:val="bottom"/>
            <w:hideMark/>
          </w:tcPr>
          <w:p w14:paraId="6AA6A3F2"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541" w:type="dxa"/>
            <w:tcBorders>
              <w:top w:val="nil"/>
              <w:left w:val="nil"/>
              <w:bottom w:val="single" w:sz="4" w:space="0" w:color="auto"/>
              <w:right w:val="nil"/>
            </w:tcBorders>
            <w:shd w:val="clear" w:color="auto" w:fill="auto"/>
            <w:noWrap/>
            <w:vAlign w:val="bottom"/>
            <w:hideMark/>
          </w:tcPr>
          <w:p w14:paraId="15EC778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1.50 [1.22-1.83]</w:t>
            </w:r>
          </w:p>
        </w:tc>
        <w:tc>
          <w:tcPr>
            <w:tcW w:w="924" w:type="dxa"/>
            <w:tcBorders>
              <w:top w:val="nil"/>
              <w:left w:val="nil"/>
              <w:bottom w:val="single" w:sz="4" w:space="0" w:color="auto"/>
              <w:right w:val="nil"/>
            </w:tcBorders>
            <w:shd w:val="clear" w:color="auto" w:fill="auto"/>
            <w:noWrap/>
            <w:vAlign w:val="bottom"/>
            <w:hideMark/>
          </w:tcPr>
          <w:p w14:paraId="2BB205C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bl>
    <w:p w14:paraId="025EF0E4" w14:textId="77777777" w:rsidR="00E32B55" w:rsidRPr="00397EC7" w:rsidRDefault="00E32B55" w:rsidP="00966E2C">
      <w:pPr>
        <w:pStyle w:val="Citationintense"/>
        <w:rPr>
          <w:rFonts w:cs="Arial"/>
          <w:b w:val="0"/>
          <w:sz w:val="16"/>
          <w:lang w:val="en-GB"/>
        </w:rPr>
      </w:pPr>
    </w:p>
    <w:p w14:paraId="54055063" w14:textId="77777777" w:rsidR="00995C5C" w:rsidRPr="00397EC7" w:rsidRDefault="00995C5C">
      <w:pPr>
        <w:spacing w:line="276" w:lineRule="auto"/>
        <w:jc w:val="left"/>
        <w:rPr>
          <w:rFonts w:cs="Arial"/>
          <w:b/>
          <w:bCs/>
          <w:sz w:val="22"/>
          <w:szCs w:val="18"/>
          <w:lang w:val="en-GB"/>
        </w:rPr>
      </w:pPr>
      <w:r w:rsidRPr="00397EC7">
        <w:rPr>
          <w:rFonts w:cs="Arial"/>
          <w:lang w:val="en-GB"/>
        </w:rPr>
        <w:br w:type="page"/>
      </w:r>
    </w:p>
    <w:p w14:paraId="31579C1B" w14:textId="71BDDE1D" w:rsidR="00995C5C" w:rsidRPr="00397EC7" w:rsidRDefault="00A6091F" w:rsidP="00995C5C">
      <w:pPr>
        <w:pStyle w:val="Lgende"/>
        <w:spacing w:before="240"/>
        <w:rPr>
          <w:rFonts w:cs="Arial"/>
          <w:sz w:val="20"/>
          <w:lang w:val="en-GB"/>
        </w:rPr>
      </w:pPr>
      <w:r w:rsidRPr="00397EC7">
        <w:rPr>
          <w:rStyle w:val="Titredulivre"/>
          <w:rFonts w:cs="Times New Roman"/>
          <w:lang w:val="en-GB"/>
        </w:rPr>
        <w:lastRenderedPageBreak/>
        <w:t xml:space="preserve">Supplemental Table </w:t>
      </w:r>
      <w:r w:rsidR="00814A7A" w:rsidRPr="00397EC7">
        <w:rPr>
          <w:rFonts w:cs="Arial"/>
          <w:sz w:val="20"/>
          <w:lang w:val="en-GB"/>
        </w:rPr>
        <w:t>6</w:t>
      </w:r>
      <w:r w:rsidR="00995C5C" w:rsidRPr="00397EC7">
        <w:rPr>
          <w:rFonts w:cs="Arial"/>
          <w:sz w:val="20"/>
          <w:lang w:val="en-GB"/>
        </w:rPr>
        <w:t>: Characteristics associated with renal adverse events: unadjusted logistic regression models (N = 4,088,799) (continued).</w:t>
      </w:r>
    </w:p>
    <w:tbl>
      <w:tblPr>
        <w:tblW w:w="9731" w:type="dxa"/>
        <w:jc w:val="center"/>
        <w:tblCellMar>
          <w:left w:w="70" w:type="dxa"/>
          <w:right w:w="70" w:type="dxa"/>
        </w:tblCellMar>
        <w:tblLook w:val="04A0" w:firstRow="1" w:lastRow="0" w:firstColumn="1" w:lastColumn="0" w:noHBand="0" w:noVBand="1"/>
      </w:tblPr>
      <w:tblGrid>
        <w:gridCol w:w="4555"/>
        <w:gridCol w:w="1669"/>
        <w:gridCol w:w="851"/>
        <w:gridCol w:w="191"/>
        <w:gridCol w:w="1541"/>
        <w:gridCol w:w="924"/>
      </w:tblGrid>
      <w:tr w:rsidR="00995C5C" w:rsidRPr="00397EC7" w14:paraId="256FE631" w14:textId="77777777" w:rsidTr="00DB5008">
        <w:trPr>
          <w:trHeight w:val="20"/>
          <w:tblHeader/>
          <w:jc w:val="center"/>
        </w:trPr>
        <w:tc>
          <w:tcPr>
            <w:tcW w:w="4555" w:type="dxa"/>
            <w:tcBorders>
              <w:top w:val="single" w:sz="4" w:space="0" w:color="auto"/>
              <w:left w:val="nil"/>
              <w:bottom w:val="nil"/>
              <w:right w:val="nil"/>
            </w:tcBorders>
            <w:shd w:val="clear" w:color="auto" w:fill="auto"/>
            <w:noWrap/>
            <w:vAlign w:val="bottom"/>
            <w:hideMark/>
          </w:tcPr>
          <w:p w14:paraId="780891B4" w14:textId="77777777" w:rsidR="00995C5C" w:rsidRPr="00397EC7" w:rsidRDefault="00995C5C" w:rsidP="00DB5008">
            <w:pPr>
              <w:spacing w:after="0" w:line="240" w:lineRule="auto"/>
              <w:jc w:val="left"/>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2520" w:type="dxa"/>
            <w:gridSpan w:val="2"/>
            <w:tcBorders>
              <w:top w:val="single" w:sz="4" w:space="0" w:color="auto"/>
              <w:left w:val="nil"/>
              <w:bottom w:val="single" w:sz="4" w:space="0" w:color="auto"/>
              <w:right w:val="nil"/>
            </w:tcBorders>
            <w:shd w:val="clear" w:color="auto" w:fill="auto"/>
            <w:noWrap/>
            <w:vAlign w:val="bottom"/>
            <w:hideMark/>
          </w:tcPr>
          <w:p w14:paraId="7BCAB01B" w14:textId="77777777" w:rsidR="00995C5C" w:rsidRPr="00397EC7" w:rsidRDefault="00995C5C"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Acute renal failure</w:t>
            </w:r>
          </w:p>
        </w:tc>
        <w:tc>
          <w:tcPr>
            <w:tcW w:w="191" w:type="dxa"/>
            <w:tcBorders>
              <w:top w:val="single" w:sz="4" w:space="0" w:color="auto"/>
              <w:left w:val="nil"/>
              <w:bottom w:val="nil"/>
              <w:right w:val="nil"/>
            </w:tcBorders>
            <w:shd w:val="clear" w:color="auto" w:fill="auto"/>
            <w:noWrap/>
            <w:vAlign w:val="bottom"/>
            <w:hideMark/>
          </w:tcPr>
          <w:p w14:paraId="29D2F678" w14:textId="77777777" w:rsidR="00995C5C" w:rsidRPr="00397EC7" w:rsidRDefault="00995C5C"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2465" w:type="dxa"/>
            <w:gridSpan w:val="2"/>
            <w:tcBorders>
              <w:top w:val="single" w:sz="4" w:space="0" w:color="auto"/>
              <w:left w:val="nil"/>
              <w:bottom w:val="single" w:sz="4" w:space="0" w:color="auto"/>
              <w:right w:val="nil"/>
            </w:tcBorders>
            <w:shd w:val="clear" w:color="auto" w:fill="auto"/>
            <w:noWrap/>
            <w:vAlign w:val="bottom"/>
            <w:hideMark/>
          </w:tcPr>
          <w:p w14:paraId="1D461A69" w14:textId="77777777" w:rsidR="00995C5C" w:rsidRPr="00397EC7" w:rsidRDefault="00995C5C"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Urolithiasis</w:t>
            </w:r>
          </w:p>
        </w:tc>
      </w:tr>
      <w:tr w:rsidR="00995C5C" w:rsidRPr="00397EC7" w14:paraId="1BF9F4C3" w14:textId="77777777" w:rsidTr="00DB5008">
        <w:trPr>
          <w:trHeight w:val="20"/>
          <w:tblHeader/>
          <w:jc w:val="center"/>
        </w:trPr>
        <w:tc>
          <w:tcPr>
            <w:tcW w:w="4555" w:type="dxa"/>
            <w:tcBorders>
              <w:left w:val="nil"/>
              <w:bottom w:val="single" w:sz="4" w:space="0" w:color="auto"/>
              <w:right w:val="nil"/>
            </w:tcBorders>
            <w:shd w:val="clear" w:color="auto" w:fill="auto"/>
            <w:noWrap/>
            <w:vAlign w:val="bottom"/>
            <w:hideMark/>
          </w:tcPr>
          <w:p w14:paraId="50DEBA8B" w14:textId="77777777" w:rsidR="00995C5C" w:rsidRPr="00397EC7" w:rsidRDefault="00995C5C"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669" w:type="dxa"/>
            <w:tcBorders>
              <w:top w:val="nil"/>
              <w:left w:val="nil"/>
              <w:bottom w:val="single" w:sz="4" w:space="0" w:color="auto"/>
              <w:right w:val="nil"/>
            </w:tcBorders>
            <w:shd w:val="clear" w:color="auto" w:fill="auto"/>
            <w:noWrap/>
            <w:vAlign w:val="bottom"/>
            <w:hideMark/>
          </w:tcPr>
          <w:p w14:paraId="0BA7510C" w14:textId="77777777" w:rsidR="00995C5C" w:rsidRPr="00397EC7" w:rsidRDefault="00995C5C"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OR [95%CI]</w:t>
            </w:r>
          </w:p>
        </w:tc>
        <w:tc>
          <w:tcPr>
            <w:tcW w:w="851" w:type="dxa"/>
            <w:tcBorders>
              <w:top w:val="nil"/>
              <w:left w:val="nil"/>
              <w:bottom w:val="single" w:sz="4" w:space="0" w:color="auto"/>
              <w:right w:val="nil"/>
            </w:tcBorders>
            <w:shd w:val="clear" w:color="auto" w:fill="auto"/>
            <w:noWrap/>
            <w:vAlign w:val="bottom"/>
            <w:hideMark/>
          </w:tcPr>
          <w:p w14:paraId="2CDCF813" w14:textId="77777777" w:rsidR="00995C5C" w:rsidRPr="00397EC7" w:rsidRDefault="00995C5C"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 value</w:t>
            </w:r>
          </w:p>
        </w:tc>
        <w:tc>
          <w:tcPr>
            <w:tcW w:w="191" w:type="dxa"/>
            <w:tcBorders>
              <w:top w:val="nil"/>
              <w:left w:val="nil"/>
              <w:bottom w:val="single" w:sz="4" w:space="0" w:color="auto"/>
              <w:right w:val="nil"/>
            </w:tcBorders>
            <w:shd w:val="clear" w:color="auto" w:fill="auto"/>
            <w:noWrap/>
            <w:vAlign w:val="bottom"/>
            <w:hideMark/>
          </w:tcPr>
          <w:p w14:paraId="3425CC04" w14:textId="77777777" w:rsidR="00995C5C" w:rsidRPr="00397EC7" w:rsidRDefault="00995C5C"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1541" w:type="dxa"/>
            <w:tcBorders>
              <w:top w:val="nil"/>
              <w:left w:val="nil"/>
              <w:bottom w:val="single" w:sz="4" w:space="0" w:color="auto"/>
              <w:right w:val="nil"/>
            </w:tcBorders>
            <w:shd w:val="clear" w:color="auto" w:fill="auto"/>
            <w:noWrap/>
            <w:vAlign w:val="bottom"/>
            <w:hideMark/>
          </w:tcPr>
          <w:p w14:paraId="29108A80" w14:textId="77777777" w:rsidR="00995C5C" w:rsidRPr="00397EC7" w:rsidRDefault="00995C5C"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OR [95%CI]</w:t>
            </w:r>
          </w:p>
        </w:tc>
        <w:tc>
          <w:tcPr>
            <w:tcW w:w="924" w:type="dxa"/>
            <w:tcBorders>
              <w:top w:val="nil"/>
              <w:left w:val="nil"/>
              <w:bottom w:val="single" w:sz="4" w:space="0" w:color="auto"/>
              <w:right w:val="nil"/>
            </w:tcBorders>
            <w:shd w:val="clear" w:color="auto" w:fill="auto"/>
            <w:noWrap/>
            <w:vAlign w:val="bottom"/>
            <w:hideMark/>
          </w:tcPr>
          <w:p w14:paraId="7A9E0A31" w14:textId="77777777" w:rsidR="00995C5C" w:rsidRPr="00397EC7" w:rsidRDefault="00995C5C"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 value</w:t>
            </w:r>
          </w:p>
        </w:tc>
      </w:tr>
      <w:tr w:rsidR="00E32B55" w:rsidRPr="00397EC7" w14:paraId="38F10DDC" w14:textId="77777777" w:rsidTr="00995C5C">
        <w:trPr>
          <w:trHeight w:val="20"/>
          <w:jc w:val="center"/>
        </w:trPr>
        <w:tc>
          <w:tcPr>
            <w:tcW w:w="4555" w:type="dxa"/>
            <w:tcBorders>
              <w:top w:val="single" w:sz="4" w:space="0" w:color="auto"/>
              <w:left w:val="nil"/>
              <w:bottom w:val="nil"/>
              <w:right w:val="nil"/>
            </w:tcBorders>
            <w:shd w:val="clear" w:color="000000" w:fill="F2F2F2"/>
            <w:noWrap/>
            <w:vAlign w:val="bottom"/>
            <w:hideMark/>
          </w:tcPr>
          <w:p w14:paraId="76517B0A" w14:textId="77777777" w:rsidR="00E32B55" w:rsidRPr="00397EC7" w:rsidRDefault="00E32B55" w:rsidP="00DB5008">
            <w:pPr>
              <w:spacing w:after="0" w:line="240" w:lineRule="auto"/>
              <w:jc w:val="left"/>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Colonoscopy characteristics</w:t>
            </w:r>
          </w:p>
        </w:tc>
        <w:tc>
          <w:tcPr>
            <w:tcW w:w="1669" w:type="dxa"/>
            <w:tcBorders>
              <w:top w:val="single" w:sz="4" w:space="0" w:color="auto"/>
              <w:left w:val="nil"/>
              <w:bottom w:val="nil"/>
              <w:right w:val="nil"/>
            </w:tcBorders>
            <w:shd w:val="clear" w:color="000000" w:fill="F2F2F2"/>
            <w:noWrap/>
            <w:vAlign w:val="bottom"/>
            <w:hideMark/>
          </w:tcPr>
          <w:p w14:paraId="2EEA1CA1" w14:textId="77777777" w:rsidR="00E32B55" w:rsidRPr="00397EC7" w:rsidRDefault="00E32B55"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xml:space="preserve"> </w:t>
            </w:r>
          </w:p>
        </w:tc>
        <w:tc>
          <w:tcPr>
            <w:tcW w:w="851" w:type="dxa"/>
            <w:tcBorders>
              <w:top w:val="single" w:sz="4" w:space="0" w:color="auto"/>
              <w:left w:val="nil"/>
              <w:bottom w:val="nil"/>
              <w:right w:val="nil"/>
            </w:tcBorders>
            <w:shd w:val="clear" w:color="000000" w:fill="F2F2F2"/>
            <w:noWrap/>
            <w:vAlign w:val="bottom"/>
            <w:hideMark/>
          </w:tcPr>
          <w:p w14:paraId="665918D7" w14:textId="77777777" w:rsidR="00E32B55" w:rsidRPr="00397EC7" w:rsidRDefault="00E32B55"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191" w:type="dxa"/>
            <w:tcBorders>
              <w:top w:val="single" w:sz="4" w:space="0" w:color="auto"/>
              <w:left w:val="nil"/>
              <w:bottom w:val="nil"/>
              <w:right w:val="nil"/>
            </w:tcBorders>
            <w:shd w:val="clear" w:color="000000" w:fill="F2F2F2"/>
            <w:noWrap/>
            <w:vAlign w:val="bottom"/>
            <w:hideMark/>
          </w:tcPr>
          <w:p w14:paraId="031ACD78" w14:textId="77777777" w:rsidR="00E32B55" w:rsidRPr="00397EC7" w:rsidRDefault="00E32B55"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1541" w:type="dxa"/>
            <w:tcBorders>
              <w:top w:val="single" w:sz="4" w:space="0" w:color="auto"/>
              <w:left w:val="nil"/>
              <w:bottom w:val="nil"/>
              <w:right w:val="nil"/>
            </w:tcBorders>
            <w:shd w:val="clear" w:color="000000" w:fill="F2F2F2"/>
            <w:noWrap/>
            <w:vAlign w:val="bottom"/>
            <w:hideMark/>
          </w:tcPr>
          <w:p w14:paraId="36493482" w14:textId="77777777" w:rsidR="00E32B55" w:rsidRPr="00397EC7" w:rsidRDefault="00E32B55"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xml:space="preserve"> </w:t>
            </w:r>
          </w:p>
        </w:tc>
        <w:tc>
          <w:tcPr>
            <w:tcW w:w="924" w:type="dxa"/>
            <w:tcBorders>
              <w:top w:val="single" w:sz="4" w:space="0" w:color="auto"/>
              <w:left w:val="nil"/>
              <w:bottom w:val="nil"/>
              <w:right w:val="nil"/>
            </w:tcBorders>
            <w:shd w:val="clear" w:color="000000" w:fill="F2F2F2"/>
            <w:noWrap/>
            <w:vAlign w:val="bottom"/>
            <w:hideMark/>
          </w:tcPr>
          <w:p w14:paraId="317036BF" w14:textId="77777777" w:rsidR="00E32B55" w:rsidRPr="00397EC7" w:rsidRDefault="00E32B55"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r>
      <w:tr w:rsidR="00E32B55" w:rsidRPr="00397EC7" w14:paraId="2C3A8BC7"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12AD8DE9" w14:textId="77777777" w:rsidR="00E32B55" w:rsidRPr="00397EC7" w:rsidRDefault="00E32B55" w:rsidP="00DB5008">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Polypectomy</w:t>
            </w:r>
          </w:p>
        </w:tc>
        <w:tc>
          <w:tcPr>
            <w:tcW w:w="1669" w:type="dxa"/>
            <w:tcBorders>
              <w:top w:val="nil"/>
              <w:left w:val="nil"/>
              <w:bottom w:val="nil"/>
              <w:right w:val="nil"/>
            </w:tcBorders>
            <w:shd w:val="clear" w:color="auto" w:fill="auto"/>
            <w:noWrap/>
            <w:vAlign w:val="bottom"/>
            <w:hideMark/>
          </w:tcPr>
          <w:p w14:paraId="2729E715" w14:textId="77777777" w:rsidR="00E32B55" w:rsidRPr="00397EC7" w:rsidRDefault="00E32B55" w:rsidP="00DB5008">
            <w:pPr>
              <w:spacing w:after="0" w:line="240" w:lineRule="auto"/>
              <w:jc w:val="center"/>
              <w:rPr>
                <w:rFonts w:eastAsia="Times New Roman" w:cs="Arial"/>
                <w:b/>
                <w:bCs/>
                <w:iCs/>
                <w:color w:val="000000"/>
                <w:sz w:val="18"/>
                <w:szCs w:val="18"/>
                <w:lang w:val="en-GB" w:eastAsia="fr-FR"/>
              </w:rPr>
            </w:pPr>
            <w:r w:rsidRPr="00397EC7">
              <w:rPr>
                <w:rFonts w:eastAsia="Times New Roman" w:cs="Arial"/>
                <w:b/>
                <w:bCs/>
                <w:iCs/>
                <w:color w:val="000000"/>
                <w:sz w:val="18"/>
                <w:szCs w:val="18"/>
                <w:lang w:val="en-GB" w:eastAsia="fr-FR"/>
              </w:rPr>
              <w:t xml:space="preserve"> </w:t>
            </w:r>
          </w:p>
        </w:tc>
        <w:tc>
          <w:tcPr>
            <w:tcW w:w="851" w:type="dxa"/>
            <w:tcBorders>
              <w:top w:val="nil"/>
              <w:left w:val="nil"/>
              <w:bottom w:val="nil"/>
              <w:right w:val="nil"/>
            </w:tcBorders>
            <w:shd w:val="clear" w:color="auto" w:fill="auto"/>
            <w:noWrap/>
            <w:vAlign w:val="bottom"/>
            <w:hideMark/>
          </w:tcPr>
          <w:p w14:paraId="0D92D664" w14:textId="77777777" w:rsidR="00E32B55" w:rsidRPr="00397EC7" w:rsidRDefault="00E32B55" w:rsidP="00DB5008">
            <w:pPr>
              <w:spacing w:after="0" w:line="240" w:lineRule="auto"/>
              <w:jc w:val="center"/>
              <w:rPr>
                <w:rFonts w:eastAsia="Times New Roman" w:cs="Arial"/>
                <w:b/>
                <w:bCs/>
                <w:iCs/>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553771ED" w14:textId="77777777" w:rsidR="00E32B55" w:rsidRPr="00397EC7" w:rsidRDefault="00E32B55" w:rsidP="00DB5008">
            <w:pPr>
              <w:spacing w:after="0" w:line="240" w:lineRule="auto"/>
              <w:jc w:val="center"/>
              <w:rPr>
                <w:rFonts w:eastAsia="Times New Roman" w:cs="Arial"/>
                <w:b/>
                <w:bCs/>
                <w:iCs/>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4B1A6265" w14:textId="77777777" w:rsidR="00E32B55" w:rsidRPr="00397EC7" w:rsidRDefault="00E32B55" w:rsidP="00DB5008">
            <w:pPr>
              <w:spacing w:after="0" w:line="240" w:lineRule="auto"/>
              <w:jc w:val="center"/>
              <w:rPr>
                <w:rFonts w:eastAsia="Times New Roman" w:cs="Arial"/>
                <w:b/>
                <w:bCs/>
                <w:iCs/>
                <w:color w:val="000000"/>
                <w:sz w:val="18"/>
                <w:szCs w:val="18"/>
                <w:lang w:val="en-GB" w:eastAsia="fr-FR"/>
              </w:rPr>
            </w:pPr>
            <w:r w:rsidRPr="00397EC7">
              <w:rPr>
                <w:rFonts w:eastAsia="Times New Roman" w:cs="Arial"/>
                <w:b/>
                <w:bCs/>
                <w:iCs/>
                <w:color w:val="000000"/>
                <w:sz w:val="18"/>
                <w:szCs w:val="18"/>
                <w:lang w:val="en-GB" w:eastAsia="fr-FR"/>
              </w:rPr>
              <w:t xml:space="preserve"> </w:t>
            </w:r>
          </w:p>
        </w:tc>
        <w:tc>
          <w:tcPr>
            <w:tcW w:w="924" w:type="dxa"/>
            <w:tcBorders>
              <w:top w:val="nil"/>
              <w:left w:val="nil"/>
              <w:bottom w:val="nil"/>
              <w:right w:val="nil"/>
            </w:tcBorders>
            <w:shd w:val="clear" w:color="auto" w:fill="auto"/>
            <w:noWrap/>
            <w:vAlign w:val="bottom"/>
            <w:hideMark/>
          </w:tcPr>
          <w:p w14:paraId="4E3D999A" w14:textId="77777777" w:rsidR="00E32B55" w:rsidRPr="00397EC7" w:rsidRDefault="00E32B55" w:rsidP="00DB5008">
            <w:pPr>
              <w:spacing w:after="0" w:line="240" w:lineRule="auto"/>
              <w:jc w:val="center"/>
              <w:rPr>
                <w:rFonts w:eastAsia="Times New Roman" w:cs="Arial"/>
                <w:b/>
                <w:bCs/>
                <w:iCs/>
                <w:color w:val="000000"/>
                <w:sz w:val="18"/>
                <w:szCs w:val="18"/>
                <w:lang w:val="en-GB" w:eastAsia="fr-FR"/>
              </w:rPr>
            </w:pPr>
          </w:p>
        </w:tc>
      </w:tr>
      <w:tr w:rsidR="00E32B55" w:rsidRPr="00397EC7" w14:paraId="4DF1FDAA"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5D111B2C" w14:textId="77777777" w:rsidR="00E32B55" w:rsidRPr="00397EC7" w:rsidRDefault="00E32B55"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no polypectomy</w:t>
            </w:r>
          </w:p>
        </w:tc>
        <w:tc>
          <w:tcPr>
            <w:tcW w:w="1669" w:type="dxa"/>
            <w:tcBorders>
              <w:top w:val="nil"/>
              <w:left w:val="nil"/>
              <w:bottom w:val="nil"/>
              <w:right w:val="nil"/>
            </w:tcBorders>
            <w:shd w:val="clear" w:color="auto" w:fill="auto"/>
            <w:noWrap/>
            <w:vAlign w:val="bottom"/>
            <w:hideMark/>
          </w:tcPr>
          <w:p w14:paraId="744C4491"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1" w:type="dxa"/>
            <w:tcBorders>
              <w:top w:val="nil"/>
              <w:left w:val="nil"/>
              <w:bottom w:val="nil"/>
              <w:right w:val="nil"/>
            </w:tcBorders>
            <w:shd w:val="clear" w:color="auto" w:fill="auto"/>
            <w:noWrap/>
            <w:vAlign w:val="bottom"/>
            <w:hideMark/>
          </w:tcPr>
          <w:p w14:paraId="2CEF69DC" w14:textId="77777777" w:rsidR="00E32B55" w:rsidRPr="00397EC7" w:rsidRDefault="00E32B55"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77BCE812" w14:textId="77777777" w:rsidR="00E32B55" w:rsidRPr="00397EC7" w:rsidRDefault="00E32B55"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252001DD"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24" w:type="dxa"/>
            <w:tcBorders>
              <w:top w:val="nil"/>
              <w:left w:val="nil"/>
              <w:bottom w:val="nil"/>
              <w:right w:val="nil"/>
            </w:tcBorders>
            <w:shd w:val="clear" w:color="auto" w:fill="auto"/>
            <w:noWrap/>
            <w:vAlign w:val="bottom"/>
            <w:hideMark/>
          </w:tcPr>
          <w:p w14:paraId="57F43068" w14:textId="77777777" w:rsidR="00E32B55" w:rsidRPr="00397EC7" w:rsidRDefault="00E32B55" w:rsidP="00DB5008">
            <w:pPr>
              <w:spacing w:after="0" w:line="240" w:lineRule="auto"/>
              <w:jc w:val="center"/>
              <w:rPr>
                <w:rFonts w:eastAsia="Times New Roman" w:cs="Arial"/>
                <w:color w:val="000000"/>
                <w:sz w:val="18"/>
                <w:szCs w:val="18"/>
                <w:lang w:val="en-GB" w:eastAsia="fr-FR"/>
              </w:rPr>
            </w:pPr>
          </w:p>
        </w:tc>
      </w:tr>
      <w:tr w:rsidR="00E32B55" w:rsidRPr="00397EC7" w14:paraId="3CD7749D"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579D5493" w14:textId="77777777" w:rsidR="00E32B55" w:rsidRPr="00397EC7" w:rsidRDefault="00E32B55"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polyp &lt;1 cm</w:t>
            </w:r>
          </w:p>
        </w:tc>
        <w:tc>
          <w:tcPr>
            <w:tcW w:w="1669" w:type="dxa"/>
            <w:tcBorders>
              <w:top w:val="nil"/>
              <w:left w:val="nil"/>
              <w:bottom w:val="nil"/>
              <w:right w:val="nil"/>
            </w:tcBorders>
            <w:shd w:val="clear" w:color="auto" w:fill="auto"/>
            <w:noWrap/>
            <w:vAlign w:val="bottom"/>
            <w:hideMark/>
          </w:tcPr>
          <w:p w14:paraId="49C261DF"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0.27 [0.23-0.31]</w:t>
            </w:r>
          </w:p>
        </w:tc>
        <w:tc>
          <w:tcPr>
            <w:tcW w:w="851" w:type="dxa"/>
            <w:tcBorders>
              <w:top w:val="nil"/>
              <w:left w:val="nil"/>
              <w:bottom w:val="nil"/>
              <w:right w:val="nil"/>
            </w:tcBorders>
            <w:shd w:val="clear" w:color="auto" w:fill="auto"/>
            <w:noWrap/>
            <w:vAlign w:val="bottom"/>
            <w:hideMark/>
          </w:tcPr>
          <w:p w14:paraId="41317304"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2116337A" w14:textId="77777777" w:rsidR="00E32B55" w:rsidRPr="00397EC7" w:rsidRDefault="00E32B55"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6BC18CAF"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0.83 [0.73-0.94]</w:t>
            </w:r>
          </w:p>
        </w:tc>
        <w:tc>
          <w:tcPr>
            <w:tcW w:w="924" w:type="dxa"/>
            <w:tcBorders>
              <w:top w:val="nil"/>
              <w:left w:val="nil"/>
              <w:bottom w:val="nil"/>
              <w:right w:val="nil"/>
            </w:tcBorders>
            <w:shd w:val="clear" w:color="auto" w:fill="auto"/>
            <w:noWrap/>
            <w:vAlign w:val="bottom"/>
            <w:hideMark/>
          </w:tcPr>
          <w:p w14:paraId="7B3F0CB5"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0.004</w:t>
            </w:r>
          </w:p>
        </w:tc>
      </w:tr>
      <w:tr w:rsidR="00E32B55" w:rsidRPr="00397EC7" w14:paraId="4D728131"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30A1846D" w14:textId="77777777" w:rsidR="00E32B55" w:rsidRPr="00397EC7" w:rsidRDefault="00E32B55"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polyp &gt;1 cm</w:t>
            </w:r>
          </w:p>
        </w:tc>
        <w:tc>
          <w:tcPr>
            <w:tcW w:w="1669" w:type="dxa"/>
            <w:tcBorders>
              <w:top w:val="nil"/>
              <w:left w:val="nil"/>
              <w:bottom w:val="nil"/>
              <w:right w:val="nil"/>
            </w:tcBorders>
            <w:shd w:val="clear" w:color="auto" w:fill="auto"/>
            <w:noWrap/>
            <w:vAlign w:val="bottom"/>
            <w:hideMark/>
          </w:tcPr>
          <w:p w14:paraId="3F6217D3"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0.54 [0.43-0.67]</w:t>
            </w:r>
          </w:p>
        </w:tc>
        <w:tc>
          <w:tcPr>
            <w:tcW w:w="851" w:type="dxa"/>
            <w:tcBorders>
              <w:top w:val="nil"/>
              <w:left w:val="nil"/>
              <w:bottom w:val="nil"/>
              <w:right w:val="nil"/>
            </w:tcBorders>
            <w:shd w:val="clear" w:color="auto" w:fill="auto"/>
            <w:noWrap/>
            <w:vAlign w:val="bottom"/>
            <w:hideMark/>
          </w:tcPr>
          <w:p w14:paraId="3138C568"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69F9F2C2" w14:textId="77777777" w:rsidR="00E32B55" w:rsidRPr="00397EC7" w:rsidRDefault="00E32B55"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34E2DD5C"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1.09 [0.86-1.37]</w:t>
            </w:r>
          </w:p>
        </w:tc>
        <w:tc>
          <w:tcPr>
            <w:tcW w:w="924" w:type="dxa"/>
            <w:tcBorders>
              <w:top w:val="nil"/>
              <w:left w:val="nil"/>
              <w:bottom w:val="nil"/>
              <w:right w:val="nil"/>
            </w:tcBorders>
            <w:shd w:val="clear" w:color="auto" w:fill="auto"/>
            <w:noWrap/>
            <w:vAlign w:val="bottom"/>
            <w:hideMark/>
          </w:tcPr>
          <w:p w14:paraId="7E52E6F0"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0.46</w:t>
            </w:r>
          </w:p>
        </w:tc>
      </w:tr>
      <w:tr w:rsidR="00E32B55" w:rsidRPr="00397EC7" w14:paraId="5125E712"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3CD32651" w14:textId="77777777" w:rsidR="00E32B55" w:rsidRPr="00397EC7" w:rsidRDefault="00E32B55" w:rsidP="00DB5008">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Bowel preparation</w:t>
            </w:r>
          </w:p>
        </w:tc>
        <w:tc>
          <w:tcPr>
            <w:tcW w:w="1669" w:type="dxa"/>
            <w:tcBorders>
              <w:top w:val="nil"/>
              <w:left w:val="nil"/>
              <w:bottom w:val="nil"/>
              <w:right w:val="nil"/>
            </w:tcBorders>
            <w:shd w:val="clear" w:color="auto" w:fill="auto"/>
            <w:noWrap/>
            <w:vAlign w:val="bottom"/>
            <w:hideMark/>
          </w:tcPr>
          <w:p w14:paraId="0B71D263" w14:textId="77777777" w:rsidR="00E32B55" w:rsidRPr="00397EC7" w:rsidRDefault="00E32B55" w:rsidP="00DB5008">
            <w:pPr>
              <w:spacing w:after="0" w:line="240" w:lineRule="auto"/>
              <w:jc w:val="center"/>
              <w:rPr>
                <w:rFonts w:eastAsia="Times New Roman" w:cs="Arial"/>
                <w:b/>
                <w:bCs/>
                <w:iCs/>
                <w:color w:val="000000"/>
                <w:sz w:val="18"/>
                <w:szCs w:val="18"/>
                <w:lang w:val="en-GB" w:eastAsia="fr-FR"/>
              </w:rPr>
            </w:pPr>
            <w:r w:rsidRPr="00397EC7">
              <w:rPr>
                <w:rFonts w:eastAsia="Times New Roman" w:cs="Arial"/>
                <w:b/>
                <w:bCs/>
                <w:iCs/>
                <w:color w:val="000000"/>
                <w:sz w:val="18"/>
                <w:szCs w:val="18"/>
                <w:lang w:val="en-GB" w:eastAsia="fr-FR"/>
              </w:rPr>
              <w:t xml:space="preserve"> </w:t>
            </w:r>
          </w:p>
        </w:tc>
        <w:tc>
          <w:tcPr>
            <w:tcW w:w="851" w:type="dxa"/>
            <w:tcBorders>
              <w:top w:val="nil"/>
              <w:left w:val="nil"/>
              <w:bottom w:val="nil"/>
              <w:right w:val="nil"/>
            </w:tcBorders>
            <w:shd w:val="clear" w:color="auto" w:fill="auto"/>
            <w:noWrap/>
            <w:vAlign w:val="bottom"/>
            <w:hideMark/>
          </w:tcPr>
          <w:p w14:paraId="28A0D517" w14:textId="77777777" w:rsidR="00E32B55" w:rsidRPr="00397EC7" w:rsidRDefault="00E32B55" w:rsidP="00DB5008">
            <w:pPr>
              <w:spacing w:after="0" w:line="240" w:lineRule="auto"/>
              <w:jc w:val="center"/>
              <w:rPr>
                <w:rFonts w:eastAsia="Times New Roman" w:cs="Arial"/>
                <w:b/>
                <w:bCs/>
                <w:iCs/>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3D1BA4E1" w14:textId="77777777" w:rsidR="00E32B55" w:rsidRPr="00397EC7" w:rsidRDefault="00E32B55" w:rsidP="00DB5008">
            <w:pPr>
              <w:spacing w:after="0" w:line="240" w:lineRule="auto"/>
              <w:jc w:val="center"/>
              <w:rPr>
                <w:rFonts w:eastAsia="Times New Roman" w:cs="Arial"/>
                <w:b/>
                <w:bCs/>
                <w:iCs/>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68911730" w14:textId="77777777" w:rsidR="00E32B55" w:rsidRPr="00397EC7" w:rsidRDefault="00E32B55" w:rsidP="00DB5008">
            <w:pPr>
              <w:spacing w:after="0" w:line="240" w:lineRule="auto"/>
              <w:jc w:val="center"/>
              <w:rPr>
                <w:rFonts w:eastAsia="Times New Roman" w:cs="Arial"/>
                <w:b/>
                <w:bCs/>
                <w:iCs/>
                <w:color w:val="000000"/>
                <w:sz w:val="18"/>
                <w:szCs w:val="18"/>
                <w:lang w:val="en-GB" w:eastAsia="fr-FR"/>
              </w:rPr>
            </w:pPr>
            <w:r w:rsidRPr="00397EC7">
              <w:rPr>
                <w:rFonts w:eastAsia="Times New Roman" w:cs="Arial"/>
                <w:b/>
                <w:bCs/>
                <w:iCs/>
                <w:color w:val="000000"/>
                <w:sz w:val="18"/>
                <w:szCs w:val="18"/>
                <w:lang w:val="en-GB" w:eastAsia="fr-FR"/>
              </w:rPr>
              <w:t xml:space="preserve"> </w:t>
            </w:r>
          </w:p>
        </w:tc>
        <w:tc>
          <w:tcPr>
            <w:tcW w:w="924" w:type="dxa"/>
            <w:tcBorders>
              <w:top w:val="nil"/>
              <w:left w:val="nil"/>
              <w:bottom w:val="nil"/>
              <w:right w:val="nil"/>
            </w:tcBorders>
            <w:shd w:val="clear" w:color="auto" w:fill="auto"/>
            <w:noWrap/>
            <w:vAlign w:val="bottom"/>
            <w:hideMark/>
          </w:tcPr>
          <w:p w14:paraId="21338945" w14:textId="77777777" w:rsidR="00E32B55" w:rsidRPr="00397EC7" w:rsidRDefault="00E32B55" w:rsidP="00DB5008">
            <w:pPr>
              <w:spacing w:after="0" w:line="240" w:lineRule="auto"/>
              <w:jc w:val="center"/>
              <w:rPr>
                <w:rFonts w:eastAsia="Times New Roman" w:cs="Arial"/>
                <w:b/>
                <w:bCs/>
                <w:iCs/>
                <w:color w:val="000000"/>
                <w:sz w:val="18"/>
                <w:szCs w:val="18"/>
                <w:lang w:val="en-GB" w:eastAsia="fr-FR"/>
              </w:rPr>
            </w:pPr>
          </w:p>
        </w:tc>
      </w:tr>
      <w:tr w:rsidR="00E32B55" w:rsidRPr="00397EC7" w14:paraId="46D032AA" w14:textId="77777777" w:rsidTr="00995C5C">
        <w:trPr>
          <w:trHeight w:val="20"/>
          <w:jc w:val="center"/>
        </w:trPr>
        <w:tc>
          <w:tcPr>
            <w:tcW w:w="4555" w:type="dxa"/>
            <w:tcBorders>
              <w:top w:val="nil"/>
              <w:left w:val="nil"/>
              <w:right w:val="nil"/>
            </w:tcBorders>
            <w:shd w:val="clear" w:color="auto" w:fill="auto"/>
            <w:noWrap/>
            <w:vAlign w:val="bottom"/>
            <w:hideMark/>
          </w:tcPr>
          <w:p w14:paraId="361E708F" w14:textId="77777777" w:rsidR="00E32B55" w:rsidRPr="00397EC7" w:rsidRDefault="00E32B55"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polyethylene glycol</w:t>
            </w:r>
          </w:p>
        </w:tc>
        <w:tc>
          <w:tcPr>
            <w:tcW w:w="1669" w:type="dxa"/>
            <w:tcBorders>
              <w:top w:val="nil"/>
              <w:left w:val="nil"/>
              <w:right w:val="nil"/>
            </w:tcBorders>
            <w:shd w:val="clear" w:color="auto" w:fill="auto"/>
            <w:noWrap/>
            <w:vAlign w:val="bottom"/>
            <w:hideMark/>
          </w:tcPr>
          <w:p w14:paraId="48D101AE"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1" w:type="dxa"/>
            <w:tcBorders>
              <w:top w:val="nil"/>
              <w:left w:val="nil"/>
              <w:right w:val="nil"/>
            </w:tcBorders>
            <w:shd w:val="clear" w:color="auto" w:fill="auto"/>
            <w:noWrap/>
            <w:vAlign w:val="bottom"/>
            <w:hideMark/>
          </w:tcPr>
          <w:p w14:paraId="153A40FD" w14:textId="77777777" w:rsidR="00E32B55" w:rsidRPr="00397EC7" w:rsidRDefault="00E32B55"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right w:val="nil"/>
            </w:tcBorders>
            <w:shd w:val="clear" w:color="auto" w:fill="auto"/>
            <w:noWrap/>
            <w:vAlign w:val="bottom"/>
            <w:hideMark/>
          </w:tcPr>
          <w:p w14:paraId="76DBD60A" w14:textId="77777777" w:rsidR="00E32B55" w:rsidRPr="00397EC7" w:rsidRDefault="00E32B55"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right w:val="nil"/>
            </w:tcBorders>
            <w:shd w:val="clear" w:color="auto" w:fill="auto"/>
            <w:noWrap/>
            <w:vAlign w:val="bottom"/>
            <w:hideMark/>
          </w:tcPr>
          <w:p w14:paraId="6AAF3D4F"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24" w:type="dxa"/>
            <w:tcBorders>
              <w:top w:val="nil"/>
              <w:left w:val="nil"/>
              <w:right w:val="nil"/>
            </w:tcBorders>
            <w:shd w:val="clear" w:color="auto" w:fill="auto"/>
            <w:noWrap/>
            <w:vAlign w:val="bottom"/>
            <w:hideMark/>
          </w:tcPr>
          <w:p w14:paraId="5FCFED51" w14:textId="77777777" w:rsidR="00E32B55" w:rsidRPr="00397EC7" w:rsidRDefault="00E32B55" w:rsidP="00DB5008">
            <w:pPr>
              <w:spacing w:after="0" w:line="240" w:lineRule="auto"/>
              <w:jc w:val="center"/>
              <w:rPr>
                <w:rFonts w:eastAsia="Times New Roman" w:cs="Arial"/>
                <w:color w:val="000000"/>
                <w:sz w:val="18"/>
                <w:szCs w:val="18"/>
                <w:lang w:val="en-GB" w:eastAsia="fr-FR"/>
              </w:rPr>
            </w:pPr>
          </w:p>
        </w:tc>
      </w:tr>
      <w:tr w:rsidR="00E32B55" w:rsidRPr="00397EC7" w14:paraId="0615FED8" w14:textId="77777777" w:rsidTr="00995C5C">
        <w:trPr>
          <w:trHeight w:val="20"/>
          <w:jc w:val="center"/>
        </w:trPr>
        <w:tc>
          <w:tcPr>
            <w:tcW w:w="4555" w:type="dxa"/>
            <w:tcBorders>
              <w:top w:val="nil"/>
              <w:left w:val="nil"/>
              <w:right w:val="nil"/>
            </w:tcBorders>
            <w:shd w:val="clear" w:color="auto" w:fill="auto"/>
            <w:noWrap/>
            <w:vAlign w:val="bottom"/>
            <w:hideMark/>
          </w:tcPr>
          <w:p w14:paraId="3C346F5C" w14:textId="77777777" w:rsidR="00E32B55" w:rsidRPr="00397EC7" w:rsidRDefault="00E32B55"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phosphate preparation</w:t>
            </w:r>
          </w:p>
        </w:tc>
        <w:tc>
          <w:tcPr>
            <w:tcW w:w="1669" w:type="dxa"/>
            <w:tcBorders>
              <w:top w:val="nil"/>
              <w:left w:val="nil"/>
              <w:right w:val="nil"/>
            </w:tcBorders>
            <w:shd w:val="clear" w:color="auto" w:fill="auto"/>
            <w:noWrap/>
            <w:vAlign w:val="bottom"/>
            <w:hideMark/>
          </w:tcPr>
          <w:p w14:paraId="42A100D3"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0.43 [0.30-0.61]</w:t>
            </w:r>
          </w:p>
        </w:tc>
        <w:tc>
          <w:tcPr>
            <w:tcW w:w="851" w:type="dxa"/>
            <w:tcBorders>
              <w:top w:val="nil"/>
              <w:left w:val="nil"/>
              <w:right w:val="nil"/>
            </w:tcBorders>
            <w:shd w:val="clear" w:color="auto" w:fill="auto"/>
            <w:noWrap/>
            <w:vAlign w:val="bottom"/>
            <w:hideMark/>
          </w:tcPr>
          <w:p w14:paraId="35A987C7"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right w:val="nil"/>
            </w:tcBorders>
            <w:shd w:val="clear" w:color="auto" w:fill="auto"/>
            <w:noWrap/>
            <w:vAlign w:val="bottom"/>
            <w:hideMark/>
          </w:tcPr>
          <w:p w14:paraId="43CAB110" w14:textId="77777777" w:rsidR="00E32B55" w:rsidRPr="00397EC7" w:rsidRDefault="00E32B55"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right w:val="nil"/>
            </w:tcBorders>
            <w:shd w:val="clear" w:color="auto" w:fill="auto"/>
            <w:noWrap/>
            <w:vAlign w:val="bottom"/>
            <w:hideMark/>
          </w:tcPr>
          <w:p w14:paraId="51F78F7F"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1.04 [0.87-1.25]</w:t>
            </w:r>
          </w:p>
        </w:tc>
        <w:tc>
          <w:tcPr>
            <w:tcW w:w="924" w:type="dxa"/>
            <w:tcBorders>
              <w:top w:val="nil"/>
              <w:left w:val="nil"/>
              <w:right w:val="nil"/>
            </w:tcBorders>
            <w:shd w:val="clear" w:color="auto" w:fill="auto"/>
            <w:noWrap/>
            <w:vAlign w:val="bottom"/>
            <w:hideMark/>
          </w:tcPr>
          <w:p w14:paraId="2148EF6D"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0.61</w:t>
            </w:r>
          </w:p>
        </w:tc>
      </w:tr>
      <w:tr w:rsidR="00E32B55" w:rsidRPr="00397EC7" w14:paraId="398E8449" w14:textId="77777777" w:rsidTr="00995C5C">
        <w:trPr>
          <w:trHeight w:val="20"/>
          <w:jc w:val="center"/>
        </w:trPr>
        <w:tc>
          <w:tcPr>
            <w:tcW w:w="4555" w:type="dxa"/>
            <w:tcBorders>
              <w:left w:val="nil"/>
              <w:bottom w:val="nil"/>
              <w:right w:val="nil"/>
            </w:tcBorders>
            <w:shd w:val="clear" w:color="auto" w:fill="auto"/>
            <w:noWrap/>
            <w:vAlign w:val="bottom"/>
            <w:hideMark/>
          </w:tcPr>
          <w:p w14:paraId="14DE5A92" w14:textId="77777777" w:rsidR="00E32B55" w:rsidRPr="00397EC7" w:rsidRDefault="00E32B55"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magnesium preparation</w:t>
            </w:r>
          </w:p>
        </w:tc>
        <w:tc>
          <w:tcPr>
            <w:tcW w:w="1669" w:type="dxa"/>
            <w:tcBorders>
              <w:left w:val="nil"/>
              <w:bottom w:val="nil"/>
              <w:right w:val="nil"/>
            </w:tcBorders>
            <w:shd w:val="clear" w:color="auto" w:fill="auto"/>
            <w:noWrap/>
            <w:vAlign w:val="bottom"/>
            <w:hideMark/>
          </w:tcPr>
          <w:p w14:paraId="31454C10"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0.50 [0.38-0.66]</w:t>
            </w:r>
          </w:p>
        </w:tc>
        <w:tc>
          <w:tcPr>
            <w:tcW w:w="851" w:type="dxa"/>
            <w:tcBorders>
              <w:left w:val="nil"/>
              <w:bottom w:val="nil"/>
              <w:right w:val="nil"/>
            </w:tcBorders>
            <w:shd w:val="clear" w:color="auto" w:fill="auto"/>
            <w:noWrap/>
            <w:vAlign w:val="bottom"/>
            <w:hideMark/>
          </w:tcPr>
          <w:p w14:paraId="4A83BE0E"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left w:val="nil"/>
              <w:bottom w:val="nil"/>
              <w:right w:val="nil"/>
            </w:tcBorders>
            <w:shd w:val="clear" w:color="auto" w:fill="auto"/>
            <w:noWrap/>
            <w:vAlign w:val="bottom"/>
            <w:hideMark/>
          </w:tcPr>
          <w:p w14:paraId="3B1EFA6D" w14:textId="77777777" w:rsidR="00E32B55" w:rsidRPr="00397EC7" w:rsidRDefault="00E32B55" w:rsidP="00DB5008">
            <w:pPr>
              <w:spacing w:after="0" w:line="240" w:lineRule="auto"/>
              <w:jc w:val="center"/>
              <w:rPr>
                <w:rFonts w:eastAsia="Times New Roman" w:cs="Arial"/>
                <w:color w:val="000000"/>
                <w:sz w:val="18"/>
                <w:szCs w:val="18"/>
                <w:lang w:val="en-GB" w:eastAsia="fr-FR"/>
              </w:rPr>
            </w:pPr>
          </w:p>
        </w:tc>
        <w:tc>
          <w:tcPr>
            <w:tcW w:w="1541" w:type="dxa"/>
            <w:tcBorders>
              <w:left w:val="nil"/>
              <w:bottom w:val="nil"/>
              <w:right w:val="nil"/>
            </w:tcBorders>
            <w:shd w:val="clear" w:color="auto" w:fill="auto"/>
            <w:noWrap/>
            <w:vAlign w:val="bottom"/>
            <w:hideMark/>
          </w:tcPr>
          <w:p w14:paraId="2E79EB2F"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1.07 [0.92-1.24]</w:t>
            </w:r>
          </w:p>
        </w:tc>
        <w:tc>
          <w:tcPr>
            <w:tcW w:w="924" w:type="dxa"/>
            <w:tcBorders>
              <w:left w:val="nil"/>
              <w:bottom w:val="nil"/>
              <w:right w:val="nil"/>
            </w:tcBorders>
            <w:shd w:val="clear" w:color="auto" w:fill="auto"/>
            <w:noWrap/>
            <w:vAlign w:val="bottom"/>
            <w:hideMark/>
          </w:tcPr>
          <w:p w14:paraId="16403DC6"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0.36</w:t>
            </w:r>
          </w:p>
        </w:tc>
      </w:tr>
      <w:tr w:rsidR="00E32B55" w:rsidRPr="00397EC7" w14:paraId="4A5B4F2B"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2B75B691" w14:textId="77777777" w:rsidR="00E32B55" w:rsidRPr="00397EC7" w:rsidRDefault="00E32B55"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not retrieved</w:t>
            </w:r>
          </w:p>
        </w:tc>
        <w:tc>
          <w:tcPr>
            <w:tcW w:w="1669" w:type="dxa"/>
            <w:tcBorders>
              <w:top w:val="nil"/>
              <w:left w:val="nil"/>
              <w:bottom w:val="nil"/>
              <w:right w:val="nil"/>
            </w:tcBorders>
            <w:shd w:val="clear" w:color="auto" w:fill="auto"/>
            <w:noWrap/>
            <w:vAlign w:val="bottom"/>
            <w:hideMark/>
          </w:tcPr>
          <w:p w14:paraId="5DE9AE8B"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29.8 [26.4-33.7]</w:t>
            </w:r>
          </w:p>
        </w:tc>
        <w:tc>
          <w:tcPr>
            <w:tcW w:w="851" w:type="dxa"/>
            <w:tcBorders>
              <w:top w:val="nil"/>
              <w:left w:val="nil"/>
              <w:bottom w:val="nil"/>
              <w:right w:val="nil"/>
            </w:tcBorders>
            <w:shd w:val="clear" w:color="auto" w:fill="auto"/>
            <w:noWrap/>
            <w:vAlign w:val="bottom"/>
            <w:hideMark/>
          </w:tcPr>
          <w:p w14:paraId="68D9EA7A"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0B053E50" w14:textId="77777777" w:rsidR="00E32B55" w:rsidRPr="00397EC7" w:rsidRDefault="00E32B55"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63343D6E"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3.25 [2.85-3.70]</w:t>
            </w:r>
          </w:p>
        </w:tc>
        <w:tc>
          <w:tcPr>
            <w:tcW w:w="924" w:type="dxa"/>
            <w:tcBorders>
              <w:top w:val="nil"/>
              <w:left w:val="nil"/>
              <w:bottom w:val="nil"/>
              <w:right w:val="nil"/>
            </w:tcBorders>
            <w:shd w:val="clear" w:color="auto" w:fill="auto"/>
            <w:noWrap/>
            <w:vAlign w:val="bottom"/>
            <w:hideMark/>
          </w:tcPr>
          <w:p w14:paraId="662591E8"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E32B55" w:rsidRPr="00397EC7" w14:paraId="7B6A61DE"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2BF8EEF4" w14:textId="77777777" w:rsidR="00E32B55" w:rsidRPr="00397EC7" w:rsidRDefault="00E32B55" w:rsidP="00DB5008">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Sedation</w:t>
            </w:r>
          </w:p>
        </w:tc>
        <w:tc>
          <w:tcPr>
            <w:tcW w:w="1669" w:type="dxa"/>
            <w:tcBorders>
              <w:top w:val="nil"/>
              <w:left w:val="nil"/>
              <w:bottom w:val="nil"/>
              <w:right w:val="nil"/>
            </w:tcBorders>
            <w:shd w:val="clear" w:color="auto" w:fill="auto"/>
            <w:noWrap/>
            <w:vAlign w:val="bottom"/>
            <w:hideMark/>
          </w:tcPr>
          <w:p w14:paraId="07F3C150" w14:textId="77777777" w:rsidR="00E32B55" w:rsidRPr="00397EC7" w:rsidRDefault="00E32B55" w:rsidP="00DB5008">
            <w:pPr>
              <w:spacing w:after="0" w:line="240" w:lineRule="auto"/>
              <w:jc w:val="center"/>
              <w:rPr>
                <w:rFonts w:eastAsia="Times New Roman" w:cs="Arial"/>
                <w:b/>
                <w:bCs/>
                <w:iCs/>
                <w:color w:val="000000"/>
                <w:sz w:val="18"/>
                <w:szCs w:val="18"/>
                <w:lang w:val="en-GB" w:eastAsia="fr-FR"/>
              </w:rPr>
            </w:pPr>
            <w:r w:rsidRPr="00397EC7">
              <w:rPr>
                <w:rFonts w:eastAsia="Times New Roman" w:cs="Arial"/>
                <w:b/>
                <w:bCs/>
                <w:iCs/>
                <w:color w:val="000000"/>
                <w:sz w:val="18"/>
                <w:szCs w:val="18"/>
                <w:lang w:val="en-GB" w:eastAsia="fr-FR"/>
              </w:rPr>
              <w:t xml:space="preserve"> </w:t>
            </w:r>
          </w:p>
        </w:tc>
        <w:tc>
          <w:tcPr>
            <w:tcW w:w="851" w:type="dxa"/>
            <w:tcBorders>
              <w:top w:val="nil"/>
              <w:left w:val="nil"/>
              <w:bottom w:val="nil"/>
              <w:right w:val="nil"/>
            </w:tcBorders>
            <w:shd w:val="clear" w:color="auto" w:fill="auto"/>
            <w:noWrap/>
            <w:vAlign w:val="bottom"/>
            <w:hideMark/>
          </w:tcPr>
          <w:p w14:paraId="2D4BD628" w14:textId="77777777" w:rsidR="00E32B55" w:rsidRPr="00397EC7" w:rsidRDefault="00E32B55" w:rsidP="00DB5008">
            <w:pPr>
              <w:spacing w:after="0" w:line="240" w:lineRule="auto"/>
              <w:jc w:val="center"/>
              <w:rPr>
                <w:rFonts w:eastAsia="Times New Roman" w:cs="Arial"/>
                <w:b/>
                <w:bCs/>
                <w:iCs/>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516389EE" w14:textId="77777777" w:rsidR="00E32B55" w:rsidRPr="00397EC7" w:rsidRDefault="00E32B55" w:rsidP="00DB5008">
            <w:pPr>
              <w:spacing w:after="0" w:line="240" w:lineRule="auto"/>
              <w:jc w:val="center"/>
              <w:rPr>
                <w:rFonts w:eastAsia="Times New Roman" w:cs="Arial"/>
                <w:b/>
                <w:bCs/>
                <w:iCs/>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72AF61A6" w14:textId="77777777" w:rsidR="00E32B55" w:rsidRPr="00397EC7" w:rsidRDefault="00E32B55" w:rsidP="00DB5008">
            <w:pPr>
              <w:spacing w:after="0" w:line="240" w:lineRule="auto"/>
              <w:jc w:val="center"/>
              <w:rPr>
                <w:rFonts w:eastAsia="Times New Roman" w:cs="Arial"/>
                <w:b/>
                <w:bCs/>
                <w:iCs/>
                <w:color w:val="000000"/>
                <w:sz w:val="18"/>
                <w:szCs w:val="18"/>
                <w:lang w:val="en-GB" w:eastAsia="fr-FR"/>
              </w:rPr>
            </w:pPr>
            <w:r w:rsidRPr="00397EC7">
              <w:rPr>
                <w:rFonts w:eastAsia="Times New Roman" w:cs="Arial"/>
                <w:b/>
                <w:bCs/>
                <w:iCs/>
                <w:color w:val="000000"/>
                <w:sz w:val="18"/>
                <w:szCs w:val="18"/>
                <w:lang w:val="en-GB" w:eastAsia="fr-FR"/>
              </w:rPr>
              <w:t xml:space="preserve"> </w:t>
            </w:r>
          </w:p>
        </w:tc>
        <w:tc>
          <w:tcPr>
            <w:tcW w:w="924" w:type="dxa"/>
            <w:tcBorders>
              <w:top w:val="nil"/>
              <w:left w:val="nil"/>
              <w:bottom w:val="nil"/>
              <w:right w:val="nil"/>
            </w:tcBorders>
            <w:shd w:val="clear" w:color="auto" w:fill="auto"/>
            <w:noWrap/>
            <w:vAlign w:val="bottom"/>
            <w:hideMark/>
          </w:tcPr>
          <w:p w14:paraId="4D42169D" w14:textId="77777777" w:rsidR="00E32B55" w:rsidRPr="00397EC7" w:rsidRDefault="00E32B55" w:rsidP="00DB5008">
            <w:pPr>
              <w:spacing w:after="0" w:line="240" w:lineRule="auto"/>
              <w:jc w:val="center"/>
              <w:rPr>
                <w:rFonts w:eastAsia="Times New Roman" w:cs="Arial"/>
                <w:b/>
                <w:bCs/>
                <w:iCs/>
                <w:color w:val="000000"/>
                <w:sz w:val="18"/>
                <w:szCs w:val="18"/>
                <w:lang w:val="en-GB" w:eastAsia="fr-FR"/>
              </w:rPr>
            </w:pPr>
          </w:p>
        </w:tc>
      </w:tr>
      <w:tr w:rsidR="00E32B55" w:rsidRPr="00397EC7" w14:paraId="57641AB4"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3B3983E0" w14:textId="77777777" w:rsidR="00E32B55" w:rsidRPr="00397EC7" w:rsidRDefault="00E32B55"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no</w:t>
            </w:r>
          </w:p>
        </w:tc>
        <w:tc>
          <w:tcPr>
            <w:tcW w:w="1669" w:type="dxa"/>
            <w:tcBorders>
              <w:top w:val="nil"/>
              <w:left w:val="nil"/>
              <w:right w:val="nil"/>
            </w:tcBorders>
            <w:shd w:val="clear" w:color="auto" w:fill="auto"/>
            <w:noWrap/>
            <w:vAlign w:val="bottom"/>
            <w:hideMark/>
          </w:tcPr>
          <w:p w14:paraId="2884F661"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1" w:type="dxa"/>
            <w:tcBorders>
              <w:top w:val="nil"/>
              <w:left w:val="nil"/>
              <w:right w:val="nil"/>
            </w:tcBorders>
            <w:shd w:val="clear" w:color="auto" w:fill="auto"/>
            <w:noWrap/>
            <w:vAlign w:val="bottom"/>
            <w:hideMark/>
          </w:tcPr>
          <w:p w14:paraId="0FEC9E17" w14:textId="77777777" w:rsidR="00E32B55" w:rsidRPr="00397EC7" w:rsidRDefault="00E32B55"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right w:val="nil"/>
            </w:tcBorders>
            <w:shd w:val="clear" w:color="auto" w:fill="auto"/>
            <w:noWrap/>
            <w:vAlign w:val="bottom"/>
            <w:hideMark/>
          </w:tcPr>
          <w:p w14:paraId="03798A56" w14:textId="77777777" w:rsidR="00E32B55" w:rsidRPr="00397EC7" w:rsidRDefault="00E32B55"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right w:val="nil"/>
            </w:tcBorders>
            <w:shd w:val="clear" w:color="auto" w:fill="auto"/>
            <w:noWrap/>
            <w:vAlign w:val="bottom"/>
            <w:hideMark/>
          </w:tcPr>
          <w:p w14:paraId="68BCBEA3"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24" w:type="dxa"/>
            <w:tcBorders>
              <w:top w:val="nil"/>
              <w:left w:val="nil"/>
              <w:right w:val="nil"/>
            </w:tcBorders>
            <w:shd w:val="clear" w:color="auto" w:fill="auto"/>
            <w:noWrap/>
            <w:vAlign w:val="bottom"/>
            <w:hideMark/>
          </w:tcPr>
          <w:p w14:paraId="2BEA524D" w14:textId="77777777" w:rsidR="00E32B55" w:rsidRPr="00397EC7" w:rsidRDefault="00E32B55" w:rsidP="00DB5008">
            <w:pPr>
              <w:spacing w:after="0" w:line="240" w:lineRule="auto"/>
              <w:jc w:val="center"/>
              <w:rPr>
                <w:rFonts w:eastAsia="Times New Roman" w:cs="Arial"/>
                <w:color w:val="000000"/>
                <w:sz w:val="18"/>
                <w:szCs w:val="18"/>
                <w:lang w:val="en-GB" w:eastAsia="fr-FR"/>
              </w:rPr>
            </w:pPr>
          </w:p>
        </w:tc>
      </w:tr>
      <w:tr w:rsidR="00E32B55" w:rsidRPr="00397EC7" w14:paraId="62ADE013" w14:textId="77777777" w:rsidTr="00BC4CCE">
        <w:trPr>
          <w:trHeight w:val="20"/>
          <w:jc w:val="center"/>
        </w:trPr>
        <w:tc>
          <w:tcPr>
            <w:tcW w:w="4555" w:type="dxa"/>
            <w:tcBorders>
              <w:top w:val="nil"/>
              <w:left w:val="nil"/>
              <w:right w:val="nil"/>
            </w:tcBorders>
            <w:shd w:val="clear" w:color="auto" w:fill="auto"/>
            <w:noWrap/>
            <w:vAlign w:val="bottom"/>
            <w:hideMark/>
          </w:tcPr>
          <w:p w14:paraId="36615737" w14:textId="77777777" w:rsidR="00E32B55" w:rsidRPr="00397EC7" w:rsidRDefault="00E32B55"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yes</w:t>
            </w:r>
          </w:p>
        </w:tc>
        <w:tc>
          <w:tcPr>
            <w:tcW w:w="1669" w:type="dxa"/>
            <w:tcBorders>
              <w:top w:val="nil"/>
              <w:left w:val="nil"/>
              <w:right w:val="nil"/>
            </w:tcBorders>
            <w:shd w:val="clear" w:color="auto" w:fill="auto"/>
            <w:noWrap/>
            <w:vAlign w:val="bottom"/>
            <w:hideMark/>
          </w:tcPr>
          <w:p w14:paraId="4F5B9B11"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0.05 [0.05-0.06]</w:t>
            </w:r>
          </w:p>
        </w:tc>
        <w:tc>
          <w:tcPr>
            <w:tcW w:w="851" w:type="dxa"/>
            <w:tcBorders>
              <w:top w:val="nil"/>
              <w:left w:val="nil"/>
              <w:right w:val="nil"/>
            </w:tcBorders>
            <w:shd w:val="clear" w:color="auto" w:fill="auto"/>
            <w:noWrap/>
            <w:vAlign w:val="bottom"/>
            <w:hideMark/>
          </w:tcPr>
          <w:p w14:paraId="0858BCF6"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right w:val="nil"/>
            </w:tcBorders>
            <w:shd w:val="clear" w:color="auto" w:fill="auto"/>
            <w:noWrap/>
            <w:vAlign w:val="bottom"/>
            <w:hideMark/>
          </w:tcPr>
          <w:p w14:paraId="4F55DE6A" w14:textId="77777777" w:rsidR="00E32B55" w:rsidRPr="00397EC7" w:rsidRDefault="00E32B55"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right w:val="nil"/>
            </w:tcBorders>
            <w:shd w:val="clear" w:color="auto" w:fill="auto"/>
            <w:noWrap/>
            <w:vAlign w:val="bottom"/>
            <w:hideMark/>
          </w:tcPr>
          <w:p w14:paraId="2C42796D"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0.60 [0.46-0.78]</w:t>
            </w:r>
          </w:p>
        </w:tc>
        <w:tc>
          <w:tcPr>
            <w:tcW w:w="924" w:type="dxa"/>
            <w:tcBorders>
              <w:top w:val="nil"/>
              <w:left w:val="nil"/>
              <w:right w:val="nil"/>
            </w:tcBorders>
            <w:shd w:val="clear" w:color="auto" w:fill="auto"/>
            <w:noWrap/>
            <w:vAlign w:val="bottom"/>
            <w:hideMark/>
          </w:tcPr>
          <w:p w14:paraId="0D391A2D" w14:textId="77777777" w:rsidR="00E32B55" w:rsidRPr="00397EC7" w:rsidRDefault="00E32B55"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0.0002</w:t>
            </w:r>
          </w:p>
        </w:tc>
      </w:tr>
      <w:tr w:rsidR="00BC4CCE" w:rsidRPr="00397EC7" w14:paraId="3DF9485D" w14:textId="77777777" w:rsidTr="00BC4CCE">
        <w:trPr>
          <w:trHeight w:val="20"/>
          <w:jc w:val="center"/>
        </w:trPr>
        <w:tc>
          <w:tcPr>
            <w:tcW w:w="4555" w:type="dxa"/>
            <w:tcBorders>
              <w:top w:val="nil"/>
              <w:left w:val="nil"/>
              <w:right w:val="nil"/>
            </w:tcBorders>
            <w:shd w:val="clear" w:color="auto" w:fill="auto"/>
            <w:noWrap/>
            <w:vAlign w:val="bottom"/>
          </w:tcPr>
          <w:p w14:paraId="31D3D870" w14:textId="052987D6"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b/>
                <w:bCs/>
                <w:i/>
                <w:iCs/>
                <w:color w:val="000000"/>
                <w:sz w:val="18"/>
                <w:szCs w:val="18"/>
                <w:lang w:val="en-GB" w:eastAsia="fr-FR"/>
              </w:rPr>
              <w:t>Complete colonoscopy</w:t>
            </w:r>
          </w:p>
        </w:tc>
        <w:tc>
          <w:tcPr>
            <w:tcW w:w="1669" w:type="dxa"/>
            <w:tcBorders>
              <w:top w:val="nil"/>
              <w:left w:val="nil"/>
              <w:right w:val="nil"/>
            </w:tcBorders>
            <w:shd w:val="clear" w:color="auto" w:fill="auto"/>
            <w:noWrap/>
            <w:vAlign w:val="bottom"/>
          </w:tcPr>
          <w:p w14:paraId="27230FD0"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851" w:type="dxa"/>
            <w:tcBorders>
              <w:top w:val="nil"/>
              <w:left w:val="nil"/>
              <w:right w:val="nil"/>
            </w:tcBorders>
            <w:shd w:val="clear" w:color="auto" w:fill="auto"/>
            <w:noWrap/>
            <w:vAlign w:val="bottom"/>
          </w:tcPr>
          <w:p w14:paraId="07227136"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right w:val="nil"/>
            </w:tcBorders>
            <w:shd w:val="clear" w:color="auto" w:fill="auto"/>
            <w:noWrap/>
            <w:vAlign w:val="bottom"/>
          </w:tcPr>
          <w:p w14:paraId="4F5DE581"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right w:val="nil"/>
            </w:tcBorders>
            <w:shd w:val="clear" w:color="auto" w:fill="auto"/>
            <w:noWrap/>
            <w:vAlign w:val="bottom"/>
          </w:tcPr>
          <w:p w14:paraId="603A6B3D"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924" w:type="dxa"/>
            <w:tcBorders>
              <w:top w:val="nil"/>
              <w:left w:val="nil"/>
              <w:right w:val="nil"/>
            </w:tcBorders>
            <w:shd w:val="clear" w:color="auto" w:fill="auto"/>
            <w:noWrap/>
            <w:vAlign w:val="bottom"/>
          </w:tcPr>
          <w:p w14:paraId="3C30FA26"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r>
      <w:tr w:rsidR="00BC4CCE" w:rsidRPr="00397EC7" w14:paraId="5D66F0C7" w14:textId="77777777" w:rsidTr="00BC4CCE">
        <w:trPr>
          <w:trHeight w:val="20"/>
          <w:jc w:val="center"/>
        </w:trPr>
        <w:tc>
          <w:tcPr>
            <w:tcW w:w="4555" w:type="dxa"/>
            <w:tcBorders>
              <w:top w:val="nil"/>
              <w:left w:val="nil"/>
              <w:right w:val="nil"/>
            </w:tcBorders>
            <w:shd w:val="clear" w:color="auto" w:fill="auto"/>
            <w:noWrap/>
            <w:vAlign w:val="bottom"/>
          </w:tcPr>
          <w:p w14:paraId="1F59F958" w14:textId="1B977D9C"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no</w:t>
            </w:r>
          </w:p>
        </w:tc>
        <w:tc>
          <w:tcPr>
            <w:tcW w:w="1669" w:type="dxa"/>
            <w:tcBorders>
              <w:top w:val="nil"/>
              <w:left w:val="nil"/>
              <w:right w:val="nil"/>
            </w:tcBorders>
            <w:shd w:val="clear" w:color="auto" w:fill="auto"/>
            <w:noWrap/>
            <w:vAlign w:val="bottom"/>
          </w:tcPr>
          <w:p w14:paraId="59BF6B7A" w14:textId="21B891C3"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1" w:type="dxa"/>
            <w:tcBorders>
              <w:top w:val="nil"/>
              <w:left w:val="nil"/>
              <w:right w:val="nil"/>
            </w:tcBorders>
            <w:shd w:val="clear" w:color="auto" w:fill="auto"/>
            <w:noWrap/>
            <w:vAlign w:val="bottom"/>
          </w:tcPr>
          <w:p w14:paraId="1F8AFE3D"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right w:val="nil"/>
            </w:tcBorders>
            <w:shd w:val="clear" w:color="auto" w:fill="auto"/>
            <w:noWrap/>
            <w:vAlign w:val="bottom"/>
          </w:tcPr>
          <w:p w14:paraId="3248389C"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right w:val="nil"/>
            </w:tcBorders>
            <w:shd w:val="clear" w:color="auto" w:fill="auto"/>
            <w:noWrap/>
            <w:vAlign w:val="bottom"/>
          </w:tcPr>
          <w:p w14:paraId="17B09955" w14:textId="40BC9FAF"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24" w:type="dxa"/>
            <w:tcBorders>
              <w:top w:val="nil"/>
              <w:left w:val="nil"/>
              <w:right w:val="nil"/>
            </w:tcBorders>
            <w:shd w:val="clear" w:color="auto" w:fill="auto"/>
            <w:noWrap/>
            <w:vAlign w:val="bottom"/>
          </w:tcPr>
          <w:p w14:paraId="6CF7117E"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r>
      <w:tr w:rsidR="00BC4CCE" w:rsidRPr="00397EC7" w14:paraId="2E5655E8" w14:textId="77777777" w:rsidTr="00BC4CCE">
        <w:trPr>
          <w:trHeight w:val="20"/>
          <w:jc w:val="center"/>
        </w:trPr>
        <w:tc>
          <w:tcPr>
            <w:tcW w:w="4555" w:type="dxa"/>
            <w:tcBorders>
              <w:left w:val="nil"/>
              <w:bottom w:val="single" w:sz="4" w:space="0" w:color="auto"/>
              <w:right w:val="nil"/>
            </w:tcBorders>
            <w:shd w:val="clear" w:color="auto" w:fill="auto"/>
            <w:noWrap/>
            <w:vAlign w:val="bottom"/>
          </w:tcPr>
          <w:p w14:paraId="512FF29C" w14:textId="1DBA7A3A"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yes</w:t>
            </w:r>
          </w:p>
        </w:tc>
        <w:tc>
          <w:tcPr>
            <w:tcW w:w="1669" w:type="dxa"/>
            <w:tcBorders>
              <w:left w:val="nil"/>
              <w:bottom w:val="single" w:sz="4" w:space="0" w:color="auto"/>
              <w:right w:val="nil"/>
            </w:tcBorders>
            <w:shd w:val="clear" w:color="auto" w:fill="auto"/>
            <w:noWrap/>
            <w:vAlign w:val="bottom"/>
          </w:tcPr>
          <w:p w14:paraId="377B2F3A" w14:textId="5848068D" w:rsidR="00BC4CCE" w:rsidRPr="00397EC7" w:rsidRDefault="00DB6D84"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0.06 [0.05-0.06]</w:t>
            </w:r>
          </w:p>
        </w:tc>
        <w:tc>
          <w:tcPr>
            <w:tcW w:w="851" w:type="dxa"/>
            <w:tcBorders>
              <w:left w:val="nil"/>
              <w:bottom w:val="single" w:sz="4" w:space="0" w:color="auto"/>
              <w:right w:val="nil"/>
            </w:tcBorders>
            <w:shd w:val="clear" w:color="auto" w:fill="auto"/>
            <w:noWrap/>
            <w:vAlign w:val="bottom"/>
          </w:tcPr>
          <w:p w14:paraId="0BCF94C6" w14:textId="3F985B73" w:rsidR="00BC4CCE" w:rsidRPr="00397EC7" w:rsidRDefault="00DB6D84"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left w:val="nil"/>
              <w:bottom w:val="single" w:sz="4" w:space="0" w:color="auto"/>
              <w:right w:val="nil"/>
            </w:tcBorders>
            <w:shd w:val="clear" w:color="auto" w:fill="auto"/>
            <w:noWrap/>
            <w:vAlign w:val="bottom"/>
          </w:tcPr>
          <w:p w14:paraId="358B1518"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541" w:type="dxa"/>
            <w:tcBorders>
              <w:left w:val="nil"/>
              <w:bottom w:val="single" w:sz="4" w:space="0" w:color="auto"/>
              <w:right w:val="nil"/>
            </w:tcBorders>
            <w:shd w:val="clear" w:color="auto" w:fill="auto"/>
            <w:noWrap/>
            <w:vAlign w:val="bottom"/>
          </w:tcPr>
          <w:p w14:paraId="33B51728" w14:textId="719D68A0" w:rsidR="00BC4CCE" w:rsidRPr="00397EC7" w:rsidRDefault="00DB6D84" w:rsidP="00DB6D84">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0.45 [0.37-0.56]</w:t>
            </w:r>
          </w:p>
        </w:tc>
        <w:tc>
          <w:tcPr>
            <w:tcW w:w="924" w:type="dxa"/>
            <w:tcBorders>
              <w:left w:val="nil"/>
              <w:bottom w:val="single" w:sz="4" w:space="0" w:color="auto"/>
              <w:right w:val="nil"/>
            </w:tcBorders>
            <w:shd w:val="clear" w:color="auto" w:fill="auto"/>
            <w:noWrap/>
            <w:vAlign w:val="bottom"/>
          </w:tcPr>
          <w:p w14:paraId="4546206A" w14:textId="52F9188D" w:rsidR="00BC4CCE" w:rsidRPr="00397EC7" w:rsidRDefault="00DB6D84"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BC4CCE" w:rsidRPr="00397EC7" w14:paraId="26F23490" w14:textId="77777777" w:rsidTr="00995C5C">
        <w:trPr>
          <w:trHeight w:val="20"/>
          <w:jc w:val="center"/>
        </w:trPr>
        <w:tc>
          <w:tcPr>
            <w:tcW w:w="4555" w:type="dxa"/>
            <w:tcBorders>
              <w:top w:val="single" w:sz="4" w:space="0" w:color="auto"/>
              <w:left w:val="nil"/>
              <w:bottom w:val="nil"/>
              <w:right w:val="nil"/>
            </w:tcBorders>
            <w:shd w:val="clear" w:color="000000" w:fill="F2F2F2"/>
            <w:noWrap/>
            <w:vAlign w:val="bottom"/>
            <w:hideMark/>
          </w:tcPr>
          <w:p w14:paraId="437A2DCA" w14:textId="77777777" w:rsidR="00BC4CCE" w:rsidRPr="00397EC7" w:rsidRDefault="00BC4CCE" w:rsidP="00DB5008">
            <w:pPr>
              <w:spacing w:after="0" w:line="240" w:lineRule="auto"/>
              <w:jc w:val="left"/>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Endoscopist characteristics</w:t>
            </w:r>
          </w:p>
        </w:tc>
        <w:tc>
          <w:tcPr>
            <w:tcW w:w="1669" w:type="dxa"/>
            <w:tcBorders>
              <w:top w:val="single" w:sz="4" w:space="0" w:color="auto"/>
              <w:left w:val="nil"/>
              <w:bottom w:val="nil"/>
              <w:right w:val="nil"/>
            </w:tcBorders>
            <w:shd w:val="clear" w:color="000000" w:fill="F2F2F2"/>
            <w:noWrap/>
            <w:vAlign w:val="bottom"/>
            <w:hideMark/>
          </w:tcPr>
          <w:p w14:paraId="413B8602" w14:textId="77777777" w:rsidR="00BC4CCE" w:rsidRPr="00397EC7" w:rsidRDefault="00BC4CCE"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xml:space="preserve"> </w:t>
            </w:r>
          </w:p>
        </w:tc>
        <w:tc>
          <w:tcPr>
            <w:tcW w:w="851" w:type="dxa"/>
            <w:tcBorders>
              <w:top w:val="single" w:sz="4" w:space="0" w:color="auto"/>
              <w:left w:val="nil"/>
              <w:bottom w:val="nil"/>
              <w:right w:val="nil"/>
            </w:tcBorders>
            <w:shd w:val="clear" w:color="000000" w:fill="F2F2F2"/>
            <w:noWrap/>
            <w:vAlign w:val="bottom"/>
            <w:hideMark/>
          </w:tcPr>
          <w:p w14:paraId="2390DC96" w14:textId="77777777" w:rsidR="00BC4CCE" w:rsidRPr="00397EC7" w:rsidRDefault="00BC4CCE"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191" w:type="dxa"/>
            <w:tcBorders>
              <w:top w:val="single" w:sz="4" w:space="0" w:color="auto"/>
              <w:left w:val="nil"/>
              <w:bottom w:val="nil"/>
              <w:right w:val="nil"/>
            </w:tcBorders>
            <w:shd w:val="clear" w:color="000000" w:fill="F2F2F2"/>
            <w:noWrap/>
            <w:vAlign w:val="bottom"/>
            <w:hideMark/>
          </w:tcPr>
          <w:p w14:paraId="076B2283" w14:textId="77777777" w:rsidR="00BC4CCE" w:rsidRPr="00397EC7" w:rsidRDefault="00BC4CCE"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1541" w:type="dxa"/>
            <w:tcBorders>
              <w:top w:val="single" w:sz="4" w:space="0" w:color="auto"/>
              <w:left w:val="nil"/>
              <w:bottom w:val="nil"/>
              <w:right w:val="nil"/>
            </w:tcBorders>
            <w:shd w:val="clear" w:color="000000" w:fill="F2F2F2"/>
            <w:noWrap/>
            <w:vAlign w:val="bottom"/>
            <w:hideMark/>
          </w:tcPr>
          <w:p w14:paraId="3417C206" w14:textId="77777777" w:rsidR="00BC4CCE" w:rsidRPr="00397EC7" w:rsidRDefault="00BC4CCE"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xml:space="preserve"> </w:t>
            </w:r>
          </w:p>
        </w:tc>
        <w:tc>
          <w:tcPr>
            <w:tcW w:w="924" w:type="dxa"/>
            <w:tcBorders>
              <w:top w:val="single" w:sz="4" w:space="0" w:color="auto"/>
              <w:left w:val="nil"/>
              <w:bottom w:val="nil"/>
              <w:right w:val="nil"/>
            </w:tcBorders>
            <w:shd w:val="clear" w:color="000000" w:fill="F2F2F2"/>
            <w:noWrap/>
            <w:vAlign w:val="bottom"/>
            <w:hideMark/>
          </w:tcPr>
          <w:p w14:paraId="0E7B3022" w14:textId="77777777" w:rsidR="00BC4CCE" w:rsidRPr="00397EC7" w:rsidRDefault="00BC4CCE" w:rsidP="00DB5008">
            <w:pPr>
              <w:spacing w:after="0" w:line="240" w:lineRule="auto"/>
              <w:jc w:val="left"/>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r>
      <w:tr w:rsidR="00BC4CCE" w:rsidRPr="00397EC7" w14:paraId="6AE8D40B" w14:textId="77777777" w:rsidTr="00995C5C">
        <w:trPr>
          <w:trHeight w:val="20"/>
          <w:jc w:val="center"/>
        </w:trPr>
        <w:tc>
          <w:tcPr>
            <w:tcW w:w="4555" w:type="dxa"/>
            <w:tcBorders>
              <w:left w:val="nil"/>
              <w:bottom w:val="nil"/>
              <w:right w:val="nil"/>
            </w:tcBorders>
            <w:shd w:val="clear" w:color="auto" w:fill="auto"/>
            <w:noWrap/>
            <w:vAlign w:val="bottom"/>
            <w:hideMark/>
          </w:tcPr>
          <w:p w14:paraId="4482FD0B" w14:textId="77777777" w:rsidR="00BC4CCE" w:rsidRPr="00397EC7" w:rsidRDefault="00BC4CCE" w:rsidP="00DB5008">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Number of years since MD graduation</w:t>
            </w:r>
          </w:p>
        </w:tc>
        <w:tc>
          <w:tcPr>
            <w:tcW w:w="1669" w:type="dxa"/>
            <w:tcBorders>
              <w:left w:val="nil"/>
              <w:bottom w:val="nil"/>
              <w:right w:val="nil"/>
            </w:tcBorders>
            <w:shd w:val="clear" w:color="auto" w:fill="auto"/>
            <w:noWrap/>
            <w:vAlign w:val="bottom"/>
            <w:hideMark/>
          </w:tcPr>
          <w:p w14:paraId="7032634A" w14:textId="77777777" w:rsidR="00BC4CCE" w:rsidRPr="00397EC7" w:rsidRDefault="00BC4CCE" w:rsidP="00DB5008">
            <w:pPr>
              <w:spacing w:after="0" w:line="240" w:lineRule="auto"/>
              <w:jc w:val="center"/>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 xml:space="preserve"> </w:t>
            </w:r>
          </w:p>
        </w:tc>
        <w:tc>
          <w:tcPr>
            <w:tcW w:w="851" w:type="dxa"/>
            <w:tcBorders>
              <w:left w:val="nil"/>
              <w:bottom w:val="nil"/>
              <w:right w:val="nil"/>
            </w:tcBorders>
            <w:shd w:val="clear" w:color="auto" w:fill="auto"/>
            <w:noWrap/>
            <w:vAlign w:val="bottom"/>
            <w:hideMark/>
          </w:tcPr>
          <w:p w14:paraId="5817F4FC" w14:textId="77777777" w:rsidR="00BC4CCE" w:rsidRPr="00397EC7" w:rsidRDefault="00BC4CCE" w:rsidP="00DB5008">
            <w:pPr>
              <w:spacing w:after="0" w:line="240" w:lineRule="auto"/>
              <w:jc w:val="center"/>
              <w:rPr>
                <w:rFonts w:eastAsia="Times New Roman" w:cs="Arial"/>
                <w:b/>
                <w:bCs/>
                <w:i/>
                <w:iCs/>
                <w:color w:val="000000"/>
                <w:sz w:val="18"/>
                <w:szCs w:val="18"/>
                <w:lang w:val="en-GB" w:eastAsia="fr-FR"/>
              </w:rPr>
            </w:pPr>
          </w:p>
        </w:tc>
        <w:tc>
          <w:tcPr>
            <w:tcW w:w="191" w:type="dxa"/>
            <w:tcBorders>
              <w:left w:val="nil"/>
              <w:bottom w:val="nil"/>
              <w:right w:val="nil"/>
            </w:tcBorders>
            <w:shd w:val="clear" w:color="auto" w:fill="auto"/>
            <w:noWrap/>
            <w:vAlign w:val="bottom"/>
            <w:hideMark/>
          </w:tcPr>
          <w:p w14:paraId="2A1E3EFD" w14:textId="77777777" w:rsidR="00BC4CCE" w:rsidRPr="00397EC7" w:rsidRDefault="00BC4CCE" w:rsidP="00DB5008">
            <w:pPr>
              <w:spacing w:after="0" w:line="240" w:lineRule="auto"/>
              <w:jc w:val="center"/>
              <w:rPr>
                <w:rFonts w:eastAsia="Times New Roman" w:cs="Arial"/>
                <w:b/>
                <w:bCs/>
                <w:i/>
                <w:iCs/>
                <w:color w:val="000000"/>
                <w:sz w:val="18"/>
                <w:szCs w:val="18"/>
                <w:lang w:val="en-GB" w:eastAsia="fr-FR"/>
              </w:rPr>
            </w:pPr>
          </w:p>
        </w:tc>
        <w:tc>
          <w:tcPr>
            <w:tcW w:w="1541" w:type="dxa"/>
            <w:tcBorders>
              <w:left w:val="nil"/>
              <w:bottom w:val="nil"/>
              <w:right w:val="nil"/>
            </w:tcBorders>
            <w:shd w:val="clear" w:color="auto" w:fill="auto"/>
            <w:noWrap/>
            <w:vAlign w:val="bottom"/>
            <w:hideMark/>
          </w:tcPr>
          <w:p w14:paraId="656348C6" w14:textId="77777777" w:rsidR="00BC4CCE" w:rsidRPr="00397EC7" w:rsidRDefault="00BC4CCE" w:rsidP="00DB5008">
            <w:pPr>
              <w:spacing w:after="0" w:line="240" w:lineRule="auto"/>
              <w:jc w:val="center"/>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 xml:space="preserve"> </w:t>
            </w:r>
          </w:p>
        </w:tc>
        <w:tc>
          <w:tcPr>
            <w:tcW w:w="924" w:type="dxa"/>
            <w:tcBorders>
              <w:left w:val="nil"/>
              <w:bottom w:val="nil"/>
              <w:right w:val="nil"/>
            </w:tcBorders>
            <w:shd w:val="clear" w:color="auto" w:fill="auto"/>
            <w:noWrap/>
            <w:vAlign w:val="bottom"/>
            <w:hideMark/>
          </w:tcPr>
          <w:p w14:paraId="2CEBBE1B" w14:textId="77777777" w:rsidR="00BC4CCE" w:rsidRPr="00397EC7" w:rsidRDefault="00BC4CCE" w:rsidP="00DB5008">
            <w:pPr>
              <w:spacing w:after="0" w:line="240" w:lineRule="auto"/>
              <w:jc w:val="center"/>
              <w:rPr>
                <w:rFonts w:eastAsia="Times New Roman" w:cs="Arial"/>
                <w:b/>
                <w:bCs/>
                <w:i/>
                <w:iCs/>
                <w:color w:val="000000"/>
                <w:sz w:val="18"/>
                <w:szCs w:val="18"/>
                <w:lang w:val="en-GB" w:eastAsia="fr-FR"/>
              </w:rPr>
            </w:pPr>
          </w:p>
        </w:tc>
      </w:tr>
      <w:tr w:rsidR="00BC4CCE" w:rsidRPr="00397EC7" w14:paraId="46458439"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011B99B8" w14:textId="77777777"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&lt;5</w:t>
            </w:r>
          </w:p>
        </w:tc>
        <w:tc>
          <w:tcPr>
            <w:tcW w:w="1669" w:type="dxa"/>
            <w:tcBorders>
              <w:top w:val="nil"/>
              <w:left w:val="nil"/>
              <w:bottom w:val="nil"/>
              <w:right w:val="nil"/>
            </w:tcBorders>
            <w:shd w:val="clear" w:color="auto" w:fill="auto"/>
            <w:noWrap/>
            <w:vAlign w:val="bottom"/>
            <w:hideMark/>
          </w:tcPr>
          <w:p w14:paraId="1AE4D4BA"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1.63 [0.72-3.69]</w:t>
            </w:r>
          </w:p>
        </w:tc>
        <w:tc>
          <w:tcPr>
            <w:tcW w:w="851" w:type="dxa"/>
            <w:tcBorders>
              <w:top w:val="nil"/>
              <w:left w:val="nil"/>
              <w:bottom w:val="nil"/>
              <w:right w:val="nil"/>
            </w:tcBorders>
            <w:shd w:val="clear" w:color="auto" w:fill="auto"/>
            <w:noWrap/>
            <w:vAlign w:val="bottom"/>
            <w:hideMark/>
          </w:tcPr>
          <w:p w14:paraId="57C1B5D7"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0.24</w:t>
            </w:r>
          </w:p>
        </w:tc>
        <w:tc>
          <w:tcPr>
            <w:tcW w:w="191" w:type="dxa"/>
            <w:tcBorders>
              <w:top w:val="nil"/>
              <w:left w:val="nil"/>
              <w:bottom w:val="nil"/>
              <w:right w:val="nil"/>
            </w:tcBorders>
            <w:shd w:val="clear" w:color="auto" w:fill="auto"/>
            <w:noWrap/>
            <w:vAlign w:val="bottom"/>
            <w:hideMark/>
          </w:tcPr>
          <w:p w14:paraId="3D69EF61"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24113E8C"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0.81 [0.36-1.83]</w:t>
            </w:r>
          </w:p>
        </w:tc>
        <w:tc>
          <w:tcPr>
            <w:tcW w:w="924" w:type="dxa"/>
            <w:tcBorders>
              <w:top w:val="nil"/>
              <w:left w:val="nil"/>
              <w:bottom w:val="nil"/>
              <w:right w:val="nil"/>
            </w:tcBorders>
            <w:shd w:val="clear" w:color="auto" w:fill="auto"/>
            <w:noWrap/>
            <w:vAlign w:val="bottom"/>
            <w:hideMark/>
          </w:tcPr>
          <w:p w14:paraId="44994053"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0.62</w:t>
            </w:r>
          </w:p>
        </w:tc>
      </w:tr>
      <w:tr w:rsidR="00BC4CCE" w:rsidRPr="00397EC7" w14:paraId="2C82DE2A"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73EE50E7" w14:textId="77777777"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5-14</w:t>
            </w:r>
          </w:p>
        </w:tc>
        <w:tc>
          <w:tcPr>
            <w:tcW w:w="1669" w:type="dxa"/>
            <w:tcBorders>
              <w:top w:val="nil"/>
              <w:left w:val="nil"/>
              <w:bottom w:val="nil"/>
              <w:right w:val="nil"/>
            </w:tcBorders>
            <w:shd w:val="clear" w:color="auto" w:fill="auto"/>
            <w:noWrap/>
            <w:vAlign w:val="bottom"/>
            <w:hideMark/>
          </w:tcPr>
          <w:p w14:paraId="18A291BA"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1.03 [0.75-1.42]</w:t>
            </w:r>
          </w:p>
        </w:tc>
        <w:tc>
          <w:tcPr>
            <w:tcW w:w="851" w:type="dxa"/>
            <w:tcBorders>
              <w:top w:val="nil"/>
              <w:left w:val="nil"/>
              <w:bottom w:val="nil"/>
              <w:right w:val="nil"/>
            </w:tcBorders>
            <w:shd w:val="clear" w:color="auto" w:fill="auto"/>
            <w:noWrap/>
            <w:vAlign w:val="bottom"/>
            <w:hideMark/>
          </w:tcPr>
          <w:p w14:paraId="2FBD3DF3"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0.84</w:t>
            </w:r>
          </w:p>
        </w:tc>
        <w:tc>
          <w:tcPr>
            <w:tcW w:w="191" w:type="dxa"/>
            <w:tcBorders>
              <w:top w:val="nil"/>
              <w:left w:val="nil"/>
              <w:bottom w:val="nil"/>
              <w:right w:val="nil"/>
            </w:tcBorders>
            <w:shd w:val="clear" w:color="auto" w:fill="auto"/>
            <w:noWrap/>
            <w:vAlign w:val="bottom"/>
            <w:hideMark/>
          </w:tcPr>
          <w:p w14:paraId="09FE61A8"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7EF51D5B"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1.28 [1.04-1.58]</w:t>
            </w:r>
          </w:p>
        </w:tc>
        <w:tc>
          <w:tcPr>
            <w:tcW w:w="924" w:type="dxa"/>
            <w:tcBorders>
              <w:top w:val="nil"/>
              <w:left w:val="nil"/>
              <w:bottom w:val="nil"/>
              <w:right w:val="nil"/>
            </w:tcBorders>
            <w:shd w:val="clear" w:color="auto" w:fill="auto"/>
            <w:noWrap/>
            <w:vAlign w:val="bottom"/>
            <w:hideMark/>
          </w:tcPr>
          <w:p w14:paraId="1C741629"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0.020</w:t>
            </w:r>
          </w:p>
        </w:tc>
      </w:tr>
      <w:tr w:rsidR="00BC4CCE" w:rsidRPr="00397EC7" w14:paraId="45B15434"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3391BEBC" w14:textId="77777777"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15-24</w:t>
            </w:r>
          </w:p>
        </w:tc>
        <w:tc>
          <w:tcPr>
            <w:tcW w:w="1669" w:type="dxa"/>
            <w:tcBorders>
              <w:top w:val="nil"/>
              <w:left w:val="nil"/>
              <w:bottom w:val="nil"/>
              <w:right w:val="nil"/>
            </w:tcBorders>
            <w:shd w:val="clear" w:color="auto" w:fill="auto"/>
            <w:noWrap/>
            <w:vAlign w:val="bottom"/>
            <w:hideMark/>
          </w:tcPr>
          <w:p w14:paraId="794F0517"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1" w:type="dxa"/>
            <w:tcBorders>
              <w:top w:val="nil"/>
              <w:left w:val="nil"/>
              <w:bottom w:val="nil"/>
              <w:right w:val="nil"/>
            </w:tcBorders>
            <w:shd w:val="clear" w:color="auto" w:fill="auto"/>
            <w:noWrap/>
            <w:vAlign w:val="bottom"/>
            <w:hideMark/>
          </w:tcPr>
          <w:p w14:paraId="6783388B"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301D09A2"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65075D39"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24" w:type="dxa"/>
            <w:tcBorders>
              <w:top w:val="nil"/>
              <w:left w:val="nil"/>
              <w:bottom w:val="nil"/>
              <w:right w:val="nil"/>
            </w:tcBorders>
            <w:shd w:val="clear" w:color="auto" w:fill="auto"/>
            <w:noWrap/>
            <w:vAlign w:val="bottom"/>
            <w:hideMark/>
          </w:tcPr>
          <w:p w14:paraId="66903796"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r>
      <w:tr w:rsidR="00BC4CCE" w:rsidRPr="00397EC7" w14:paraId="1F71D262"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3EF81925" w14:textId="77777777"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25-34</w:t>
            </w:r>
          </w:p>
        </w:tc>
        <w:tc>
          <w:tcPr>
            <w:tcW w:w="1669" w:type="dxa"/>
            <w:tcBorders>
              <w:top w:val="nil"/>
              <w:left w:val="nil"/>
              <w:bottom w:val="nil"/>
              <w:right w:val="nil"/>
            </w:tcBorders>
            <w:shd w:val="clear" w:color="auto" w:fill="auto"/>
            <w:noWrap/>
            <w:vAlign w:val="bottom"/>
            <w:hideMark/>
          </w:tcPr>
          <w:p w14:paraId="4EE97A81"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0.77 [0.61-0.98]</w:t>
            </w:r>
          </w:p>
        </w:tc>
        <w:tc>
          <w:tcPr>
            <w:tcW w:w="851" w:type="dxa"/>
            <w:tcBorders>
              <w:top w:val="nil"/>
              <w:left w:val="nil"/>
              <w:bottom w:val="nil"/>
              <w:right w:val="nil"/>
            </w:tcBorders>
            <w:shd w:val="clear" w:color="auto" w:fill="auto"/>
            <w:noWrap/>
            <w:vAlign w:val="bottom"/>
            <w:hideMark/>
          </w:tcPr>
          <w:p w14:paraId="6E0D8D70"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0.039</w:t>
            </w:r>
          </w:p>
        </w:tc>
        <w:tc>
          <w:tcPr>
            <w:tcW w:w="191" w:type="dxa"/>
            <w:tcBorders>
              <w:top w:val="nil"/>
              <w:left w:val="nil"/>
              <w:bottom w:val="nil"/>
              <w:right w:val="nil"/>
            </w:tcBorders>
            <w:shd w:val="clear" w:color="auto" w:fill="auto"/>
            <w:noWrap/>
            <w:vAlign w:val="bottom"/>
            <w:hideMark/>
          </w:tcPr>
          <w:p w14:paraId="18F7F514"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7B81CF9D"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1.12 [0.96-1.31]</w:t>
            </w:r>
          </w:p>
        </w:tc>
        <w:tc>
          <w:tcPr>
            <w:tcW w:w="924" w:type="dxa"/>
            <w:tcBorders>
              <w:top w:val="nil"/>
              <w:left w:val="nil"/>
              <w:bottom w:val="nil"/>
              <w:right w:val="nil"/>
            </w:tcBorders>
            <w:shd w:val="clear" w:color="auto" w:fill="auto"/>
            <w:noWrap/>
            <w:vAlign w:val="bottom"/>
            <w:hideMark/>
          </w:tcPr>
          <w:p w14:paraId="3E06A196"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0.14</w:t>
            </w:r>
          </w:p>
        </w:tc>
      </w:tr>
      <w:tr w:rsidR="00BC4CCE" w:rsidRPr="00397EC7" w14:paraId="7A2830DF"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6CA0B9BD" w14:textId="77777777"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≥35</w:t>
            </w:r>
          </w:p>
        </w:tc>
        <w:tc>
          <w:tcPr>
            <w:tcW w:w="1669" w:type="dxa"/>
            <w:tcBorders>
              <w:top w:val="nil"/>
              <w:left w:val="nil"/>
              <w:bottom w:val="nil"/>
              <w:right w:val="nil"/>
            </w:tcBorders>
            <w:shd w:val="clear" w:color="auto" w:fill="auto"/>
            <w:noWrap/>
            <w:vAlign w:val="bottom"/>
            <w:hideMark/>
          </w:tcPr>
          <w:p w14:paraId="6D027414"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1.09 [0.78-1.52]</w:t>
            </w:r>
          </w:p>
        </w:tc>
        <w:tc>
          <w:tcPr>
            <w:tcW w:w="851" w:type="dxa"/>
            <w:tcBorders>
              <w:top w:val="nil"/>
              <w:left w:val="nil"/>
              <w:bottom w:val="nil"/>
              <w:right w:val="nil"/>
            </w:tcBorders>
            <w:shd w:val="clear" w:color="auto" w:fill="auto"/>
            <w:noWrap/>
            <w:vAlign w:val="bottom"/>
            <w:hideMark/>
          </w:tcPr>
          <w:p w14:paraId="122C1D2D"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0.60</w:t>
            </w:r>
          </w:p>
        </w:tc>
        <w:tc>
          <w:tcPr>
            <w:tcW w:w="191" w:type="dxa"/>
            <w:tcBorders>
              <w:top w:val="nil"/>
              <w:left w:val="nil"/>
              <w:bottom w:val="nil"/>
              <w:right w:val="nil"/>
            </w:tcBorders>
            <w:shd w:val="clear" w:color="auto" w:fill="auto"/>
            <w:noWrap/>
            <w:vAlign w:val="bottom"/>
            <w:hideMark/>
          </w:tcPr>
          <w:p w14:paraId="41680F34"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501C1F26"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1.16 [0.92-1.45]</w:t>
            </w:r>
          </w:p>
        </w:tc>
        <w:tc>
          <w:tcPr>
            <w:tcW w:w="924" w:type="dxa"/>
            <w:tcBorders>
              <w:top w:val="nil"/>
              <w:left w:val="nil"/>
              <w:bottom w:val="nil"/>
              <w:right w:val="nil"/>
            </w:tcBorders>
            <w:shd w:val="clear" w:color="auto" w:fill="auto"/>
            <w:noWrap/>
            <w:vAlign w:val="bottom"/>
            <w:hideMark/>
          </w:tcPr>
          <w:p w14:paraId="61E3C5CD"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0.20</w:t>
            </w:r>
          </w:p>
        </w:tc>
      </w:tr>
      <w:tr w:rsidR="00BC4CCE" w:rsidRPr="00397EC7" w14:paraId="1B3D2054"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72E7CE53" w14:textId="77777777"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not retrieved</w:t>
            </w:r>
          </w:p>
        </w:tc>
        <w:tc>
          <w:tcPr>
            <w:tcW w:w="1669" w:type="dxa"/>
            <w:tcBorders>
              <w:top w:val="nil"/>
              <w:left w:val="nil"/>
              <w:bottom w:val="nil"/>
              <w:right w:val="nil"/>
            </w:tcBorders>
            <w:shd w:val="clear" w:color="auto" w:fill="auto"/>
            <w:noWrap/>
            <w:vAlign w:val="bottom"/>
            <w:hideMark/>
          </w:tcPr>
          <w:p w14:paraId="41E334F9"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13.6 [11.4-16.3]</w:t>
            </w:r>
          </w:p>
        </w:tc>
        <w:tc>
          <w:tcPr>
            <w:tcW w:w="851" w:type="dxa"/>
            <w:tcBorders>
              <w:top w:val="nil"/>
              <w:left w:val="nil"/>
              <w:bottom w:val="nil"/>
              <w:right w:val="nil"/>
            </w:tcBorders>
            <w:shd w:val="clear" w:color="auto" w:fill="auto"/>
            <w:noWrap/>
            <w:vAlign w:val="bottom"/>
            <w:hideMark/>
          </w:tcPr>
          <w:p w14:paraId="447400CF"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314FE290"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60B36E3A"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1.67 [1.43-1.94]</w:t>
            </w:r>
          </w:p>
        </w:tc>
        <w:tc>
          <w:tcPr>
            <w:tcW w:w="924" w:type="dxa"/>
            <w:tcBorders>
              <w:top w:val="nil"/>
              <w:left w:val="nil"/>
              <w:bottom w:val="nil"/>
              <w:right w:val="nil"/>
            </w:tcBorders>
            <w:shd w:val="clear" w:color="auto" w:fill="auto"/>
            <w:noWrap/>
            <w:vAlign w:val="bottom"/>
            <w:hideMark/>
          </w:tcPr>
          <w:p w14:paraId="5E987E96"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BC4CCE" w:rsidRPr="00397EC7" w14:paraId="2D799B3A" w14:textId="77777777" w:rsidTr="00995C5C">
        <w:trPr>
          <w:trHeight w:val="20"/>
          <w:jc w:val="center"/>
        </w:trPr>
        <w:tc>
          <w:tcPr>
            <w:tcW w:w="4555" w:type="dxa"/>
            <w:tcBorders>
              <w:top w:val="nil"/>
              <w:left w:val="nil"/>
              <w:bottom w:val="nil"/>
              <w:right w:val="nil"/>
            </w:tcBorders>
            <w:shd w:val="clear" w:color="auto" w:fill="auto"/>
            <w:noWrap/>
            <w:vAlign w:val="bottom"/>
          </w:tcPr>
          <w:p w14:paraId="130DF635" w14:textId="77777777"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b/>
                <w:bCs/>
                <w:i/>
                <w:iCs/>
                <w:color w:val="000000"/>
                <w:sz w:val="18"/>
                <w:szCs w:val="18"/>
                <w:lang w:val="en-GB" w:eastAsia="fr-FR"/>
              </w:rPr>
              <w:t>Number of procedures performed during the previous year</w:t>
            </w:r>
          </w:p>
        </w:tc>
        <w:tc>
          <w:tcPr>
            <w:tcW w:w="1669" w:type="dxa"/>
            <w:tcBorders>
              <w:top w:val="nil"/>
              <w:left w:val="nil"/>
              <w:bottom w:val="nil"/>
              <w:right w:val="nil"/>
            </w:tcBorders>
            <w:shd w:val="clear" w:color="auto" w:fill="auto"/>
            <w:noWrap/>
            <w:vAlign w:val="bottom"/>
          </w:tcPr>
          <w:p w14:paraId="19AB11DE"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851" w:type="dxa"/>
            <w:tcBorders>
              <w:top w:val="nil"/>
              <w:left w:val="nil"/>
              <w:bottom w:val="nil"/>
              <w:right w:val="nil"/>
            </w:tcBorders>
            <w:shd w:val="clear" w:color="auto" w:fill="auto"/>
            <w:noWrap/>
            <w:vAlign w:val="bottom"/>
          </w:tcPr>
          <w:p w14:paraId="52D9377B"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tcPr>
          <w:p w14:paraId="72324E9C"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tcPr>
          <w:p w14:paraId="0EFEAA37"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924" w:type="dxa"/>
            <w:tcBorders>
              <w:top w:val="nil"/>
              <w:left w:val="nil"/>
              <w:bottom w:val="nil"/>
              <w:right w:val="nil"/>
            </w:tcBorders>
            <w:shd w:val="clear" w:color="auto" w:fill="auto"/>
            <w:noWrap/>
            <w:vAlign w:val="bottom"/>
          </w:tcPr>
          <w:p w14:paraId="5AD4B6E7"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r>
      <w:tr w:rsidR="00BC4CCE" w:rsidRPr="00397EC7" w14:paraId="7498A3B4"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2D44DBB6" w14:textId="77777777"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&lt;150</w:t>
            </w:r>
          </w:p>
        </w:tc>
        <w:tc>
          <w:tcPr>
            <w:tcW w:w="1669" w:type="dxa"/>
            <w:tcBorders>
              <w:top w:val="nil"/>
              <w:left w:val="nil"/>
              <w:bottom w:val="nil"/>
              <w:right w:val="nil"/>
            </w:tcBorders>
            <w:shd w:val="clear" w:color="auto" w:fill="auto"/>
            <w:noWrap/>
            <w:vAlign w:val="bottom"/>
            <w:hideMark/>
          </w:tcPr>
          <w:p w14:paraId="45AD8E36"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1.20 [0.55-2.62]</w:t>
            </w:r>
          </w:p>
        </w:tc>
        <w:tc>
          <w:tcPr>
            <w:tcW w:w="851" w:type="dxa"/>
            <w:tcBorders>
              <w:top w:val="nil"/>
              <w:left w:val="nil"/>
              <w:bottom w:val="nil"/>
              <w:right w:val="nil"/>
            </w:tcBorders>
            <w:shd w:val="clear" w:color="auto" w:fill="auto"/>
            <w:noWrap/>
            <w:vAlign w:val="bottom"/>
            <w:hideMark/>
          </w:tcPr>
          <w:p w14:paraId="2E359731"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0.63</w:t>
            </w:r>
          </w:p>
        </w:tc>
        <w:tc>
          <w:tcPr>
            <w:tcW w:w="191" w:type="dxa"/>
            <w:tcBorders>
              <w:top w:val="nil"/>
              <w:left w:val="nil"/>
              <w:bottom w:val="nil"/>
              <w:right w:val="nil"/>
            </w:tcBorders>
            <w:shd w:val="clear" w:color="auto" w:fill="auto"/>
            <w:noWrap/>
            <w:vAlign w:val="bottom"/>
            <w:hideMark/>
          </w:tcPr>
          <w:p w14:paraId="58F60A04"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71EB25C6"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1.77 [1.16-2.70]</w:t>
            </w:r>
          </w:p>
        </w:tc>
        <w:tc>
          <w:tcPr>
            <w:tcW w:w="924" w:type="dxa"/>
            <w:tcBorders>
              <w:top w:val="nil"/>
              <w:left w:val="nil"/>
              <w:bottom w:val="nil"/>
              <w:right w:val="nil"/>
            </w:tcBorders>
            <w:shd w:val="clear" w:color="auto" w:fill="auto"/>
            <w:noWrap/>
            <w:vAlign w:val="bottom"/>
            <w:hideMark/>
          </w:tcPr>
          <w:p w14:paraId="65151377"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0.0073</w:t>
            </w:r>
          </w:p>
        </w:tc>
      </w:tr>
      <w:tr w:rsidR="00BC4CCE" w:rsidRPr="00397EC7" w14:paraId="48E8FAE3"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1ECD2AAD" w14:textId="77777777"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150-299</w:t>
            </w:r>
          </w:p>
        </w:tc>
        <w:tc>
          <w:tcPr>
            <w:tcW w:w="1669" w:type="dxa"/>
            <w:tcBorders>
              <w:top w:val="nil"/>
              <w:left w:val="nil"/>
              <w:bottom w:val="nil"/>
              <w:right w:val="nil"/>
            </w:tcBorders>
            <w:shd w:val="clear" w:color="auto" w:fill="auto"/>
            <w:noWrap/>
            <w:vAlign w:val="bottom"/>
            <w:hideMark/>
          </w:tcPr>
          <w:p w14:paraId="3FEAF31C"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1.08 [0.65-1.80]</w:t>
            </w:r>
          </w:p>
        </w:tc>
        <w:tc>
          <w:tcPr>
            <w:tcW w:w="851" w:type="dxa"/>
            <w:tcBorders>
              <w:top w:val="nil"/>
              <w:left w:val="nil"/>
              <w:bottom w:val="nil"/>
              <w:right w:val="nil"/>
            </w:tcBorders>
            <w:shd w:val="clear" w:color="auto" w:fill="auto"/>
            <w:noWrap/>
            <w:vAlign w:val="bottom"/>
            <w:hideMark/>
          </w:tcPr>
          <w:p w14:paraId="337D3EDB"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0.76</w:t>
            </w:r>
          </w:p>
        </w:tc>
        <w:tc>
          <w:tcPr>
            <w:tcW w:w="191" w:type="dxa"/>
            <w:tcBorders>
              <w:top w:val="nil"/>
              <w:left w:val="nil"/>
              <w:bottom w:val="nil"/>
              <w:right w:val="nil"/>
            </w:tcBorders>
            <w:shd w:val="clear" w:color="auto" w:fill="auto"/>
            <w:noWrap/>
            <w:vAlign w:val="bottom"/>
            <w:hideMark/>
          </w:tcPr>
          <w:p w14:paraId="66E12E8C"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67C3ACA4"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1.30 [0.96-1.77]</w:t>
            </w:r>
          </w:p>
        </w:tc>
        <w:tc>
          <w:tcPr>
            <w:tcW w:w="924" w:type="dxa"/>
            <w:tcBorders>
              <w:top w:val="nil"/>
              <w:left w:val="nil"/>
              <w:bottom w:val="nil"/>
              <w:right w:val="nil"/>
            </w:tcBorders>
            <w:shd w:val="clear" w:color="auto" w:fill="auto"/>
            <w:noWrap/>
            <w:vAlign w:val="bottom"/>
            <w:hideMark/>
          </w:tcPr>
          <w:p w14:paraId="58C2EC1D"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0.087</w:t>
            </w:r>
          </w:p>
        </w:tc>
      </w:tr>
      <w:tr w:rsidR="00BC4CCE" w:rsidRPr="00397EC7" w14:paraId="3DD52971"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2CEDB4F3" w14:textId="77777777"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300-599</w:t>
            </w:r>
          </w:p>
        </w:tc>
        <w:tc>
          <w:tcPr>
            <w:tcW w:w="1669" w:type="dxa"/>
            <w:tcBorders>
              <w:top w:val="nil"/>
              <w:left w:val="nil"/>
              <w:bottom w:val="nil"/>
              <w:right w:val="nil"/>
            </w:tcBorders>
            <w:shd w:val="clear" w:color="auto" w:fill="auto"/>
            <w:noWrap/>
            <w:vAlign w:val="bottom"/>
            <w:hideMark/>
          </w:tcPr>
          <w:p w14:paraId="3643A9FE"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1.20 [0.82-1.76]</w:t>
            </w:r>
          </w:p>
        </w:tc>
        <w:tc>
          <w:tcPr>
            <w:tcW w:w="851" w:type="dxa"/>
            <w:tcBorders>
              <w:top w:val="nil"/>
              <w:left w:val="nil"/>
              <w:bottom w:val="nil"/>
              <w:right w:val="nil"/>
            </w:tcBorders>
            <w:shd w:val="clear" w:color="auto" w:fill="auto"/>
            <w:noWrap/>
            <w:vAlign w:val="bottom"/>
            <w:hideMark/>
          </w:tcPr>
          <w:p w14:paraId="5CDD3556"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0.34</w:t>
            </w:r>
          </w:p>
        </w:tc>
        <w:tc>
          <w:tcPr>
            <w:tcW w:w="191" w:type="dxa"/>
            <w:tcBorders>
              <w:top w:val="nil"/>
              <w:left w:val="nil"/>
              <w:bottom w:val="nil"/>
              <w:right w:val="nil"/>
            </w:tcBorders>
            <w:shd w:val="clear" w:color="auto" w:fill="auto"/>
            <w:noWrap/>
            <w:vAlign w:val="bottom"/>
            <w:hideMark/>
          </w:tcPr>
          <w:p w14:paraId="2D5409B2"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0C04C942"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1.03 [0.81-1.31]</w:t>
            </w:r>
          </w:p>
        </w:tc>
        <w:tc>
          <w:tcPr>
            <w:tcW w:w="924" w:type="dxa"/>
            <w:tcBorders>
              <w:top w:val="nil"/>
              <w:left w:val="nil"/>
              <w:bottom w:val="nil"/>
              <w:right w:val="nil"/>
            </w:tcBorders>
            <w:shd w:val="clear" w:color="auto" w:fill="auto"/>
            <w:noWrap/>
            <w:vAlign w:val="bottom"/>
            <w:hideMark/>
          </w:tcPr>
          <w:p w14:paraId="2EA9A96B"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0.80</w:t>
            </w:r>
          </w:p>
        </w:tc>
      </w:tr>
      <w:tr w:rsidR="00BC4CCE" w:rsidRPr="00397EC7" w14:paraId="49D3547A"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35A3970A" w14:textId="77777777"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600-999</w:t>
            </w:r>
          </w:p>
        </w:tc>
        <w:tc>
          <w:tcPr>
            <w:tcW w:w="1669" w:type="dxa"/>
            <w:tcBorders>
              <w:top w:val="nil"/>
              <w:left w:val="nil"/>
              <w:bottom w:val="nil"/>
              <w:right w:val="nil"/>
            </w:tcBorders>
            <w:shd w:val="clear" w:color="auto" w:fill="auto"/>
            <w:noWrap/>
            <w:vAlign w:val="bottom"/>
            <w:hideMark/>
          </w:tcPr>
          <w:p w14:paraId="5FE61CF1"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1.10 [0.74-1.62]</w:t>
            </w:r>
          </w:p>
        </w:tc>
        <w:tc>
          <w:tcPr>
            <w:tcW w:w="851" w:type="dxa"/>
            <w:tcBorders>
              <w:top w:val="nil"/>
              <w:left w:val="nil"/>
              <w:bottom w:val="nil"/>
              <w:right w:val="nil"/>
            </w:tcBorders>
            <w:shd w:val="clear" w:color="auto" w:fill="auto"/>
            <w:noWrap/>
            <w:vAlign w:val="bottom"/>
            <w:hideMark/>
          </w:tcPr>
          <w:p w14:paraId="19F1403D"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0.62</w:t>
            </w:r>
          </w:p>
        </w:tc>
        <w:tc>
          <w:tcPr>
            <w:tcW w:w="191" w:type="dxa"/>
            <w:tcBorders>
              <w:top w:val="nil"/>
              <w:left w:val="nil"/>
              <w:bottom w:val="nil"/>
              <w:right w:val="nil"/>
            </w:tcBorders>
            <w:shd w:val="clear" w:color="auto" w:fill="auto"/>
            <w:noWrap/>
            <w:vAlign w:val="bottom"/>
            <w:hideMark/>
          </w:tcPr>
          <w:p w14:paraId="573A3335"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6ECB6A4B"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1.03 [0.81-1.32]</w:t>
            </w:r>
          </w:p>
        </w:tc>
        <w:tc>
          <w:tcPr>
            <w:tcW w:w="924" w:type="dxa"/>
            <w:tcBorders>
              <w:top w:val="nil"/>
              <w:left w:val="nil"/>
              <w:bottom w:val="nil"/>
              <w:right w:val="nil"/>
            </w:tcBorders>
            <w:shd w:val="clear" w:color="auto" w:fill="auto"/>
            <w:noWrap/>
            <w:vAlign w:val="bottom"/>
            <w:hideMark/>
          </w:tcPr>
          <w:p w14:paraId="0CB9AA9F"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0.79</w:t>
            </w:r>
          </w:p>
        </w:tc>
      </w:tr>
      <w:tr w:rsidR="00BC4CCE" w:rsidRPr="00397EC7" w14:paraId="7C462116"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4B5CA76F" w14:textId="77777777"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≥1,000</w:t>
            </w:r>
          </w:p>
        </w:tc>
        <w:tc>
          <w:tcPr>
            <w:tcW w:w="1669" w:type="dxa"/>
            <w:tcBorders>
              <w:top w:val="nil"/>
              <w:left w:val="nil"/>
              <w:right w:val="nil"/>
            </w:tcBorders>
            <w:shd w:val="clear" w:color="auto" w:fill="auto"/>
            <w:noWrap/>
            <w:vAlign w:val="bottom"/>
            <w:hideMark/>
          </w:tcPr>
          <w:p w14:paraId="3C90225E"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1" w:type="dxa"/>
            <w:tcBorders>
              <w:top w:val="nil"/>
              <w:left w:val="nil"/>
              <w:right w:val="nil"/>
            </w:tcBorders>
            <w:shd w:val="clear" w:color="auto" w:fill="auto"/>
            <w:noWrap/>
            <w:vAlign w:val="bottom"/>
            <w:hideMark/>
          </w:tcPr>
          <w:p w14:paraId="00835036"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right w:val="nil"/>
            </w:tcBorders>
            <w:shd w:val="clear" w:color="auto" w:fill="auto"/>
            <w:noWrap/>
            <w:vAlign w:val="bottom"/>
            <w:hideMark/>
          </w:tcPr>
          <w:p w14:paraId="48A8D5D9"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right w:val="nil"/>
            </w:tcBorders>
            <w:shd w:val="clear" w:color="auto" w:fill="auto"/>
            <w:noWrap/>
            <w:vAlign w:val="bottom"/>
            <w:hideMark/>
          </w:tcPr>
          <w:p w14:paraId="1020C273"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24" w:type="dxa"/>
            <w:tcBorders>
              <w:top w:val="nil"/>
              <w:left w:val="nil"/>
              <w:bottom w:val="nil"/>
              <w:right w:val="nil"/>
            </w:tcBorders>
            <w:shd w:val="clear" w:color="auto" w:fill="auto"/>
            <w:noWrap/>
            <w:vAlign w:val="bottom"/>
            <w:hideMark/>
          </w:tcPr>
          <w:p w14:paraId="53D061D6"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r>
      <w:tr w:rsidR="00BC4CCE" w:rsidRPr="00397EC7" w14:paraId="0797F052"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29703ABC" w14:textId="77777777"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not retrieved</w:t>
            </w:r>
          </w:p>
        </w:tc>
        <w:tc>
          <w:tcPr>
            <w:tcW w:w="1669" w:type="dxa"/>
            <w:tcBorders>
              <w:top w:val="nil"/>
              <w:left w:val="nil"/>
              <w:bottom w:val="single" w:sz="4" w:space="0" w:color="auto"/>
              <w:right w:val="nil"/>
            </w:tcBorders>
            <w:shd w:val="clear" w:color="auto" w:fill="auto"/>
            <w:noWrap/>
            <w:vAlign w:val="bottom"/>
            <w:hideMark/>
          </w:tcPr>
          <w:p w14:paraId="518A0DCC"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16.8 [11.8-24.0]</w:t>
            </w:r>
          </w:p>
        </w:tc>
        <w:tc>
          <w:tcPr>
            <w:tcW w:w="851" w:type="dxa"/>
            <w:tcBorders>
              <w:top w:val="nil"/>
              <w:left w:val="nil"/>
              <w:bottom w:val="single" w:sz="4" w:space="0" w:color="auto"/>
              <w:right w:val="nil"/>
            </w:tcBorders>
            <w:shd w:val="clear" w:color="auto" w:fill="auto"/>
            <w:noWrap/>
            <w:vAlign w:val="bottom"/>
            <w:hideMark/>
          </w:tcPr>
          <w:p w14:paraId="38401A3C"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single" w:sz="4" w:space="0" w:color="auto"/>
              <w:right w:val="nil"/>
            </w:tcBorders>
            <w:shd w:val="clear" w:color="auto" w:fill="auto"/>
            <w:noWrap/>
            <w:vAlign w:val="bottom"/>
            <w:hideMark/>
          </w:tcPr>
          <w:p w14:paraId="0E3B4272"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bottom w:val="single" w:sz="4" w:space="0" w:color="auto"/>
              <w:right w:val="nil"/>
            </w:tcBorders>
            <w:shd w:val="clear" w:color="auto" w:fill="auto"/>
            <w:noWrap/>
            <w:vAlign w:val="bottom"/>
            <w:hideMark/>
          </w:tcPr>
          <w:p w14:paraId="1270D04E"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1.61 [1.27-2.05]</w:t>
            </w:r>
          </w:p>
        </w:tc>
        <w:tc>
          <w:tcPr>
            <w:tcW w:w="924" w:type="dxa"/>
            <w:tcBorders>
              <w:top w:val="nil"/>
              <w:left w:val="nil"/>
              <w:bottom w:val="nil"/>
              <w:right w:val="nil"/>
            </w:tcBorders>
            <w:shd w:val="clear" w:color="auto" w:fill="auto"/>
            <w:noWrap/>
            <w:vAlign w:val="bottom"/>
            <w:hideMark/>
          </w:tcPr>
          <w:p w14:paraId="0CF3FF5B"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BC4CCE" w:rsidRPr="00397EC7" w14:paraId="0460D71B" w14:textId="77777777" w:rsidTr="00995C5C">
        <w:trPr>
          <w:trHeight w:val="20"/>
          <w:jc w:val="center"/>
        </w:trPr>
        <w:tc>
          <w:tcPr>
            <w:tcW w:w="4555" w:type="dxa"/>
            <w:tcBorders>
              <w:top w:val="single" w:sz="4" w:space="0" w:color="auto"/>
              <w:left w:val="nil"/>
              <w:bottom w:val="nil"/>
              <w:right w:val="nil"/>
            </w:tcBorders>
            <w:shd w:val="clear" w:color="000000" w:fill="F2F2F2"/>
            <w:noWrap/>
            <w:vAlign w:val="bottom"/>
            <w:hideMark/>
          </w:tcPr>
          <w:p w14:paraId="6AEB3E59" w14:textId="77777777" w:rsidR="00BC4CCE" w:rsidRPr="00397EC7" w:rsidRDefault="00BC4CCE" w:rsidP="00DB5008">
            <w:pPr>
              <w:spacing w:after="0" w:line="240" w:lineRule="auto"/>
              <w:jc w:val="left"/>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Hospital/clinic characteristics</w:t>
            </w:r>
          </w:p>
        </w:tc>
        <w:tc>
          <w:tcPr>
            <w:tcW w:w="1669" w:type="dxa"/>
            <w:tcBorders>
              <w:top w:val="single" w:sz="4" w:space="0" w:color="auto"/>
              <w:left w:val="nil"/>
              <w:bottom w:val="nil"/>
              <w:right w:val="nil"/>
            </w:tcBorders>
            <w:shd w:val="clear" w:color="000000" w:fill="F2F2F2"/>
            <w:noWrap/>
            <w:vAlign w:val="bottom"/>
            <w:hideMark/>
          </w:tcPr>
          <w:p w14:paraId="5DC3BDE3" w14:textId="77777777" w:rsidR="00BC4CCE" w:rsidRPr="00397EC7" w:rsidRDefault="00BC4CCE"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xml:space="preserve"> </w:t>
            </w:r>
          </w:p>
        </w:tc>
        <w:tc>
          <w:tcPr>
            <w:tcW w:w="851" w:type="dxa"/>
            <w:tcBorders>
              <w:top w:val="single" w:sz="4" w:space="0" w:color="auto"/>
              <w:left w:val="nil"/>
              <w:bottom w:val="nil"/>
              <w:right w:val="nil"/>
            </w:tcBorders>
            <w:shd w:val="clear" w:color="000000" w:fill="F2F2F2"/>
            <w:noWrap/>
            <w:vAlign w:val="bottom"/>
            <w:hideMark/>
          </w:tcPr>
          <w:p w14:paraId="39589A56" w14:textId="77777777" w:rsidR="00BC4CCE" w:rsidRPr="00397EC7" w:rsidRDefault="00BC4CCE"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191" w:type="dxa"/>
            <w:tcBorders>
              <w:top w:val="single" w:sz="4" w:space="0" w:color="auto"/>
              <w:left w:val="nil"/>
              <w:bottom w:val="nil"/>
              <w:right w:val="nil"/>
            </w:tcBorders>
            <w:shd w:val="clear" w:color="000000" w:fill="F2F2F2"/>
            <w:noWrap/>
            <w:vAlign w:val="bottom"/>
            <w:hideMark/>
          </w:tcPr>
          <w:p w14:paraId="1725AC29" w14:textId="77777777" w:rsidR="00BC4CCE" w:rsidRPr="00397EC7" w:rsidRDefault="00BC4CCE"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1541" w:type="dxa"/>
            <w:tcBorders>
              <w:top w:val="single" w:sz="4" w:space="0" w:color="auto"/>
              <w:left w:val="nil"/>
              <w:bottom w:val="nil"/>
              <w:right w:val="nil"/>
            </w:tcBorders>
            <w:shd w:val="clear" w:color="000000" w:fill="F2F2F2"/>
            <w:noWrap/>
            <w:vAlign w:val="bottom"/>
            <w:hideMark/>
          </w:tcPr>
          <w:p w14:paraId="1B4A6F59" w14:textId="77777777" w:rsidR="00BC4CCE" w:rsidRPr="00397EC7" w:rsidRDefault="00BC4CCE"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xml:space="preserve"> </w:t>
            </w:r>
          </w:p>
        </w:tc>
        <w:tc>
          <w:tcPr>
            <w:tcW w:w="924" w:type="dxa"/>
            <w:tcBorders>
              <w:top w:val="single" w:sz="4" w:space="0" w:color="auto"/>
              <w:left w:val="nil"/>
              <w:bottom w:val="nil"/>
              <w:right w:val="nil"/>
            </w:tcBorders>
            <w:shd w:val="clear" w:color="000000" w:fill="F2F2F2"/>
            <w:noWrap/>
            <w:vAlign w:val="bottom"/>
            <w:hideMark/>
          </w:tcPr>
          <w:p w14:paraId="119E63A1" w14:textId="77777777" w:rsidR="00BC4CCE" w:rsidRPr="00397EC7" w:rsidRDefault="00BC4CCE" w:rsidP="00DB5008">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r>
      <w:tr w:rsidR="00BC4CCE" w:rsidRPr="00397EC7" w14:paraId="0D34E41B"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1228E274" w14:textId="77777777" w:rsidR="00BC4CCE" w:rsidRPr="00397EC7" w:rsidRDefault="00BC4CCE" w:rsidP="00DB5008">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Type of health facility</w:t>
            </w:r>
          </w:p>
        </w:tc>
        <w:tc>
          <w:tcPr>
            <w:tcW w:w="1669" w:type="dxa"/>
            <w:tcBorders>
              <w:top w:val="nil"/>
              <w:left w:val="nil"/>
              <w:bottom w:val="nil"/>
              <w:right w:val="nil"/>
            </w:tcBorders>
            <w:shd w:val="clear" w:color="auto" w:fill="auto"/>
            <w:noWrap/>
            <w:vAlign w:val="bottom"/>
            <w:hideMark/>
          </w:tcPr>
          <w:p w14:paraId="45844618" w14:textId="77777777" w:rsidR="00BC4CCE" w:rsidRPr="00397EC7" w:rsidRDefault="00BC4CCE" w:rsidP="00DB5008">
            <w:pPr>
              <w:spacing w:after="0" w:line="240" w:lineRule="auto"/>
              <w:jc w:val="center"/>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 xml:space="preserve"> </w:t>
            </w:r>
          </w:p>
        </w:tc>
        <w:tc>
          <w:tcPr>
            <w:tcW w:w="851" w:type="dxa"/>
            <w:tcBorders>
              <w:top w:val="nil"/>
              <w:left w:val="nil"/>
              <w:bottom w:val="nil"/>
              <w:right w:val="nil"/>
            </w:tcBorders>
            <w:shd w:val="clear" w:color="auto" w:fill="auto"/>
            <w:noWrap/>
            <w:vAlign w:val="bottom"/>
            <w:hideMark/>
          </w:tcPr>
          <w:p w14:paraId="7E81EB45" w14:textId="77777777" w:rsidR="00BC4CCE" w:rsidRPr="00397EC7" w:rsidRDefault="00BC4CCE" w:rsidP="00DB5008">
            <w:pPr>
              <w:spacing w:after="0" w:line="240" w:lineRule="auto"/>
              <w:jc w:val="center"/>
              <w:rPr>
                <w:rFonts w:eastAsia="Times New Roman" w:cs="Arial"/>
                <w:b/>
                <w:bCs/>
                <w:i/>
                <w:iCs/>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592BAD20" w14:textId="77777777" w:rsidR="00BC4CCE" w:rsidRPr="00397EC7" w:rsidRDefault="00BC4CCE" w:rsidP="00DB5008">
            <w:pPr>
              <w:spacing w:after="0" w:line="240" w:lineRule="auto"/>
              <w:jc w:val="center"/>
              <w:rPr>
                <w:rFonts w:eastAsia="Times New Roman" w:cs="Arial"/>
                <w:b/>
                <w:bCs/>
                <w:i/>
                <w:iCs/>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7B9D9696" w14:textId="77777777" w:rsidR="00BC4CCE" w:rsidRPr="00397EC7" w:rsidRDefault="00BC4CCE" w:rsidP="00DB5008">
            <w:pPr>
              <w:spacing w:after="0" w:line="240" w:lineRule="auto"/>
              <w:jc w:val="center"/>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 xml:space="preserve"> </w:t>
            </w:r>
          </w:p>
        </w:tc>
        <w:tc>
          <w:tcPr>
            <w:tcW w:w="924" w:type="dxa"/>
            <w:tcBorders>
              <w:top w:val="nil"/>
              <w:left w:val="nil"/>
              <w:bottom w:val="nil"/>
              <w:right w:val="nil"/>
            </w:tcBorders>
            <w:shd w:val="clear" w:color="auto" w:fill="auto"/>
            <w:noWrap/>
            <w:vAlign w:val="bottom"/>
            <w:hideMark/>
          </w:tcPr>
          <w:p w14:paraId="67A70342" w14:textId="77777777" w:rsidR="00BC4CCE" w:rsidRPr="00397EC7" w:rsidRDefault="00BC4CCE" w:rsidP="00DB5008">
            <w:pPr>
              <w:spacing w:after="0" w:line="240" w:lineRule="auto"/>
              <w:jc w:val="center"/>
              <w:rPr>
                <w:rFonts w:eastAsia="Times New Roman" w:cs="Arial"/>
                <w:b/>
                <w:bCs/>
                <w:i/>
                <w:iCs/>
                <w:color w:val="000000"/>
                <w:sz w:val="18"/>
                <w:szCs w:val="18"/>
                <w:lang w:val="en-GB" w:eastAsia="fr-FR"/>
              </w:rPr>
            </w:pPr>
          </w:p>
        </w:tc>
      </w:tr>
      <w:tr w:rsidR="00BC4CCE" w:rsidRPr="00397EC7" w14:paraId="6EEFEDDC"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411F8D37" w14:textId="77777777"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for-profit private clinic</w:t>
            </w:r>
          </w:p>
        </w:tc>
        <w:tc>
          <w:tcPr>
            <w:tcW w:w="1669" w:type="dxa"/>
            <w:tcBorders>
              <w:top w:val="nil"/>
              <w:left w:val="nil"/>
              <w:bottom w:val="nil"/>
              <w:right w:val="nil"/>
            </w:tcBorders>
            <w:shd w:val="clear" w:color="auto" w:fill="auto"/>
            <w:noWrap/>
            <w:vAlign w:val="bottom"/>
            <w:hideMark/>
          </w:tcPr>
          <w:p w14:paraId="727953AA"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1" w:type="dxa"/>
            <w:tcBorders>
              <w:top w:val="nil"/>
              <w:left w:val="nil"/>
              <w:bottom w:val="nil"/>
              <w:right w:val="nil"/>
            </w:tcBorders>
            <w:shd w:val="clear" w:color="auto" w:fill="auto"/>
            <w:noWrap/>
            <w:vAlign w:val="bottom"/>
            <w:hideMark/>
          </w:tcPr>
          <w:p w14:paraId="338B950C"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noWrap/>
            <w:vAlign w:val="bottom"/>
            <w:hideMark/>
          </w:tcPr>
          <w:p w14:paraId="0CE1C39B"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4C19C768"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24" w:type="dxa"/>
            <w:tcBorders>
              <w:top w:val="nil"/>
              <w:left w:val="nil"/>
              <w:bottom w:val="nil"/>
              <w:right w:val="nil"/>
            </w:tcBorders>
            <w:shd w:val="clear" w:color="auto" w:fill="auto"/>
            <w:noWrap/>
            <w:vAlign w:val="bottom"/>
            <w:hideMark/>
          </w:tcPr>
          <w:p w14:paraId="1403C02B"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r>
      <w:tr w:rsidR="00BC4CCE" w:rsidRPr="00397EC7" w14:paraId="0DA76443"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058512A0" w14:textId="77777777"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not-for-profit private clinic</w:t>
            </w:r>
          </w:p>
        </w:tc>
        <w:tc>
          <w:tcPr>
            <w:tcW w:w="1669" w:type="dxa"/>
            <w:tcBorders>
              <w:top w:val="nil"/>
              <w:left w:val="nil"/>
              <w:bottom w:val="nil"/>
              <w:right w:val="nil"/>
            </w:tcBorders>
            <w:shd w:val="clear" w:color="auto" w:fill="auto"/>
            <w:noWrap/>
            <w:vAlign w:val="bottom"/>
            <w:hideMark/>
          </w:tcPr>
          <w:p w14:paraId="5D2847C9"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3.49 [2.87-4.24]</w:t>
            </w:r>
          </w:p>
        </w:tc>
        <w:tc>
          <w:tcPr>
            <w:tcW w:w="851" w:type="dxa"/>
            <w:tcBorders>
              <w:top w:val="nil"/>
              <w:left w:val="nil"/>
              <w:bottom w:val="nil"/>
              <w:right w:val="nil"/>
            </w:tcBorders>
            <w:shd w:val="clear" w:color="auto" w:fill="auto"/>
            <w:noWrap/>
            <w:vAlign w:val="bottom"/>
            <w:hideMark/>
          </w:tcPr>
          <w:p w14:paraId="6D56C4AE"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34C43F2C"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67B84D7A"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1.12 [0.91-1.38]</w:t>
            </w:r>
          </w:p>
        </w:tc>
        <w:tc>
          <w:tcPr>
            <w:tcW w:w="924" w:type="dxa"/>
            <w:tcBorders>
              <w:top w:val="nil"/>
              <w:left w:val="nil"/>
              <w:bottom w:val="nil"/>
              <w:right w:val="nil"/>
            </w:tcBorders>
            <w:shd w:val="clear" w:color="auto" w:fill="auto"/>
            <w:noWrap/>
            <w:vAlign w:val="bottom"/>
            <w:hideMark/>
          </w:tcPr>
          <w:p w14:paraId="24814100"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0.25</w:t>
            </w:r>
          </w:p>
        </w:tc>
      </w:tr>
      <w:tr w:rsidR="00BC4CCE" w:rsidRPr="00397EC7" w14:paraId="49A9C11D"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69BE07D9" w14:textId="77777777"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local public hospital</w:t>
            </w:r>
          </w:p>
        </w:tc>
        <w:tc>
          <w:tcPr>
            <w:tcW w:w="1669" w:type="dxa"/>
            <w:tcBorders>
              <w:top w:val="nil"/>
              <w:left w:val="nil"/>
              <w:bottom w:val="nil"/>
              <w:right w:val="nil"/>
            </w:tcBorders>
            <w:shd w:val="clear" w:color="auto" w:fill="auto"/>
            <w:noWrap/>
            <w:vAlign w:val="bottom"/>
            <w:hideMark/>
          </w:tcPr>
          <w:p w14:paraId="3A4001CC"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10.9 [9.74-12.3]</w:t>
            </w:r>
          </w:p>
        </w:tc>
        <w:tc>
          <w:tcPr>
            <w:tcW w:w="851" w:type="dxa"/>
            <w:tcBorders>
              <w:top w:val="nil"/>
              <w:left w:val="nil"/>
              <w:bottom w:val="nil"/>
              <w:right w:val="nil"/>
            </w:tcBorders>
            <w:shd w:val="clear" w:color="auto" w:fill="auto"/>
            <w:noWrap/>
            <w:vAlign w:val="bottom"/>
            <w:hideMark/>
          </w:tcPr>
          <w:p w14:paraId="4491D383"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296C31B7"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36BC0D40"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1.46 [1.28-1.67]</w:t>
            </w:r>
          </w:p>
        </w:tc>
        <w:tc>
          <w:tcPr>
            <w:tcW w:w="924" w:type="dxa"/>
            <w:tcBorders>
              <w:top w:val="nil"/>
              <w:left w:val="nil"/>
              <w:bottom w:val="nil"/>
              <w:right w:val="nil"/>
            </w:tcBorders>
            <w:shd w:val="clear" w:color="auto" w:fill="auto"/>
            <w:noWrap/>
            <w:vAlign w:val="bottom"/>
            <w:hideMark/>
          </w:tcPr>
          <w:p w14:paraId="67552CEF"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BC4CCE" w:rsidRPr="00397EC7" w14:paraId="4EE6C135"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10624BC8" w14:textId="77777777"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university public hospital</w:t>
            </w:r>
          </w:p>
        </w:tc>
        <w:tc>
          <w:tcPr>
            <w:tcW w:w="1669" w:type="dxa"/>
            <w:tcBorders>
              <w:top w:val="nil"/>
              <w:left w:val="nil"/>
              <w:bottom w:val="nil"/>
              <w:right w:val="nil"/>
            </w:tcBorders>
            <w:shd w:val="clear" w:color="auto" w:fill="auto"/>
            <w:noWrap/>
            <w:vAlign w:val="bottom"/>
            <w:hideMark/>
          </w:tcPr>
          <w:p w14:paraId="2601EDC2"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54.5 [48.2-61.5]</w:t>
            </w:r>
          </w:p>
        </w:tc>
        <w:tc>
          <w:tcPr>
            <w:tcW w:w="851" w:type="dxa"/>
            <w:tcBorders>
              <w:top w:val="nil"/>
              <w:left w:val="nil"/>
              <w:bottom w:val="nil"/>
              <w:right w:val="nil"/>
            </w:tcBorders>
            <w:shd w:val="clear" w:color="auto" w:fill="auto"/>
            <w:noWrap/>
            <w:vAlign w:val="bottom"/>
            <w:hideMark/>
          </w:tcPr>
          <w:p w14:paraId="330AE480"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43ECBEBE"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noWrap/>
            <w:vAlign w:val="bottom"/>
            <w:hideMark/>
          </w:tcPr>
          <w:p w14:paraId="6C5E5A5C"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2.48 [1.98-3.10]</w:t>
            </w:r>
          </w:p>
        </w:tc>
        <w:tc>
          <w:tcPr>
            <w:tcW w:w="924" w:type="dxa"/>
            <w:tcBorders>
              <w:top w:val="nil"/>
              <w:left w:val="nil"/>
              <w:bottom w:val="nil"/>
              <w:right w:val="nil"/>
            </w:tcBorders>
            <w:shd w:val="clear" w:color="auto" w:fill="auto"/>
            <w:noWrap/>
            <w:vAlign w:val="bottom"/>
            <w:hideMark/>
          </w:tcPr>
          <w:p w14:paraId="7ABD655E"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BC4CCE" w:rsidRPr="00397EC7" w14:paraId="1172AA40" w14:textId="77777777" w:rsidTr="00995C5C">
        <w:trPr>
          <w:trHeight w:val="20"/>
          <w:jc w:val="center"/>
        </w:trPr>
        <w:tc>
          <w:tcPr>
            <w:tcW w:w="4555" w:type="dxa"/>
            <w:tcBorders>
              <w:top w:val="nil"/>
              <w:left w:val="nil"/>
              <w:bottom w:val="nil"/>
              <w:right w:val="nil"/>
            </w:tcBorders>
            <w:shd w:val="clear" w:color="auto" w:fill="auto"/>
            <w:vAlign w:val="bottom"/>
          </w:tcPr>
          <w:p w14:paraId="058EE40D" w14:textId="77777777"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b/>
                <w:bCs/>
                <w:i/>
                <w:iCs/>
                <w:color w:val="000000"/>
                <w:sz w:val="18"/>
                <w:szCs w:val="18"/>
                <w:lang w:val="en-GB" w:eastAsia="fr-FR"/>
              </w:rPr>
              <w:t>Number of procedures performed in the facility each year</w:t>
            </w:r>
          </w:p>
        </w:tc>
        <w:tc>
          <w:tcPr>
            <w:tcW w:w="1669" w:type="dxa"/>
            <w:tcBorders>
              <w:top w:val="nil"/>
              <w:left w:val="nil"/>
              <w:bottom w:val="nil"/>
              <w:right w:val="nil"/>
            </w:tcBorders>
            <w:shd w:val="clear" w:color="auto" w:fill="auto"/>
            <w:vAlign w:val="bottom"/>
          </w:tcPr>
          <w:p w14:paraId="55CF7960"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851" w:type="dxa"/>
            <w:tcBorders>
              <w:top w:val="nil"/>
              <w:left w:val="nil"/>
              <w:bottom w:val="nil"/>
              <w:right w:val="nil"/>
            </w:tcBorders>
            <w:shd w:val="clear" w:color="auto" w:fill="auto"/>
            <w:vAlign w:val="bottom"/>
          </w:tcPr>
          <w:p w14:paraId="137029A0"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91" w:type="dxa"/>
            <w:tcBorders>
              <w:top w:val="nil"/>
              <w:left w:val="nil"/>
              <w:bottom w:val="nil"/>
              <w:right w:val="nil"/>
            </w:tcBorders>
            <w:shd w:val="clear" w:color="auto" w:fill="auto"/>
            <w:vAlign w:val="bottom"/>
          </w:tcPr>
          <w:p w14:paraId="50F9991E"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vAlign w:val="bottom"/>
          </w:tcPr>
          <w:p w14:paraId="1274045E"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924" w:type="dxa"/>
            <w:tcBorders>
              <w:top w:val="nil"/>
              <w:left w:val="nil"/>
              <w:bottom w:val="nil"/>
              <w:right w:val="nil"/>
            </w:tcBorders>
            <w:shd w:val="clear" w:color="auto" w:fill="auto"/>
            <w:vAlign w:val="bottom"/>
          </w:tcPr>
          <w:p w14:paraId="07D85648"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r>
      <w:tr w:rsidR="00BC4CCE" w:rsidRPr="00397EC7" w14:paraId="76F9011B" w14:textId="77777777" w:rsidTr="00995C5C">
        <w:trPr>
          <w:trHeight w:val="20"/>
          <w:jc w:val="center"/>
        </w:trPr>
        <w:tc>
          <w:tcPr>
            <w:tcW w:w="4555" w:type="dxa"/>
            <w:tcBorders>
              <w:top w:val="nil"/>
              <w:left w:val="nil"/>
              <w:bottom w:val="nil"/>
              <w:right w:val="nil"/>
            </w:tcBorders>
            <w:shd w:val="clear" w:color="auto" w:fill="auto"/>
            <w:vAlign w:val="bottom"/>
            <w:hideMark/>
          </w:tcPr>
          <w:p w14:paraId="76FA2586" w14:textId="77777777"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&lt;400</w:t>
            </w:r>
          </w:p>
        </w:tc>
        <w:tc>
          <w:tcPr>
            <w:tcW w:w="1669" w:type="dxa"/>
            <w:tcBorders>
              <w:top w:val="nil"/>
              <w:left w:val="nil"/>
              <w:bottom w:val="nil"/>
              <w:right w:val="nil"/>
            </w:tcBorders>
            <w:shd w:val="clear" w:color="auto" w:fill="auto"/>
            <w:vAlign w:val="bottom"/>
            <w:hideMark/>
          </w:tcPr>
          <w:p w14:paraId="757E826F"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4.60 [3.95-5.35]</w:t>
            </w:r>
          </w:p>
        </w:tc>
        <w:tc>
          <w:tcPr>
            <w:tcW w:w="851" w:type="dxa"/>
            <w:tcBorders>
              <w:top w:val="nil"/>
              <w:left w:val="nil"/>
              <w:bottom w:val="nil"/>
              <w:right w:val="nil"/>
            </w:tcBorders>
            <w:shd w:val="clear" w:color="auto" w:fill="auto"/>
            <w:vAlign w:val="bottom"/>
            <w:hideMark/>
          </w:tcPr>
          <w:p w14:paraId="115EC6CD"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vAlign w:val="bottom"/>
            <w:hideMark/>
          </w:tcPr>
          <w:p w14:paraId="7BFD5E4A"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vAlign w:val="bottom"/>
            <w:hideMark/>
          </w:tcPr>
          <w:p w14:paraId="42174973"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1.13 [0.88-1.44]</w:t>
            </w:r>
          </w:p>
        </w:tc>
        <w:tc>
          <w:tcPr>
            <w:tcW w:w="924" w:type="dxa"/>
            <w:tcBorders>
              <w:top w:val="nil"/>
              <w:left w:val="nil"/>
              <w:bottom w:val="nil"/>
              <w:right w:val="nil"/>
            </w:tcBorders>
            <w:shd w:val="clear" w:color="auto" w:fill="auto"/>
            <w:vAlign w:val="bottom"/>
            <w:hideMark/>
          </w:tcPr>
          <w:p w14:paraId="12699154"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0.32</w:t>
            </w:r>
          </w:p>
        </w:tc>
      </w:tr>
      <w:tr w:rsidR="00BC4CCE" w:rsidRPr="00397EC7" w14:paraId="7B3F45C4" w14:textId="77777777" w:rsidTr="00995C5C">
        <w:trPr>
          <w:trHeight w:val="20"/>
          <w:jc w:val="center"/>
        </w:trPr>
        <w:tc>
          <w:tcPr>
            <w:tcW w:w="4555" w:type="dxa"/>
            <w:tcBorders>
              <w:top w:val="nil"/>
              <w:left w:val="nil"/>
              <w:bottom w:val="nil"/>
              <w:right w:val="nil"/>
            </w:tcBorders>
            <w:shd w:val="clear" w:color="auto" w:fill="auto"/>
            <w:vAlign w:val="bottom"/>
            <w:hideMark/>
          </w:tcPr>
          <w:p w14:paraId="49AC4E7C" w14:textId="77777777"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400-2000</w:t>
            </w:r>
          </w:p>
        </w:tc>
        <w:tc>
          <w:tcPr>
            <w:tcW w:w="1669" w:type="dxa"/>
            <w:tcBorders>
              <w:top w:val="nil"/>
              <w:left w:val="nil"/>
              <w:bottom w:val="nil"/>
              <w:right w:val="nil"/>
            </w:tcBorders>
            <w:shd w:val="clear" w:color="auto" w:fill="auto"/>
            <w:vAlign w:val="bottom"/>
            <w:hideMark/>
          </w:tcPr>
          <w:p w14:paraId="724BD79D"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0.84 [0.73-0.96]</w:t>
            </w:r>
          </w:p>
        </w:tc>
        <w:tc>
          <w:tcPr>
            <w:tcW w:w="851" w:type="dxa"/>
            <w:tcBorders>
              <w:top w:val="nil"/>
              <w:left w:val="nil"/>
              <w:bottom w:val="nil"/>
              <w:right w:val="nil"/>
            </w:tcBorders>
            <w:shd w:val="clear" w:color="auto" w:fill="auto"/>
            <w:vAlign w:val="bottom"/>
            <w:hideMark/>
          </w:tcPr>
          <w:p w14:paraId="629BA9CE"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0.012</w:t>
            </w:r>
          </w:p>
        </w:tc>
        <w:tc>
          <w:tcPr>
            <w:tcW w:w="191" w:type="dxa"/>
            <w:tcBorders>
              <w:top w:val="nil"/>
              <w:left w:val="nil"/>
              <w:bottom w:val="nil"/>
              <w:right w:val="nil"/>
            </w:tcBorders>
            <w:shd w:val="clear" w:color="auto" w:fill="auto"/>
            <w:vAlign w:val="bottom"/>
            <w:hideMark/>
          </w:tcPr>
          <w:p w14:paraId="08CE22C6"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bottom w:val="nil"/>
              <w:right w:val="nil"/>
            </w:tcBorders>
            <w:shd w:val="clear" w:color="auto" w:fill="auto"/>
            <w:vAlign w:val="bottom"/>
            <w:hideMark/>
          </w:tcPr>
          <w:p w14:paraId="6718BEB9"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0.55 [0.47-0.65]</w:t>
            </w:r>
          </w:p>
        </w:tc>
        <w:tc>
          <w:tcPr>
            <w:tcW w:w="924" w:type="dxa"/>
            <w:tcBorders>
              <w:top w:val="nil"/>
              <w:left w:val="nil"/>
              <w:bottom w:val="nil"/>
              <w:right w:val="nil"/>
            </w:tcBorders>
            <w:shd w:val="clear" w:color="auto" w:fill="auto"/>
            <w:vAlign w:val="bottom"/>
            <w:hideMark/>
          </w:tcPr>
          <w:p w14:paraId="3B59B346"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BC4CCE" w:rsidRPr="00397EC7" w14:paraId="0960FF03" w14:textId="77777777" w:rsidTr="00995C5C">
        <w:trPr>
          <w:trHeight w:val="20"/>
          <w:jc w:val="center"/>
        </w:trPr>
        <w:tc>
          <w:tcPr>
            <w:tcW w:w="4555" w:type="dxa"/>
            <w:tcBorders>
              <w:top w:val="nil"/>
              <w:left w:val="nil"/>
              <w:bottom w:val="nil"/>
              <w:right w:val="nil"/>
            </w:tcBorders>
            <w:shd w:val="clear" w:color="auto" w:fill="auto"/>
            <w:noWrap/>
            <w:vAlign w:val="bottom"/>
            <w:hideMark/>
          </w:tcPr>
          <w:p w14:paraId="45645907" w14:textId="77777777"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2000-4999</w:t>
            </w:r>
          </w:p>
        </w:tc>
        <w:tc>
          <w:tcPr>
            <w:tcW w:w="1669" w:type="dxa"/>
            <w:tcBorders>
              <w:top w:val="nil"/>
              <w:left w:val="nil"/>
              <w:bottom w:val="nil"/>
              <w:right w:val="nil"/>
            </w:tcBorders>
            <w:shd w:val="clear" w:color="auto" w:fill="auto"/>
            <w:noWrap/>
            <w:vAlign w:val="bottom"/>
            <w:hideMark/>
          </w:tcPr>
          <w:p w14:paraId="35B83FE1"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0.29 [0.24-0.34]</w:t>
            </w:r>
          </w:p>
        </w:tc>
        <w:tc>
          <w:tcPr>
            <w:tcW w:w="851" w:type="dxa"/>
            <w:tcBorders>
              <w:top w:val="nil"/>
              <w:left w:val="nil"/>
              <w:bottom w:val="nil"/>
              <w:right w:val="nil"/>
            </w:tcBorders>
            <w:shd w:val="clear" w:color="auto" w:fill="auto"/>
            <w:noWrap/>
            <w:vAlign w:val="bottom"/>
            <w:hideMark/>
          </w:tcPr>
          <w:p w14:paraId="78776883"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c>
          <w:tcPr>
            <w:tcW w:w="191" w:type="dxa"/>
            <w:tcBorders>
              <w:top w:val="nil"/>
              <w:left w:val="nil"/>
              <w:bottom w:val="nil"/>
              <w:right w:val="nil"/>
            </w:tcBorders>
            <w:shd w:val="clear" w:color="auto" w:fill="auto"/>
            <w:noWrap/>
            <w:vAlign w:val="bottom"/>
            <w:hideMark/>
          </w:tcPr>
          <w:p w14:paraId="17F15843"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c>
          <w:tcPr>
            <w:tcW w:w="1541" w:type="dxa"/>
            <w:tcBorders>
              <w:top w:val="nil"/>
              <w:left w:val="nil"/>
              <w:right w:val="nil"/>
            </w:tcBorders>
            <w:shd w:val="clear" w:color="auto" w:fill="auto"/>
            <w:noWrap/>
            <w:vAlign w:val="bottom"/>
            <w:hideMark/>
          </w:tcPr>
          <w:p w14:paraId="20D3C0C2"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0.46 [0.39-0.55]</w:t>
            </w:r>
          </w:p>
        </w:tc>
        <w:tc>
          <w:tcPr>
            <w:tcW w:w="924" w:type="dxa"/>
            <w:tcBorders>
              <w:top w:val="nil"/>
              <w:left w:val="nil"/>
              <w:right w:val="nil"/>
            </w:tcBorders>
            <w:shd w:val="clear" w:color="auto" w:fill="auto"/>
            <w:noWrap/>
            <w:vAlign w:val="bottom"/>
            <w:hideMark/>
          </w:tcPr>
          <w:p w14:paraId="769691B7"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BC4CCE" w:rsidRPr="00397EC7" w14:paraId="0D9C914B" w14:textId="77777777" w:rsidTr="00995C5C">
        <w:trPr>
          <w:trHeight w:val="20"/>
          <w:jc w:val="center"/>
        </w:trPr>
        <w:tc>
          <w:tcPr>
            <w:tcW w:w="4555" w:type="dxa"/>
            <w:tcBorders>
              <w:top w:val="nil"/>
              <w:left w:val="nil"/>
              <w:bottom w:val="single" w:sz="4" w:space="0" w:color="auto"/>
              <w:right w:val="nil"/>
            </w:tcBorders>
            <w:shd w:val="clear" w:color="auto" w:fill="auto"/>
            <w:noWrap/>
            <w:vAlign w:val="bottom"/>
            <w:hideMark/>
          </w:tcPr>
          <w:p w14:paraId="6923CE5C" w14:textId="77777777" w:rsidR="00BC4CCE" w:rsidRPr="00397EC7" w:rsidRDefault="00BC4CCE" w:rsidP="00DB5008">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≥5000</w:t>
            </w:r>
          </w:p>
        </w:tc>
        <w:tc>
          <w:tcPr>
            <w:tcW w:w="1669" w:type="dxa"/>
            <w:tcBorders>
              <w:top w:val="nil"/>
              <w:left w:val="nil"/>
              <w:bottom w:val="single" w:sz="4" w:space="0" w:color="auto"/>
              <w:right w:val="nil"/>
            </w:tcBorders>
            <w:shd w:val="clear" w:color="auto" w:fill="auto"/>
            <w:noWrap/>
            <w:vAlign w:val="bottom"/>
            <w:hideMark/>
          </w:tcPr>
          <w:p w14:paraId="1DB08913"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851" w:type="dxa"/>
            <w:tcBorders>
              <w:top w:val="nil"/>
              <w:left w:val="nil"/>
              <w:bottom w:val="single" w:sz="4" w:space="0" w:color="auto"/>
              <w:right w:val="nil"/>
            </w:tcBorders>
            <w:shd w:val="clear" w:color="auto" w:fill="auto"/>
            <w:noWrap/>
            <w:vAlign w:val="bottom"/>
            <w:hideMark/>
          </w:tcPr>
          <w:p w14:paraId="188755BA"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91" w:type="dxa"/>
            <w:tcBorders>
              <w:top w:val="nil"/>
              <w:left w:val="nil"/>
              <w:bottom w:val="single" w:sz="4" w:space="0" w:color="auto"/>
              <w:right w:val="nil"/>
            </w:tcBorders>
            <w:shd w:val="clear" w:color="auto" w:fill="auto"/>
            <w:noWrap/>
            <w:vAlign w:val="bottom"/>
            <w:hideMark/>
          </w:tcPr>
          <w:p w14:paraId="1AF08069"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541" w:type="dxa"/>
            <w:tcBorders>
              <w:top w:val="nil"/>
              <w:left w:val="nil"/>
              <w:bottom w:val="single" w:sz="4" w:space="0" w:color="auto"/>
              <w:right w:val="nil"/>
            </w:tcBorders>
            <w:shd w:val="clear" w:color="auto" w:fill="auto"/>
            <w:noWrap/>
            <w:vAlign w:val="bottom"/>
            <w:hideMark/>
          </w:tcPr>
          <w:p w14:paraId="177B0CB2" w14:textId="77777777" w:rsidR="00BC4CCE" w:rsidRPr="00397EC7" w:rsidRDefault="00BC4CCE" w:rsidP="00DB5008">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24" w:type="dxa"/>
            <w:tcBorders>
              <w:top w:val="nil"/>
              <w:left w:val="nil"/>
              <w:bottom w:val="single" w:sz="4" w:space="0" w:color="auto"/>
              <w:right w:val="nil"/>
            </w:tcBorders>
            <w:shd w:val="clear" w:color="auto" w:fill="auto"/>
            <w:noWrap/>
            <w:vAlign w:val="bottom"/>
            <w:hideMark/>
          </w:tcPr>
          <w:p w14:paraId="66A2C641" w14:textId="77777777" w:rsidR="00BC4CCE" w:rsidRPr="00397EC7" w:rsidRDefault="00BC4CCE" w:rsidP="00DB5008">
            <w:pPr>
              <w:spacing w:after="0" w:line="240" w:lineRule="auto"/>
              <w:jc w:val="center"/>
              <w:rPr>
                <w:rFonts w:eastAsia="Times New Roman" w:cs="Arial"/>
                <w:color w:val="000000"/>
                <w:sz w:val="18"/>
                <w:szCs w:val="18"/>
                <w:lang w:val="en-GB" w:eastAsia="fr-FR"/>
              </w:rPr>
            </w:pPr>
          </w:p>
        </w:tc>
      </w:tr>
    </w:tbl>
    <w:p w14:paraId="6F0E1E80" w14:textId="301EF5C7" w:rsidR="00966E2C" w:rsidRPr="00397EC7" w:rsidRDefault="00966E2C" w:rsidP="00966E2C">
      <w:pPr>
        <w:pStyle w:val="Citationintense"/>
        <w:rPr>
          <w:rFonts w:cs="Arial"/>
          <w:b w:val="0"/>
          <w:sz w:val="16"/>
          <w:lang w:val="en-GB"/>
        </w:rPr>
      </w:pPr>
      <w:r w:rsidRPr="00397EC7">
        <w:rPr>
          <w:rFonts w:cs="Arial"/>
          <w:b w:val="0"/>
          <w:sz w:val="16"/>
          <w:lang w:val="en-GB"/>
        </w:rPr>
        <w:t>OR [95% CI]</w:t>
      </w:r>
      <w:r w:rsidR="00643360" w:rsidRPr="00397EC7">
        <w:rPr>
          <w:rFonts w:cs="Arial"/>
          <w:b w:val="0"/>
          <w:sz w:val="16"/>
          <w:lang w:val="en-GB"/>
        </w:rPr>
        <w:t>:</w:t>
      </w:r>
      <w:r w:rsidRPr="00397EC7">
        <w:rPr>
          <w:rFonts w:cs="Arial"/>
          <w:b w:val="0"/>
          <w:sz w:val="16"/>
          <w:lang w:val="en-GB"/>
        </w:rPr>
        <w:t xml:space="preserve"> Odds ratio [95% confidence interval].</w:t>
      </w:r>
    </w:p>
    <w:p w14:paraId="0BB4FDDA" w14:textId="7B00EB17" w:rsidR="00966E2C" w:rsidRPr="00397EC7" w:rsidRDefault="00457B87" w:rsidP="00966E2C">
      <w:pPr>
        <w:pStyle w:val="Citationintense"/>
        <w:rPr>
          <w:rFonts w:cs="Arial"/>
          <w:b w:val="0"/>
          <w:sz w:val="16"/>
          <w:lang w:val="en-GB"/>
        </w:rPr>
      </w:pPr>
      <w:proofErr w:type="spellStart"/>
      <w:proofErr w:type="gramStart"/>
      <w:r w:rsidRPr="00397EC7">
        <w:rPr>
          <w:rFonts w:cs="Arial"/>
          <w:b w:val="0"/>
          <w:sz w:val="16"/>
          <w:vertAlign w:val="superscript"/>
          <w:lang w:val="en-GB"/>
        </w:rPr>
        <w:t>a</w:t>
      </w:r>
      <w:proofErr w:type="spellEnd"/>
      <w:proofErr w:type="gramEnd"/>
      <w:r w:rsidR="00DE43B0" w:rsidRPr="00397EC7">
        <w:rPr>
          <w:rFonts w:cs="Arial"/>
          <w:b w:val="0"/>
          <w:sz w:val="16"/>
          <w:lang w:val="en-GB"/>
        </w:rPr>
        <w:t xml:space="preserve"> except non-</w:t>
      </w:r>
      <w:r w:rsidR="00966E2C" w:rsidRPr="00397EC7">
        <w:rPr>
          <w:rFonts w:cs="Arial"/>
          <w:b w:val="0"/>
          <w:sz w:val="16"/>
          <w:lang w:val="en-GB"/>
        </w:rPr>
        <w:t>melanoma skin cancer</w:t>
      </w:r>
    </w:p>
    <w:p w14:paraId="397B56A8" w14:textId="767BB57D" w:rsidR="00966E2C" w:rsidRPr="00397EC7" w:rsidRDefault="00457B87" w:rsidP="00966E2C">
      <w:pPr>
        <w:pStyle w:val="Citationintense"/>
        <w:rPr>
          <w:rFonts w:cs="Arial"/>
          <w:b w:val="0"/>
          <w:sz w:val="16"/>
          <w:lang w:val="en-GB"/>
        </w:rPr>
      </w:pPr>
      <w:proofErr w:type="gramStart"/>
      <w:r w:rsidRPr="00397EC7">
        <w:rPr>
          <w:rFonts w:cs="Arial"/>
          <w:b w:val="0"/>
          <w:sz w:val="16"/>
          <w:vertAlign w:val="superscript"/>
          <w:lang w:val="en-GB"/>
        </w:rPr>
        <w:t>b</w:t>
      </w:r>
      <w:proofErr w:type="gramEnd"/>
      <w:r w:rsidR="00966E2C" w:rsidRPr="00397EC7">
        <w:rPr>
          <w:rFonts w:cs="Arial"/>
          <w:b w:val="0"/>
          <w:sz w:val="16"/>
          <w:lang w:val="en-GB"/>
        </w:rPr>
        <w:t xml:space="preserve"> including lymphoma and </w:t>
      </w:r>
      <w:proofErr w:type="spellStart"/>
      <w:r w:rsidR="00966E2C" w:rsidRPr="00397EC7">
        <w:rPr>
          <w:rFonts w:cs="Arial"/>
          <w:b w:val="0"/>
          <w:sz w:val="16"/>
          <w:lang w:val="en-GB"/>
        </w:rPr>
        <w:t>leukemia</w:t>
      </w:r>
      <w:proofErr w:type="spellEnd"/>
    </w:p>
    <w:p w14:paraId="4BB8494A" w14:textId="77777777" w:rsidR="00966E2C" w:rsidRPr="00397EC7" w:rsidRDefault="00966E2C" w:rsidP="00966E2C">
      <w:pPr>
        <w:spacing w:line="276" w:lineRule="auto"/>
        <w:jc w:val="left"/>
        <w:rPr>
          <w:rFonts w:cs="Arial"/>
          <w:lang w:val="en-GB" w:eastAsia="fr-FR"/>
        </w:rPr>
      </w:pPr>
      <w:r w:rsidRPr="00397EC7">
        <w:rPr>
          <w:rFonts w:cs="Arial"/>
          <w:lang w:val="en-GB" w:eastAsia="fr-FR"/>
        </w:rPr>
        <w:br w:type="page"/>
      </w:r>
    </w:p>
    <w:p w14:paraId="77E0890D" w14:textId="1D6EADA4" w:rsidR="00966E2C" w:rsidRPr="00397EC7" w:rsidRDefault="00A6091F" w:rsidP="00966E2C">
      <w:pPr>
        <w:pStyle w:val="Lgende"/>
        <w:spacing w:before="240"/>
        <w:rPr>
          <w:rFonts w:cs="Arial"/>
          <w:sz w:val="20"/>
          <w:lang w:val="en-GB"/>
        </w:rPr>
      </w:pPr>
      <w:r w:rsidRPr="00397EC7">
        <w:rPr>
          <w:rStyle w:val="Titredulivre"/>
          <w:rFonts w:cs="Times New Roman"/>
          <w:lang w:val="en-GB"/>
        </w:rPr>
        <w:lastRenderedPageBreak/>
        <w:t xml:space="preserve">Supplemental Table </w:t>
      </w:r>
      <w:r w:rsidR="00814A7A" w:rsidRPr="00397EC7">
        <w:rPr>
          <w:rFonts w:cs="Arial"/>
          <w:sz w:val="20"/>
          <w:lang w:val="en-GB"/>
        </w:rPr>
        <w:t>7</w:t>
      </w:r>
      <w:r w:rsidR="00966E2C" w:rsidRPr="00397EC7">
        <w:rPr>
          <w:rFonts w:cs="Arial"/>
          <w:sz w:val="20"/>
          <w:lang w:val="en-GB"/>
        </w:rPr>
        <w:t>: Characteristics associated with myocardial infarction: sensitivity analysis using a broader definition for myocardial infarction (4,088,799 patients, including 476 with myocardial infarction)</w:t>
      </w:r>
      <w:r w:rsidR="00D54129" w:rsidRPr="00397EC7">
        <w:rPr>
          <w:rFonts w:cs="Arial"/>
          <w:sz w:val="20"/>
          <w:lang w:val="en-GB"/>
        </w:rPr>
        <w:t>.</w:t>
      </w:r>
    </w:p>
    <w:tbl>
      <w:tblPr>
        <w:tblW w:w="7700" w:type="dxa"/>
        <w:jc w:val="center"/>
        <w:tblCellMar>
          <w:left w:w="70" w:type="dxa"/>
          <w:right w:w="70" w:type="dxa"/>
        </w:tblCellMar>
        <w:tblLook w:val="04A0" w:firstRow="1" w:lastRow="0" w:firstColumn="1" w:lastColumn="0" w:noHBand="0" w:noVBand="1"/>
      </w:tblPr>
      <w:tblGrid>
        <w:gridCol w:w="4701"/>
        <w:gridCol w:w="2065"/>
        <w:gridCol w:w="934"/>
      </w:tblGrid>
      <w:tr w:rsidR="00966E2C" w:rsidRPr="00397EC7" w14:paraId="67ADC6CD" w14:textId="77777777" w:rsidTr="00643360">
        <w:trPr>
          <w:trHeight w:val="170"/>
          <w:jc w:val="center"/>
        </w:trPr>
        <w:tc>
          <w:tcPr>
            <w:tcW w:w="4701" w:type="dxa"/>
            <w:tcBorders>
              <w:top w:val="single" w:sz="4" w:space="0" w:color="auto"/>
              <w:left w:val="nil"/>
              <w:bottom w:val="nil"/>
              <w:right w:val="nil"/>
            </w:tcBorders>
            <w:shd w:val="clear" w:color="auto" w:fill="auto"/>
            <w:noWrap/>
            <w:vAlign w:val="bottom"/>
            <w:hideMark/>
          </w:tcPr>
          <w:p w14:paraId="7BF6AA82"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2065" w:type="dxa"/>
            <w:tcBorders>
              <w:top w:val="single" w:sz="4" w:space="0" w:color="auto"/>
              <w:left w:val="nil"/>
              <w:bottom w:val="single" w:sz="4" w:space="0" w:color="auto"/>
              <w:right w:val="nil"/>
            </w:tcBorders>
            <w:shd w:val="clear" w:color="auto" w:fill="auto"/>
            <w:noWrap/>
            <w:vAlign w:val="bottom"/>
            <w:hideMark/>
          </w:tcPr>
          <w:p w14:paraId="40F847EB"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proofErr w:type="spellStart"/>
            <w:r w:rsidRPr="00397EC7">
              <w:rPr>
                <w:rFonts w:eastAsia="Times New Roman" w:cs="Arial"/>
                <w:b/>
                <w:bCs/>
                <w:color w:val="000000"/>
                <w:sz w:val="18"/>
                <w:szCs w:val="18"/>
                <w:lang w:val="en-GB" w:eastAsia="fr-FR"/>
              </w:rPr>
              <w:t>aOR</w:t>
            </w:r>
            <w:proofErr w:type="spellEnd"/>
            <w:r w:rsidRPr="00397EC7">
              <w:rPr>
                <w:rFonts w:eastAsia="Times New Roman" w:cs="Arial"/>
                <w:b/>
                <w:bCs/>
                <w:color w:val="000000"/>
                <w:sz w:val="18"/>
                <w:szCs w:val="18"/>
                <w:lang w:val="en-GB" w:eastAsia="fr-FR"/>
              </w:rPr>
              <w:t xml:space="preserve"> [95% CI]</w:t>
            </w:r>
          </w:p>
        </w:tc>
        <w:tc>
          <w:tcPr>
            <w:tcW w:w="934" w:type="dxa"/>
            <w:tcBorders>
              <w:top w:val="single" w:sz="4" w:space="0" w:color="auto"/>
              <w:left w:val="nil"/>
              <w:bottom w:val="single" w:sz="4" w:space="0" w:color="auto"/>
              <w:right w:val="nil"/>
            </w:tcBorders>
            <w:shd w:val="clear" w:color="auto" w:fill="auto"/>
            <w:noWrap/>
            <w:vAlign w:val="bottom"/>
            <w:hideMark/>
          </w:tcPr>
          <w:p w14:paraId="0FEBE49B"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 value</w:t>
            </w:r>
          </w:p>
        </w:tc>
      </w:tr>
      <w:tr w:rsidR="00966E2C" w:rsidRPr="00397EC7" w14:paraId="5FDFC084" w14:textId="77777777" w:rsidTr="00643360">
        <w:trPr>
          <w:trHeight w:val="170"/>
          <w:jc w:val="center"/>
        </w:trPr>
        <w:tc>
          <w:tcPr>
            <w:tcW w:w="4701" w:type="dxa"/>
            <w:tcBorders>
              <w:top w:val="single" w:sz="4" w:space="0" w:color="auto"/>
              <w:left w:val="nil"/>
              <w:bottom w:val="nil"/>
              <w:right w:val="nil"/>
            </w:tcBorders>
            <w:shd w:val="clear" w:color="000000" w:fill="F2F2F2"/>
            <w:noWrap/>
            <w:vAlign w:val="bottom"/>
            <w:hideMark/>
          </w:tcPr>
          <w:p w14:paraId="10B0A508" w14:textId="77777777" w:rsidR="00966E2C" w:rsidRPr="00397EC7" w:rsidRDefault="00966E2C" w:rsidP="00643360">
            <w:pPr>
              <w:spacing w:after="0" w:line="240" w:lineRule="auto"/>
              <w:jc w:val="left"/>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Patient characteristics</w:t>
            </w:r>
          </w:p>
        </w:tc>
        <w:tc>
          <w:tcPr>
            <w:tcW w:w="2065" w:type="dxa"/>
            <w:tcBorders>
              <w:top w:val="single" w:sz="4" w:space="0" w:color="auto"/>
              <w:left w:val="nil"/>
              <w:bottom w:val="nil"/>
              <w:right w:val="nil"/>
            </w:tcBorders>
            <w:shd w:val="clear" w:color="000000" w:fill="F2F2F2"/>
            <w:noWrap/>
            <w:vAlign w:val="bottom"/>
            <w:hideMark/>
          </w:tcPr>
          <w:p w14:paraId="63B7CF5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934" w:type="dxa"/>
            <w:tcBorders>
              <w:top w:val="single" w:sz="4" w:space="0" w:color="auto"/>
              <w:left w:val="nil"/>
              <w:bottom w:val="nil"/>
              <w:right w:val="nil"/>
            </w:tcBorders>
            <w:shd w:val="clear" w:color="000000" w:fill="F2F2F2"/>
            <w:noWrap/>
            <w:vAlign w:val="bottom"/>
            <w:hideMark/>
          </w:tcPr>
          <w:p w14:paraId="1D9B0A1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r>
      <w:tr w:rsidR="00966E2C" w:rsidRPr="00397EC7" w14:paraId="5404604A"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25E97AD2"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Sex</w:t>
            </w:r>
          </w:p>
        </w:tc>
        <w:tc>
          <w:tcPr>
            <w:tcW w:w="2065" w:type="dxa"/>
            <w:tcBorders>
              <w:top w:val="nil"/>
              <w:left w:val="nil"/>
              <w:bottom w:val="nil"/>
              <w:right w:val="nil"/>
            </w:tcBorders>
            <w:shd w:val="clear" w:color="auto" w:fill="auto"/>
            <w:noWrap/>
            <w:vAlign w:val="bottom"/>
            <w:hideMark/>
          </w:tcPr>
          <w:p w14:paraId="09198F3A"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934" w:type="dxa"/>
            <w:tcBorders>
              <w:top w:val="nil"/>
              <w:left w:val="nil"/>
              <w:bottom w:val="nil"/>
              <w:right w:val="nil"/>
            </w:tcBorders>
            <w:shd w:val="clear" w:color="auto" w:fill="auto"/>
            <w:noWrap/>
            <w:vAlign w:val="bottom"/>
            <w:hideMark/>
          </w:tcPr>
          <w:p w14:paraId="34985BBE"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52367460"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46EECFAC"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male</w:t>
            </w:r>
          </w:p>
        </w:tc>
        <w:tc>
          <w:tcPr>
            <w:tcW w:w="2065" w:type="dxa"/>
            <w:tcBorders>
              <w:top w:val="nil"/>
              <w:left w:val="nil"/>
              <w:bottom w:val="nil"/>
              <w:right w:val="nil"/>
            </w:tcBorders>
            <w:shd w:val="clear" w:color="auto" w:fill="auto"/>
            <w:noWrap/>
            <w:vAlign w:val="bottom"/>
            <w:hideMark/>
          </w:tcPr>
          <w:p w14:paraId="52A1DCB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34" w:type="dxa"/>
            <w:tcBorders>
              <w:top w:val="nil"/>
              <w:left w:val="nil"/>
              <w:bottom w:val="nil"/>
              <w:right w:val="nil"/>
            </w:tcBorders>
            <w:shd w:val="clear" w:color="auto" w:fill="auto"/>
            <w:noWrap/>
            <w:vAlign w:val="bottom"/>
            <w:hideMark/>
          </w:tcPr>
          <w:p w14:paraId="269C38A9"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r>
      <w:tr w:rsidR="00966E2C" w:rsidRPr="00397EC7" w14:paraId="4094EEA9"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0E1B5D92"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female</w:t>
            </w:r>
          </w:p>
        </w:tc>
        <w:tc>
          <w:tcPr>
            <w:tcW w:w="2065" w:type="dxa"/>
            <w:tcBorders>
              <w:top w:val="nil"/>
              <w:left w:val="nil"/>
              <w:bottom w:val="nil"/>
              <w:right w:val="nil"/>
            </w:tcBorders>
            <w:shd w:val="clear" w:color="auto" w:fill="auto"/>
            <w:noWrap/>
            <w:vAlign w:val="bottom"/>
            <w:hideMark/>
          </w:tcPr>
          <w:p w14:paraId="4AE1639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0.80 [0.65-0.99]</w:t>
            </w:r>
          </w:p>
        </w:tc>
        <w:tc>
          <w:tcPr>
            <w:tcW w:w="934" w:type="dxa"/>
            <w:tcBorders>
              <w:top w:val="nil"/>
              <w:left w:val="nil"/>
              <w:bottom w:val="nil"/>
              <w:right w:val="nil"/>
            </w:tcBorders>
            <w:shd w:val="clear" w:color="auto" w:fill="auto"/>
            <w:noWrap/>
            <w:vAlign w:val="bottom"/>
            <w:hideMark/>
          </w:tcPr>
          <w:p w14:paraId="43B6382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0.037</w:t>
            </w:r>
          </w:p>
        </w:tc>
      </w:tr>
      <w:tr w:rsidR="00966E2C" w:rsidRPr="00397EC7" w14:paraId="4EF536A6"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2C948F9B"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Age</w:t>
            </w:r>
          </w:p>
        </w:tc>
        <w:tc>
          <w:tcPr>
            <w:tcW w:w="2065" w:type="dxa"/>
            <w:tcBorders>
              <w:top w:val="nil"/>
              <w:left w:val="nil"/>
              <w:bottom w:val="nil"/>
              <w:right w:val="nil"/>
            </w:tcBorders>
            <w:shd w:val="clear" w:color="auto" w:fill="auto"/>
            <w:noWrap/>
            <w:vAlign w:val="bottom"/>
            <w:hideMark/>
          </w:tcPr>
          <w:p w14:paraId="5A55E85A"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934" w:type="dxa"/>
            <w:tcBorders>
              <w:top w:val="nil"/>
              <w:left w:val="nil"/>
              <w:bottom w:val="nil"/>
              <w:right w:val="nil"/>
            </w:tcBorders>
            <w:shd w:val="clear" w:color="auto" w:fill="auto"/>
            <w:noWrap/>
            <w:vAlign w:val="bottom"/>
            <w:hideMark/>
          </w:tcPr>
          <w:p w14:paraId="2CBFA3A2"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48761B79"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303E4C02"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30-39</w:t>
            </w:r>
          </w:p>
        </w:tc>
        <w:tc>
          <w:tcPr>
            <w:tcW w:w="2065" w:type="dxa"/>
            <w:tcBorders>
              <w:top w:val="nil"/>
              <w:left w:val="nil"/>
              <w:bottom w:val="nil"/>
              <w:right w:val="nil"/>
            </w:tcBorders>
            <w:shd w:val="clear" w:color="auto" w:fill="auto"/>
            <w:noWrap/>
            <w:vAlign w:val="bottom"/>
            <w:hideMark/>
          </w:tcPr>
          <w:p w14:paraId="60F6AA1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34" w:type="dxa"/>
            <w:tcBorders>
              <w:top w:val="nil"/>
              <w:left w:val="nil"/>
              <w:bottom w:val="nil"/>
              <w:right w:val="nil"/>
            </w:tcBorders>
            <w:shd w:val="clear" w:color="auto" w:fill="auto"/>
            <w:noWrap/>
            <w:vAlign w:val="bottom"/>
            <w:hideMark/>
          </w:tcPr>
          <w:p w14:paraId="71E710A2"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1273C60C"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7608DE46"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40-49</w:t>
            </w:r>
          </w:p>
        </w:tc>
        <w:tc>
          <w:tcPr>
            <w:tcW w:w="2065" w:type="dxa"/>
            <w:tcBorders>
              <w:top w:val="nil"/>
              <w:left w:val="nil"/>
              <w:bottom w:val="nil"/>
              <w:right w:val="nil"/>
            </w:tcBorders>
            <w:shd w:val="clear" w:color="auto" w:fill="auto"/>
            <w:noWrap/>
            <w:vAlign w:val="bottom"/>
            <w:hideMark/>
          </w:tcPr>
          <w:p w14:paraId="4D44242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3.13 [1.11-8.79]</w:t>
            </w:r>
          </w:p>
        </w:tc>
        <w:tc>
          <w:tcPr>
            <w:tcW w:w="934" w:type="dxa"/>
            <w:tcBorders>
              <w:top w:val="nil"/>
              <w:left w:val="nil"/>
              <w:bottom w:val="nil"/>
              <w:right w:val="nil"/>
            </w:tcBorders>
            <w:shd w:val="clear" w:color="auto" w:fill="auto"/>
            <w:noWrap/>
            <w:vAlign w:val="bottom"/>
            <w:hideMark/>
          </w:tcPr>
          <w:p w14:paraId="4A2BEEC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0.031</w:t>
            </w:r>
          </w:p>
        </w:tc>
      </w:tr>
      <w:tr w:rsidR="00966E2C" w:rsidRPr="00397EC7" w14:paraId="1DF5E9F6"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7E8182F6"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50-59</w:t>
            </w:r>
          </w:p>
        </w:tc>
        <w:tc>
          <w:tcPr>
            <w:tcW w:w="2065" w:type="dxa"/>
            <w:tcBorders>
              <w:top w:val="nil"/>
              <w:left w:val="nil"/>
              <w:bottom w:val="nil"/>
              <w:right w:val="nil"/>
            </w:tcBorders>
            <w:shd w:val="clear" w:color="auto" w:fill="auto"/>
            <w:noWrap/>
            <w:vAlign w:val="bottom"/>
            <w:hideMark/>
          </w:tcPr>
          <w:p w14:paraId="498A17F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2.65 [0.96-7.31]</w:t>
            </w:r>
          </w:p>
        </w:tc>
        <w:tc>
          <w:tcPr>
            <w:tcW w:w="934" w:type="dxa"/>
            <w:tcBorders>
              <w:top w:val="nil"/>
              <w:left w:val="nil"/>
              <w:bottom w:val="nil"/>
              <w:right w:val="nil"/>
            </w:tcBorders>
            <w:shd w:val="clear" w:color="auto" w:fill="auto"/>
            <w:noWrap/>
            <w:vAlign w:val="bottom"/>
            <w:hideMark/>
          </w:tcPr>
          <w:p w14:paraId="51C56D1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0.060</w:t>
            </w:r>
          </w:p>
        </w:tc>
      </w:tr>
      <w:tr w:rsidR="00966E2C" w:rsidRPr="00397EC7" w14:paraId="0BB7B647"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7E1D5276"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60-69</w:t>
            </w:r>
          </w:p>
        </w:tc>
        <w:tc>
          <w:tcPr>
            <w:tcW w:w="2065" w:type="dxa"/>
            <w:tcBorders>
              <w:top w:val="nil"/>
              <w:left w:val="nil"/>
              <w:bottom w:val="nil"/>
              <w:right w:val="nil"/>
            </w:tcBorders>
            <w:shd w:val="clear" w:color="auto" w:fill="auto"/>
            <w:noWrap/>
            <w:vAlign w:val="bottom"/>
            <w:hideMark/>
          </w:tcPr>
          <w:p w14:paraId="45F17FB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2.79 [1.01-7.66]</w:t>
            </w:r>
          </w:p>
        </w:tc>
        <w:tc>
          <w:tcPr>
            <w:tcW w:w="934" w:type="dxa"/>
            <w:tcBorders>
              <w:top w:val="nil"/>
              <w:left w:val="nil"/>
              <w:bottom w:val="nil"/>
              <w:right w:val="nil"/>
            </w:tcBorders>
            <w:shd w:val="clear" w:color="auto" w:fill="auto"/>
            <w:noWrap/>
            <w:vAlign w:val="bottom"/>
            <w:hideMark/>
          </w:tcPr>
          <w:p w14:paraId="5CBE4DB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0.047</w:t>
            </w:r>
          </w:p>
        </w:tc>
      </w:tr>
      <w:tr w:rsidR="00966E2C" w:rsidRPr="00397EC7" w14:paraId="3B5748C0"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21D88B00"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70-79</w:t>
            </w:r>
          </w:p>
        </w:tc>
        <w:tc>
          <w:tcPr>
            <w:tcW w:w="2065" w:type="dxa"/>
            <w:tcBorders>
              <w:top w:val="nil"/>
              <w:left w:val="nil"/>
              <w:bottom w:val="nil"/>
              <w:right w:val="nil"/>
            </w:tcBorders>
            <w:shd w:val="clear" w:color="auto" w:fill="auto"/>
            <w:noWrap/>
            <w:vAlign w:val="bottom"/>
            <w:hideMark/>
          </w:tcPr>
          <w:p w14:paraId="0B59443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2.83 [1.02-7.82]</w:t>
            </w:r>
          </w:p>
        </w:tc>
        <w:tc>
          <w:tcPr>
            <w:tcW w:w="934" w:type="dxa"/>
            <w:tcBorders>
              <w:top w:val="nil"/>
              <w:left w:val="nil"/>
              <w:bottom w:val="nil"/>
              <w:right w:val="nil"/>
            </w:tcBorders>
            <w:shd w:val="clear" w:color="auto" w:fill="auto"/>
            <w:noWrap/>
            <w:vAlign w:val="bottom"/>
            <w:hideMark/>
          </w:tcPr>
          <w:p w14:paraId="7A9B855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0.045</w:t>
            </w:r>
          </w:p>
        </w:tc>
      </w:tr>
      <w:tr w:rsidR="00966E2C" w:rsidRPr="00397EC7" w14:paraId="2ABC9B2C"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1E8EC831"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80 and older</w:t>
            </w:r>
          </w:p>
        </w:tc>
        <w:tc>
          <w:tcPr>
            <w:tcW w:w="2065" w:type="dxa"/>
            <w:tcBorders>
              <w:top w:val="nil"/>
              <w:left w:val="nil"/>
              <w:bottom w:val="nil"/>
              <w:right w:val="nil"/>
            </w:tcBorders>
            <w:shd w:val="clear" w:color="auto" w:fill="auto"/>
            <w:noWrap/>
            <w:vAlign w:val="bottom"/>
            <w:hideMark/>
          </w:tcPr>
          <w:p w14:paraId="66A2BC7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4.59 [1.65-12.8]</w:t>
            </w:r>
          </w:p>
        </w:tc>
        <w:tc>
          <w:tcPr>
            <w:tcW w:w="934" w:type="dxa"/>
            <w:tcBorders>
              <w:top w:val="nil"/>
              <w:left w:val="nil"/>
              <w:bottom w:val="nil"/>
              <w:right w:val="nil"/>
            </w:tcBorders>
            <w:shd w:val="clear" w:color="auto" w:fill="auto"/>
            <w:noWrap/>
            <w:vAlign w:val="bottom"/>
            <w:hideMark/>
          </w:tcPr>
          <w:p w14:paraId="0C260C9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0.0035</w:t>
            </w:r>
          </w:p>
        </w:tc>
      </w:tr>
      <w:tr w:rsidR="00966E2C" w:rsidRPr="00397EC7" w14:paraId="3E3B8D2E"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2099BCEE"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Pre-existing conditions</w:t>
            </w:r>
          </w:p>
        </w:tc>
        <w:tc>
          <w:tcPr>
            <w:tcW w:w="2065" w:type="dxa"/>
            <w:tcBorders>
              <w:top w:val="nil"/>
              <w:left w:val="nil"/>
              <w:bottom w:val="nil"/>
              <w:right w:val="nil"/>
            </w:tcBorders>
            <w:shd w:val="clear" w:color="auto" w:fill="auto"/>
            <w:noWrap/>
            <w:vAlign w:val="bottom"/>
            <w:hideMark/>
          </w:tcPr>
          <w:p w14:paraId="44F1B70D"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934" w:type="dxa"/>
            <w:tcBorders>
              <w:top w:val="nil"/>
              <w:left w:val="nil"/>
              <w:bottom w:val="nil"/>
              <w:right w:val="nil"/>
            </w:tcBorders>
            <w:shd w:val="clear" w:color="auto" w:fill="auto"/>
            <w:noWrap/>
            <w:vAlign w:val="bottom"/>
            <w:hideMark/>
          </w:tcPr>
          <w:p w14:paraId="0808373B"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6E5EFBB6"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0DA3E0C6"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myocardial infarct</w:t>
            </w:r>
          </w:p>
        </w:tc>
        <w:tc>
          <w:tcPr>
            <w:tcW w:w="2065" w:type="dxa"/>
            <w:tcBorders>
              <w:top w:val="nil"/>
              <w:left w:val="nil"/>
              <w:bottom w:val="nil"/>
              <w:right w:val="nil"/>
            </w:tcBorders>
            <w:shd w:val="clear" w:color="auto" w:fill="auto"/>
            <w:noWrap/>
            <w:vAlign w:val="bottom"/>
            <w:hideMark/>
          </w:tcPr>
          <w:p w14:paraId="62F2D53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95.4 [70.5-129]</w:t>
            </w:r>
          </w:p>
        </w:tc>
        <w:tc>
          <w:tcPr>
            <w:tcW w:w="934" w:type="dxa"/>
            <w:tcBorders>
              <w:top w:val="nil"/>
              <w:left w:val="nil"/>
              <w:bottom w:val="nil"/>
              <w:right w:val="nil"/>
            </w:tcBorders>
            <w:shd w:val="clear" w:color="auto" w:fill="auto"/>
            <w:noWrap/>
            <w:vAlign w:val="bottom"/>
            <w:hideMark/>
          </w:tcPr>
          <w:p w14:paraId="18EA44D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38F11064"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4CEB63A3"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congestive heart failure</w:t>
            </w:r>
          </w:p>
        </w:tc>
        <w:tc>
          <w:tcPr>
            <w:tcW w:w="2065" w:type="dxa"/>
            <w:tcBorders>
              <w:top w:val="nil"/>
              <w:left w:val="nil"/>
              <w:bottom w:val="nil"/>
              <w:right w:val="nil"/>
            </w:tcBorders>
            <w:shd w:val="clear" w:color="auto" w:fill="auto"/>
            <w:noWrap/>
            <w:vAlign w:val="bottom"/>
            <w:hideMark/>
          </w:tcPr>
          <w:p w14:paraId="7D5A3B0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2.05 [1.61-2.60]</w:t>
            </w:r>
          </w:p>
        </w:tc>
        <w:tc>
          <w:tcPr>
            <w:tcW w:w="934" w:type="dxa"/>
            <w:tcBorders>
              <w:top w:val="nil"/>
              <w:left w:val="nil"/>
              <w:bottom w:val="nil"/>
              <w:right w:val="nil"/>
            </w:tcBorders>
            <w:shd w:val="clear" w:color="auto" w:fill="auto"/>
            <w:noWrap/>
            <w:vAlign w:val="bottom"/>
            <w:hideMark/>
          </w:tcPr>
          <w:p w14:paraId="099875EF"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7358202B"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130E9982"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peripheral vascular disease</w:t>
            </w:r>
          </w:p>
        </w:tc>
        <w:tc>
          <w:tcPr>
            <w:tcW w:w="2065" w:type="dxa"/>
            <w:tcBorders>
              <w:top w:val="nil"/>
              <w:left w:val="nil"/>
              <w:bottom w:val="nil"/>
              <w:right w:val="nil"/>
            </w:tcBorders>
            <w:shd w:val="clear" w:color="auto" w:fill="auto"/>
            <w:noWrap/>
            <w:vAlign w:val="bottom"/>
            <w:hideMark/>
          </w:tcPr>
          <w:p w14:paraId="3223C72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2.09 [1.69-2.59]</w:t>
            </w:r>
          </w:p>
        </w:tc>
        <w:tc>
          <w:tcPr>
            <w:tcW w:w="934" w:type="dxa"/>
            <w:tcBorders>
              <w:top w:val="nil"/>
              <w:left w:val="nil"/>
              <w:bottom w:val="nil"/>
              <w:right w:val="nil"/>
            </w:tcBorders>
            <w:shd w:val="clear" w:color="auto" w:fill="auto"/>
            <w:noWrap/>
            <w:vAlign w:val="bottom"/>
            <w:hideMark/>
          </w:tcPr>
          <w:p w14:paraId="219BDC1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371EBFB6"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16D71772"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moderate or severe renal disease</w:t>
            </w:r>
          </w:p>
        </w:tc>
        <w:tc>
          <w:tcPr>
            <w:tcW w:w="2065" w:type="dxa"/>
            <w:tcBorders>
              <w:top w:val="nil"/>
              <w:left w:val="nil"/>
              <w:bottom w:val="nil"/>
              <w:right w:val="nil"/>
            </w:tcBorders>
            <w:shd w:val="clear" w:color="auto" w:fill="auto"/>
            <w:noWrap/>
            <w:vAlign w:val="bottom"/>
            <w:hideMark/>
          </w:tcPr>
          <w:p w14:paraId="54AB33C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1.55 [1.19-2.02]</w:t>
            </w:r>
          </w:p>
        </w:tc>
        <w:tc>
          <w:tcPr>
            <w:tcW w:w="934" w:type="dxa"/>
            <w:tcBorders>
              <w:top w:val="nil"/>
              <w:left w:val="nil"/>
              <w:bottom w:val="nil"/>
              <w:right w:val="nil"/>
            </w:tcBorders>
            <w:shd w:val="clear" w:color="auto" w:fill="auto"/>
            <w:noWrap/>
            <w:vAlign w:val="bottom"/>
            <w:hideMark/>
          </w:tcPr>
          <w:p w14:paraId="46EE181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0.0010</w:t>
            </w:r>
          </w:p>
        </w:tc>
      </w:tr>
      <w:tr w:rsidR="00966E2C" w:rsidRPr="00397EC7" w14:paraId="4055EA42"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31AD7A0A"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hemiplegia</w:t>
            </w:r>
          </w:p>
        </w:tc>
        <w:tc>
          <w:tcPr>
            <w:tcW w:w="2065" w:type="dxa"/>
            <w:tcBorders>
              <w:top w:val="nil"/>
              <w:left w:val="nil"/>
              <w:bottom w:val="nil"/>
              <w:right w:val="nil"/>
            </w:tcBorders>
            <w:shd w:val="clear" w:color="auto" w:fill="auto"/>
            <w:noWrap/>
            <w:vAlign w:val="bottom"/>
            <w:hideMark/>
          </w:tcPr>
          <w:p w14:paraId="672FB21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1.96 [1.25-3.07]</w:t>
            </w:r>
          </w:p>
        </w:tc>
        <w:tc>
          <w:tcPr>
            <w:tcW w:w="934" w:type="dxa"/>
            <w:tcBorders>
              <w:top w:val="nil"/>
              <w:left w:val="nil"/>
              <w:bottom w:val="nil"/>
              <w:right w:val="nil"/>
            </w:tcBorders>
            <w:shd w:val="clear" w:color="auto" w:fill="auto"/>
            <w:noWrap/>
            <w:vAlign w:val="bottom"/>
            <w:hideMark/>
          </w:tcPr>
          <w:p w14:paraId="2BCF074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0.0033</w:t>
            </w:r>
          </w:p>
        </w:tc>
      </w:tr>
      <w:tr w:rsidR="00966E2C" w:rsidRPr="00397EC7" w14:paraId="4BCC24A7"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3B08AECF"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Previous treatment (within 6 months)</w:t>
            </w:r>
          </w:p>
        </w:tc>
        <w:tc>
          <w:tcPr>
            <w:tcW w:w="2065" w:type="dxa"/>
            <w:tcBorders>
              <w:top w:val="nil"/>
              <w:left w:val="nil"/>
              <w:bottom w:val="nil"/>
              <w:right w:val="nil"/>
            </w:tcBorders>
            <w:shd w:val="clear" w:color="auto" w:fill="auto"/>
            <w:noWrap/>
            <w:vAlign w:val="bottom"/>
            <w:hideMark/>
          </w:tcPr>
          <w:p w14:paraId="572703F4"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934" w:type="dxa"/>
            <w:tcBorders>
              <w:top w:val="nil"/>
              <w:left w:val="nil"/>
              <w:bottom w:val="nil"/>
              <w:right w:val="nil"/>
            </w:tcBorders>
            <w:shd w:val="clear" w:color="auto" w:fill="auto"/>
            <w:noWrap/>
            <w:vAlign w:val="bottom"/>
            <w:hideMark/>
          </w:tcPr>
          <w:p w14:paraId="0ECF8FCB"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3775F2E1"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71A70690" w14:textId="449ACE8F"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w:t>
            </w:r>
            <w:r w:rsidR="00643360" w:rsidRPr="00397EC7">
              <w:rPr>
                <w:rFonts w:eastAsia="Times New Roman" w:cs="Arial"/>
                <w:color w:val="000000"/>
                <w:sz w:val="18"/>
                <w:szCs w:val="18"/>
                <w:lang w:val="en-GB" w:eastAsia="fr-FR"/>
              </w:rPr>
              <w:t>a</w:t>
            </w:r>
            <w:r w:rsidRPr="00397EC7">
              <w:rPr>
                <w:rFonts w:eastAsia="Times New Roman" w:cs="Arial"/>
                <w:color w:val="000000"/>
                <w:sz w:val="18"/>
                <w:szCs w:val="18"/>
                <w:lang w:val="en-GB" w:eastAsia="fr-FR"/>
              </w:rPr>
              <w:t>ntiplatelet</w:t>
            </w:r>
            <w:r w:rsidR="00643360" w:rsidRPr="00397EC7">
              <w:rPr>
                <w:rFonts w:eastAsia="Times New Roman" w:cs="Arial"/>
                <w:color w:val="000000"/>
                <w:sz w:val="18"/>
                <w:szCs w:val="18"/>
                <w:lang w:val="en-GB" w:eastAsia="fr-FR"/>
              </w:rPr>
              <w:t xml:space="preserve"> drug</w:t>
            </w:r>
            <w:r w:rsidRPr="00397EC7">
              <w:rPr>
                <w:rFonts w:eastAsia="Times New Roman" w:cs="Arial"/>
                <w:color w:val="000000"/>
                <w:sz w:val="18"/>
                <w:szCs w:val="18"/>
                <w:lang w:val="en-GB" w:eastAsia="fr-FR"/>
              </w:rPr>
              <w:t>s</w:t>
            </w:r>
          </w:p>
        </w:tc>
        <w:tc>
          <w:tcPr>
            <w:tcW w:w="2065" w:type="dxa"/>
            <w:tcBorders>
              <w:top w:val="nil"/>
              <w:left w:val="nil"/>
              <w:bottom w:val="nil"/>
              <w:right w:val="nil"/>
            </w:tcBorders>
            <w:shd w:val="clear" w:color="auto" w:fill="auto"/>
            <w:noWrap/>
            <w:vAlign w:val="bottom"/>
            <w:hideMark/>
          </w:tcPr>
          <w:p w14:paraId="2FB3B1B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0.32 [0.25-0.40]</w:t>
            </w:r>
          </w:p>
        </w:tc>
        <w:tc>
          <w:tcPr>
            <w:tcW w:w="934" w:type="dxa"/>
            <w:tcBorders>
              <w:top w:val="nil"/>
              <w:left w:val="nil"/>
              <w:bottom w:val="nil"/>
              <w:right w:val="nil"/>
            </w:tcBorders>
            <w:shd w:val="clear" w:color="auto" w:fill="auto"/>
            <w:noWrap/>
            <w:vAlign w:val="bottom"/>
            <w:hideMark/>
          </w:tcPr>
          <w:p w14:paraId="1BB630A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373E6772"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42F364A6"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anticoagulants</w:t>
            </w:r>
          </w:p>
        </w:tc>
        <w:tc>
          <w:tcPr>
            <w:tcW w:w="2065" w:type="dxa"/>
            <w:tcBorders>
              <w:top w:val="nil"/>
              <w:left w:val="nil"/>
              <w:bottom w:val="nil"/>
              <w:right w:val="nil"/>
            </w:tcBorders>
            <w:shd w:val="clear" w:color="auto" w:fill="auto"/>
            <w:noWrap/>
            <w:vAlign w:val="bottom"/>
            <w:hideMark/>
          </w:tcPr>
          <w:p w14:paraId="0E69160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0.46 [0.35-0.60]</w:t>
            </w:r>
          </w:p>
        </w:tc>
        <w:tc>
          <w:tcPr>
            <w:tcW w:w="934" w:type="dxa"/>
            <w:tcBorders>
              <w:top w:val="nil"/>
              <w:left w:val="nil"/>
              <w:bottom w:val="nil"/>
              <w:right w:val="nil"/>
            </w:tcBorders>
            <w:shd w:val="clear" w:color="auto" w:fill="auto"/>
            <w:noWrap/>
            <w:vAlign w:val="bottom"/>
            <w:hideMark/>
          </w:tcPr>
          <w:p w14:paraId="707E458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46EDAA39"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70134FC3"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Polypectomy</w:t>
            </w:r>
          </w:p>
        </w:tc>
        <w:tc>
          <w:tcPr>
            <w:tcW w:w="2065" w:type="dxa"/>
            <w:tcBorders>
              <w:top w:val="nil"/>
              <w:left w:val="nil"/>
              <w:bottom w:val="nil"/>
              <w:right w:val="nil"/>
            </w:tcBorders>
            <w:shd w:val="clear" w:color="auto" w:fill="auto"/>
            <w:noWrap/>
            <w:vAlign w:val="bottom"/>
            <w:hideMark/>
          </w:tcPr>
          <w:p w14:paraId="2FE7D364"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934" w:type="dxa"/>
            <w:tcBorders>
              <w:top w:val="nil"/>
              <w:left w:val="nil"/>
              <w:bottom w:val="nil"/>
              <w:right w:val="nil"/>
            </w:tcBorders>
            <w:shd w:val="clear" w:color="auto" w:fill="auto"/>
            <w:noWrap/>
            <w:vAlign w:val="bottom"/>
            <w:hideMark/>
          </w:tcPr>
          <w:p w14:paraId="6BA57E5D"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18B338B9"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26A8310A"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no polypectomy</w:t>
            </w:r>
          </w:p>
        </w:tc>
        <w:tc>
          <w:tcPr>
            <w:tcW w:w="2065" w:type="dxa"/>
            <w:tcBorders>
              <w:top w:val="nil"/>
              <w:left w:val="nil"/>
              <w:bottom w:val="nil"/>
              <w:right w:val="nil"/>
            </w:tcBorders>
            <w:shd w:val="clear" w:color="auto" w:fill="auto"/>
            <w:noWrap/>
            <w:vAlign w:val="bottom"/>
            <w:hideMark/>
          </w:tcPr>
          <w:p w14:paraId="1D6E086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34" w:type="dxa"/>
            <w:tcBorders>
              <w:top w:val="nil"/>
              <w:left w:val="nil"/>
              <w:bottom w:val="nil"/>
              <w:right w:val="nil"/>
            </w:tcBorders>
            <w:shd w:val="clear" w:color="auto" w:fill="auto"/>
            <w:noWrap/>
            <w:vAlign w:val="bottom"/>
            <w:hideMark/>
          </w:tcPr>
          <w:p w14:paraId="2146157E"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28331C34"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2E93E2A8"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polyp &lt;1 cm</w:t>
            </w:r>
          </w:p>
        </w:tc>
        <w:tc>
          <w:tcPr>
            <w:tcW w:w="2065" w:type="dxa"/>
            <w:tcBorders>
              <w:top w:val="nil"/>
              <w:left w:val="nil"/>
              <w:bottom w:val="nil"/>
              <w:right w:val="nil"/>
            </w:tcBorders>
            <w:shd w:val="clear" w:color="auto" w:fill="auto"/>
            <w:noWrap/>
            <w:vAlign w:val="bottom"/>
            <w:hideMark/>
          </w:tcPr>
          <w:p w14:paraId="7A6B0B8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0.55 [0.42-0.71]</w:t>
            </w:r>
          </w:p>
        </w:tc>
        <w:tc>
          <w:tcPr>
            <w:tcW w:w="934" w:type="dxa"/>
            <w:tcBorders>
              <w:top w:val="nil"/>
              <w:left w:val="nil"/>
              <w:bottom w:val="nil"/>
              <w:right w:val="nil"/>
            </w:tcBorders>
            <w:shd w:val="clear" w:color="auto" w:fill="auto"/>
            <w:noWrap/>
            <w:vAlign w:val="bottom"/>
            <w:hideMark/>
          </w:tcPr>
          <w:p w14:paraId="77A5A18A"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76ACA992"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4BCDAE1D"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polyp &gt;1 cm</w:t>
            </w:r>
          </w:p>
        </w:tc>
        <w:tc>
          <w:tcPr>
            <w:tcW w:w="2065" w:type="dxa"/>
            <w:tcBorders>
              <w:top w:val="nil"/>
              <w:left w:val="nil"/>
              <w:bottom w:val="nil"/>
              <w:right w:val="nil"/>
            </w:tcBorders>
            <w:shd w:val="clear" w:color="auto" w:fill="auto"/>
            <w:noWrap/>
            <w:vAlign w:val="bottom"/>
            <w:hideMark/>
          </w:tcPr>
          <w:p w14:paraId="2C9D635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0.68 [0.46-1.01]</w:t>
            </w:r>
          </w:p>
        </w:tc>
        <w:tc>
          <w:tcPr>
            <w:tcW w:w="934" w:type="dxa"/>
            <w:tcBorders>
              <w:top w:val="nil"/>
              <w:left w:val="nil"/>
              <w:bottom w:val="nil"/>
              <w:right w:val="nil"/>
            </w:tcBorders>
            <w:shd w:val="clear" w:color="auto" w:fill="auto"/>
            <w:noWrap/>
            <w:vAlign w:val="bottom"/>
            <w:hideMark/>
          </w:tcPr>
          <w:p w14:paraId="2CF9653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0.056</w:t>
            </w:r>
          </w:p>
        </w:tc>
      </w:tr>
      <w:tr w:rsidR="00966E2C" w:rsidRPr="00397EC7" w14:paraId="5DB85929" w14:textId="77777777" w:rsidTr="00643360">
        <w:trPr>
          <w:trHeight w:val="170"/>
          <w:jc w:val="center"/>
        </w:trPr>
        <w:tc>
          <w:tcPr>
            <w:tcW w:w="4701" w:type="dxa"/>
            <w:tcBorders>
              <w:top w:val="single" w:sz="4" w:space="0" w:color="auto"/>
              <w:left w:val="nil"/>
              <w:bottom w:val="nil"/>
              <w:right w:val="nil"/>
            </w:tcBorders>
            <w:shd w:val="clear" w:color="000000" w:fill="F2F2F2"/>
            <w:noWrap/>
            <w:vAlign w:val="bottom"/>
            <w:hideMark/>
          </w:tcPr>
          <w:p w14:paraId="58F247E3" w14:textId="77777777" w:rsidR="00966E2C" w:rsidRPr="00397EC7" w:rsidRDefault="00966E2C" w:rsidP="00643360">
            <w:pPr>
              <w:spacing w:after="0" w:line="240" w:lineRule="auto"/>
              <w:jc w:val="left"/>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Hospital/clinic characteristics</w:t>
            </w:r>
          </w:p>
        </w:tc>
        <w:tc>
          <w:tcPr>
            <w:tcW w:w="2065" w:type="dxa"/>
            <w:tcBorders>
              <w:top w:val="single" w:sz="4" w:space="0" w:color="auto"/>
              <w:left w:val="nil"/>
              <w:bottom w:val="nil"/>
              <w:right w:val="nil"/>
            </w:tcBorders>
            <w:shd w:val="clear" w:color="000000" w:fill="F2F2F2"/>
            <w:noWrap/>
            <w:vAlign w:val="bottom"/>
            <w:hideMark/>
          </w:tcPr>
          <w:p w14:paraId="61BCC76C"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934" w:type="dxa"/>
            <w:tcBorders>
              <w:top w:val="single" w:sz="4" w:space="0" w:color="auto"/>
              <w:left w:val="nil"/>
              <w:bottom w:val="nil"/>
              <w:right w:val="nil"/>
            </w:tcBorders>
            <w:shd w:val="clear" w:color="000000" w:fill="F2F2F2"/>
            <w:noWrap/>
            <w:vAlign w:val="bottom"/>
            <w:hideMark/>
          </w:tcPr>
          <w:p w14:paraId="223B7305"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r>
      <w:tr w:rsidR="00966E2C" w:rsidRPr="00397EC7" w14:paraId="64EAAEF4"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04416BA4"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Type of health facility</w:t>
            </w:r>
          </w:p>
        </w:tc>
        <w:tc>
          <w:tcPr>
            <w:tcW w:w="2065" w:type="dxa"/>
            <w:tcBorders>
              <w:top w:val="nil"/>
              <w:left w:val="nil"/>
              <w:bottom w:val="nil"/>
              <w:right w:val="nil"/>
            </w:tcBorders>
            <w:shd w:val="clear" w:color="auto" w:fill="auto"/>
            <w:noWrap/>
            <w:vAlign w:val="bottom"/>
            <w:hideMark/>
          </w:tcPr>
          <w:p w14:paraId="5CCB1BB6"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934" w:type="dxa"/>
            <w:tcBorders>
              <w:top w:val="nil"/>
              <w:left w:val="nil"/>
              <w:bottom w:val="nil"/>
              <w:right w:val="nil"/>
            </w:tcBorders>
            <w:shd w:val="clear" w:color="auto" w:fill="auto"/>
            <w:noWrap/>
            <w:vAlign w:val="bottom"/>
            <w:hideMark/>
          </w:tcPr>
          <w:p w14:paraId="76F30A9A"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61F7DA80"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1A46ADF8"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for-profit private clinic</w:t>
            </w:r>
          </w:p>
        </w:tc>
        <w:tc>
          <w:tcPr>
            <w:tcW w:w="2065" w:type="dxa"/>
            <w:tcBorders>
              <w:top w:val="nil"/>
              <w:left w:val="nil"/>
              <w:bottom w:val="nil"/>
              <w:right w:val="nil"/>
            </w:tcBorders>
            <w:shd w:val="clear" w:color="auto" w:fill="auto"/>
            <w:noWrap/>
            <w:vAlign w:val="bottom"/>
            <w:hideMark/>
          </w:tcPr>
          <w:p w14:paraId="248CC91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34" w:type="dxa"/>
            <w:tcBorders>
              <w:top w:val="nil"/>
              <w:left w:val="nil"/>
              <w:bottom w:val="nil"/>
              <w:right w:val="nil"/>
            </w:tcBorders>
            <w:shd w:val="clear" w:color="auto" w:fill="auto"/>
            <w:noWrap/>
            <w:vAlign w:val="bottom"/>
            <w:hideMark/>
          </w:tcPr>
          <w:p w14:paraId="480AD0C4"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04CCA266"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7C863E88"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not-for-profit private clinic</w:t>
            </w:r>
          </w:p>
        </w:tc>
        <w:tc>
          <w:tcPr>
            <w:tcW w:w="2065" w:type="dxa"/>
            <w:tcBorders>
              <w:top w:val="nil"/>
              <w:left w:val="nil"/>
              <w:bottom w:val="nil"/>
              <w:right w:val="nil"/>
            </w:tcBorders>
            <w:shd w:val="clear" w:color="auto" w:fill="auto"/>
            <w:noWrap/>
            <w:vAlign w:val="bottom"/>
            <w:hideMark/>
          </w:tcPr>
          <w:p w14:paraId="4519E60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1.61 [0.98-2.63]</w:t>
            </w:r>
          </w:p>
        </w:tc>
        <w:tc>
          <w:tcPr>
            <w:tcW w:w="934" w:type="dxa"/>
            <w:tcBorders>
              <w:top w:val="nil"/>
              <w:left w:val="nil"/>
              <w:bottom w:val="nil"/>
              <w:right w:val="nil"/>
            </w:tcBorders>
            <w:shd w:val="clear" w:color="auto" w:fill="auto"/>
            <w:noWrap/>
            <w:vAlign w:val="bottom"/>
            <w:hideMark/>
          </w:tcPr>
          <w:p w14:paraId="0D9AC03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0.059</w:t>
            </w:r>
          </w:p>
        </w:tc>
      </w:tr>
      <w:tr w:rsidR="00966E2C" w:rsidRPr="00397EC7" w14:paraId="13AE290D"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397EE12C"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local public hospital</w:t>
            </w:r>
          </w:p>
        </w:tc>
        <w:tc>
          <w:tcPr>
            <w:tcW w:w="2065" w:type="dxa"/>
            <w:tcBorders>
              <w:top w:val="nil"/>
              <w:left w:val="nil"/>
              <w:bottom w:val="nil"/>
              <w:right w:val="nil"/>
            </w:tcBorders>
            <w:shd w:val="clear" w:color="auto" w:fill="auto"/>
            <w:noWrap/>
            <w:vAlign w:val="bottom"/>
            <w:hideMark/>
          </w:tcPr>
          <w:p w14:paraId="53911EB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2.41 [1.74-3.34]</w:t>
            </w:r>
          </w:p>
        </w:tc>
        <w:tc>
          <w:tcPr>
            <w:tcW w:w="934" w:type="dxa"/>
            <w:tcBorders>
              <w:top w:val="nil"/>
              <w:left w:val="nil"/>
              <w:bottom w:val="nil"/>
              <w:right w:val="nil"/>
            </w:tcBorders>
            <w:shd w:val="clear" w:color="auto" w:fill="auto"/>
            <w:noWrap/>
            <w:vAlign w:val="bottom"/>
            <w:hideMark/>
          </w:tcPr>
          <w:p w14:paraId="0154222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037627E7"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1B69A221"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university public hospital</w:t>
            </w:r>
          </w:p>
        </w:tc>
        <w:tc>
          <w:tcPr>
            <w:tcW w:w="2065" w:type="dxa"/>
            <w:tcBorders>
              <w:top w:val="nil"/>
              <w:left w:val="nil"/>
              <w:bottom w:val="nil"/>
              <w:right w:val="nil"/>
            </w:tcBorders>
            <w:shd w:val="clear" w:color="auto" w:fill="auto"/>
            <w:noWrap/>
            <w:vAlign w:val="bottom"/>
            <w:hideMark/>
          </w:tcPr>
          <w:p w14:paraId="3E7D992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7.62 [4.66-12.5]</w:t>
            </w:r>
          </w:p>
        </w:tc>
        <w:tc>
          <w:tcPr>
            <w:tcW w:w="934" w:type="dxa"/>
            <w:tcBorders>
              <w:top w:val="nil"/>
              <w:left w:val="nil"/>
              <w:bottom w:val="nil"/>
              <w:right w:val="nil"/>
            </w:tcBorders>
            <w:shd w:val="clear" w:color="auto" w:fill="auto"/>
            <w:noWrap/>
            <w:vAlign w:val="bottom"/>
            <w:hideMark/>
          </w:tcPr>
          <w:p w14:paraId="73684D9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790BAB73"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66E56E4E" w14:textId="65CDAB6F" w:rsidR="00966E2C" w:rsidRPr="00397EC7" w:rsidRDefault="00966E2C" w:rsidP="00643360">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 xml:space="preserve">Number of procedures performed in the facility </w:t>
            </w:r>
            <w:r w:rsidR="00643360" w:rsidRPr="00397EC7">
              <w:rPr>
                <w:rFonts w:eastAsia="Times New Roman" w:cs="Arial"/>
                <w:b/>
                <w:bCs/>
                <w:i/>
                <w:iCs/>
                <w:color w:val="000000"/>
                <w:sz w:val="18"/>
                <w:szCs w:val="18"/>
                <w:lang w:val="en-GB" w:eastAsia="fr-FR"/>
              </w:rPr>
              <w:t>each</w:t>
            </w:r>
            <w:r w:rsidRPr="00397EC7">
              <w:rPr>
                <w:rFonts w:eastAsia="Times New Roman" w:cs="Arial"/>
                <w:b/>
                <w:bCs/>
                <w:i/>
                <w:iCs/>
                <w:color w:val="000000"/>
                <w:sz w:val="18"/>
                <w:szCs w:val="18"/>
                <w:lang w:val="en-GB" w:eastAsia="fr-FR"/>
              </w:rPr>
              <w:t xml:space="preserve"> year</w:t>
            </w:r>
          </w:p>
        </w:tc>
        <w:tc>
          <w:tcPr>
            <w:tcW w:w="2065" w:type="dxa"/>
            <w:tcBorders>
              <w:top w:val="nil"/>
              <w:left w:val="nil"/>
              <w:bottom w:val="nil"/>
              <w:right w:val="nil"/>
            </w:tcBorders>
            <w:shd w:val="clear" w:color="auto" w:fill="auto"/>
            <w:noWrap/>
            <w:vAlign w:val="bottom"/>
            <w:hideMark/>
          </w:tcPr>
          <w:p w14:paraId="0AC598AE"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934" w:type="dxa"/>
            <w:tcBorders>
              <w:top w:val="nil"/>
              <w:left w:val="nil"/>
              <w:bottom w:val="nil"/>
              <w:right w:val="nil"/>
            </w:tcBorders>
            <w:shd w:val="clear" w:color="auto" w:fill="auto"/>
            <w:noWrap/>
            <w:vAlign w:val="bottom"/>
            <w:hideMark/>
          </w:tcPr>
          <w:p w14:paraId="597F05BB"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4A69F90A"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4FBD56C8"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&lt;400</w:t>
            </w:r>
          </w:p>
        </w:tc>
        <w:tc>
          <w:tcPr>
            <w:tcW w:w="2065" w:type="dxa"/>
            <w:tcBorders>
              <w:top w:val="nil"/>
              <w:left w:val="nil"/>
              <w:bottom w:val="nil"/>
              <w:right w:val="nil"/>
            </w:tcBorders>
            <w:shd w:val="clear" w:color="auto" w:fill="auto"/>
            <w:noWrap/>
            <w:vAlign w:val="bottom"/>
            <w:hideMark/>
          </w:tcPr>
          <w:p w14:paraId="2DB7282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2.01 [0.86-4.69]</w:t>
            </w:r>
          </w:p>
        </w:tc>
        <w:tc>
          <w:tcPr>
            <w:tcW w:w="934" w:type="dxa"/>
            <w:tcBorders>
              <w:top w:val="nil"/>
              <w:left w:val="nil"/>
              <w:bottom w:val="nil"/>
              <w:right w:val="nil"/>
            </w:tcBorders>
            <w:shd w:val="clear" w:color="auto" w:fill="auto"/>
            <w:noWrap/>
            <w:vAlign w:val="bottom"/>
            <w:hideMark/>
          </w:tcPr>
          <w:p w14:paraId="668D00F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0.11</w:t>
            </w:r>
          </w:p>
        </w:tc>
      </w:tr>
      <w:tr w:rsidR="00966E2C" w:rsidRPr="00397EC7" w14:paraId="13B30576"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5E83C627"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400-2000</w:t>
            </w:r>
          </w:p>
        </w:tc>
        <w:tc>
          <w:tcPr>
            <w:tcW w:w="2065" w:type="dxa"/>
            <w:tcBorders>
              <w:top w:val="nil"/>
              <w:left w:val="nil"/>
              <w:bottom w:val="nil"/>
              <w:right w:val="nil"/>
            </w:tcBorders>
            <w:shd w:val="clear" w:color="auto" w:fill="auto"/>
            <w:noWrap/>
            <w:vAlign w:val="bottom"/>
            <w:hideMark/>
          </w:tcPr>
          <w:p w14:paraId="0055B7F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1.30 [0.60-2.81]</w:t>
            </w:r>
          </w:p>
        </w:tc>
        <w:tc>
          <w:tcPr>
            <w:tcW w:w="934" w:type="dxa"/>
            <w:tcBorders>
              <w:top w:val="nil"/>
              <w:left w:val="nil"/>
              <w:bottom w:val="nil"/>
              <w:right w:val="nil"/>
            </w:tcBorders>
            <w:shd w:val="clear" w:color="auto" w:fill="auto"/>
            <w:noWrap/>
            <w:vAlign w:val="bottom"/>
            <w:hideMark/>
          </w:tcPr>
          <w:p w14:paraId="7380150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0.51</w:t>
            </w:r>
          </w:p>
        </w:tc>
      </w:tr>
      <w:tr w:rsidR="00966E2C" w:rsidRPr="00397EC7" w14:paraId="55B3F100" w14:textId="77777777" w:rsidTr="00643360">
        <w:trPr>
          <w:trHeight w:val="170"/>
          <w:jc w:val="center"/>
        </w:trPr>
        <w:tc>
          <w:tcPr>
            <w:tcW w:w="4701" w:type="dxa"/>
            <w:tcBorders>
              <w:top w:val="nil"/>
              <w:left w:val="nil"/>
              <w:bottom w:val="nil"/>
              <w:right w:val="nil"/>
            </w:tcBorders>
            <w:shd w:val="clear" w:color="auto" w:fill="auto"/>
            <w:noWrap/>
            <w:vAlign w:val="bottom"/>
            <w:hideMark/>
          </w:tcPr>
          <w:p w14:paraId="55E53AFC"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2000-4999</w:t>
            </w:r>
          </w:p>
        </w:tc>
        <w:tc>
          <w:tcPr>
            <w:tcW w:w="2065" w:type="dxa"/>
            <w:tcBorders>
              <w:top w:val="nil"/>
              <w:left w:val="nil"/>
              <w:bottom w:val="nil"/>
              <w:right w:val="nil"/>
            </w:tcBorders>
            <w:shd w:val="clear" w:color="auto" w:fill="auto"/>
            <w:noWrap/>
            <w:vAlign w:val="bottom"/>
            <w:hideMark/>
          </w:tcPr>
          <w:p w14:paraId="5614BB7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1.04 [0.48-2.28]</w:t>
            </w:r>
          </w:p>
        </w:tc>
        <w:tc>
          <w:tcPr>
            <w:tcW w:w="934" w:type="dxa"/>
            <w:tcBorders>
              <w:top w:val="nil"/>
              <w:left w:val="nil"/>
              <w:bottom w:val="nil"/>
              <w:right w:val="nil"/>
            </w:tcBorders>
            <w:shd w:val="clear" w:color="auto" w:fill="auto"/>
            <w:noWrap/>
            <w:vAlign w:val="bottom"/>
            <w:hideMark/>
          </w:tcPr>
          <w:p w14:paraId="746805D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0.92</w:t>
            </w:r>
          </w:p>
        </w:tc>
      </w:tr>
      <w:tr w:rsidR="00966E2C" w:rsidRPr="00397EC7" w14:paraId="5372D1ED" w14:textId="77777777" w:rsidTr="00643360">
        <w:trPr>
          <w:trHeight w:val="170"/>
          <w:jc w:val="center"/>
        </w:trPr>
        <w:tc>
          <w:tcPr>
            <w:tcW w:w="4701" w:type="dxa"/>
            <w:tcBorders>
              <w:top w:val="nil"/>
              <w:left w:val="nil"/>
              <w:bottom w:val="single" w:sz="4" w:space="0" w:color="auto"/>
              <w:right w:val="nil"/>
            </w:tcBorders>
            <w:shd w:val="clear" w:color="auto" w:fill="auto"/>
            <w:noWrap/>
            <w:vAlign w:val="bottom"/>
            <w:hideMark/>
          </w:tcPr>
          <w:p w14:paraId="73317154"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≥5000</w:t>
            </w:r>
          </w:p>
        </w:tc>
        <w:tc>
          <w:tcPr>
            <w:tcW w:w="2065" w:type="dxa"/>
            <w:tcBorders>
              <w:top w:val="nil"/>
              <w:left w:val="nil"/>
              <w:bottom w:val="single" w:sz="4" w:space="0" w:color="auto"/>
              <w:right w:val="nil"/>
            </w:tcBorders>
            <w:shd w:val="clear" w:color="auto" w:fill="auto"/>
            <w:noWrap/>
            <w:vAlign w:val="bottom"/>
            <w:hideMark/>
          </w:tcPr>
          <w:p w14:paraId="4AD585A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934" w:type="dxa"/>
            <w:tcBorders>
              <w:top w:val="nil"/>
              <w:left w:val="nil"/>
              <w:bottom w:val="single" w:sz="4" w:space="0" w:color="auto"/>
              <w:right w:val="nil"/>
            </w:tcBorders>
            <w:shd w:val="clear" w:color="auto" w:fill="auto"/>
            <w:noWrap/>
            <w:vAlign w:val="bottom"/>
            <w:hideMark/>
          </w:tcPr>
          <w:p w14:paraId="7C75EF8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r>
    </w:tbl>
    <w:p w14:paraId="76EC60D0" w14:textId="77777777" w:rsidR="00966E2C" w:rsidRPr="00397EC7" w:rsidRDefault="00966E2C" w:rsidP="00966E2C">
      <w:pPr>
        <w:pStyle w:val="Citationintense"/>
        <w:rPr>
          <w:rFonts w:cs="Arial"/>
          <w:b w:val="0"/>
          <w:sz w:val="18"/>
          <w:lang w:val="en-GB"/>
        </w:rPr>
      </w:pPr>
      <w:r w:rsidRPr="00397EC7">
        <w:rPr>
          <w:rFonts w:cs="Arial"/>
          <w:b w:val="0"/>
          <w:sz w:val="18"/>
          <w:lang w:val="en-GB"/>
        </w:rPr>
        <w:t>Multilevel logistic regression model accounting for patients nested within facility, adjusted for yearly calendar effect.</w:t>
      </w:r>
    </w:p>
    <w:p w14:paraId="654B0518" w14:textId="7C1931A0" w:rsidR="00966E2C" w:rsidRPr="00397EC7" w:rsidRDefault="00966E2C" w:rsidP="00966E2C">
      <w:pPr>
        <w:pStyle w:val="Citationintense"/>
        <w:rPr>
          <w:rFonts w:cs="Arial"/>
          <w:b w:val="0"/>
          <w:sz w:val="18"/>
          <w:lang w:val="en-GB"/>
        </w:rPr>
      </w:pPr>
      <w:proofErr w:type="spellStart"/>
      <w:proofErr w:type="gramStart"/>
      <w:r w:rsidRPr="00397EC7">
        <w:rPr>
          <w:rFonts w:cs="Arial"/>
          <w:b w:val="0"/>
          <w:sz w:val="18"/>
          <w:lang w:val="en-GB"/>
        </w:rPr>
        <w:t>aOR</w:t>
      </w:r>
      <w:proofErr w:type="spellEnd"/>
      <w:proofErr w:type="gramEnd"/>
      <w:r w:rsidR="00643360" w:rsidRPr="00397EC7">
        <w:rPr>
          <w:rFonts w:cs="Arial"/>
          <w:b w:val="0"/>
          <w:sz w:val="18"/>
          <w:lang w:val="en-GB"/>
        </w:rPr>
        <w:t xml:space="preserve"> [95% CI]: </w:t>
      </w:r>
      <w:r w:rsidRPr="00397EC7">
        <w:rPr>
          <w:rFonts w:cs="Arial"/>
          <w:b w:val="0"/>
          <w:sz w:val="18"/>
          <w:lang w:val="en-GB"/>
        </w:rPr>
        <w:t>Adjusted odds ratio [95% confidence interval].</w:t>
      </w:r>
    </w:p>
    <w:p w14:paraId="0B66882B" w14:textId="77777777" w:rsidR="00966E2C" w:rsidRPr="00397EC7" w:rsidRDefault="00966E2C" w:rsidP="00966E2C">
      <w:pPr>
        <w:spacing w:line="276" w:lineRule="auto"/>
        <w:jc w:val="left"/>
        <w:rPr>
          <w:rFonts w:cs="Arial"/>
          <w:lang w:val="en-GB" w:eastAsia="fr-FR"/>
        </w:rPr>
      </w:pPr>
      <w:r w:rsidRPr="00397EC7">
        <w:rPr>
          <w:rFonts w:cs="Arial"/>
          <w:lang w:val="en-GB" w:eastAsia="fr-FR"/>
        </w:rPr>
        <w:br w:type="page"/>
      </w:r>
    </w:p>
    <w:p w14:paraId="77828646" w14:textId="669155EF" w:rsidR="00966E2C" w:rsidRPr="00397EC7" w:rsidRDefault="00A6091F" w:rsidP="00966E2C">
      <w:pPr>
        <w:pStyle w:val="Lgende"/>
        <w:spacing w:before="240"/>
        <w:rPr>
          <w:rFonts w:cs="Arial"/>
          <w:sz w:val="20"/>
          <w:lang w:val="en-GB"/>
        </w:rPr>
      </w:pPr>
      <w:r w:rsidRPr="00397EC7">
        <w:rPr>
          <w:rStyle w:val="Titredulivre"/>
          <w:rFonts w:cs="Times New Roman"/>
          <w:lang w:val="en-GB"/>
        </w:rPr>
        <w:lastRenderedPageBreak/>
        <w:t xml:space="preserve">Supplemental Table </w:t>
      </w:r>
      <w:r w:rsidR="00814A7A" w:rsidRPr="00397EC7">
        <w:rPr>
          <w:rFonts w:cs="Arial"/>
          <w:sz w:val="20"/>
          <w:lang w:val="en-GB"/>
        </w:rPr>
        <w:t>8</w:t>
      </w:r>
      <w:r w:rsidR="00966E2C" w:rsidRPr="00397EC7">
        <w:rPr>
          <w:rFonts w:cs="Arial"/>
          <w:sz w:val="20"/>
          <w:lang w:val="en-GB"/>
        </w:rPr>
        <w:t>: Characteristics associated with acute renal failure: sensitivity analysis using a more stringent definition for acute renal failure (4,088,799 patients, including 522 with acute renal failure)</w:t>
      </w:r>
      <w:r w:rsidR="00D54129" w:rsidRPr="00397EC7">
        <w:rPr>
          <w:rFonts w:cs="Arial"/>
          <w:sz w:val="20"/>
          <w:lang w:val="en-GB"/>
        </w:rPr>
        <w:t>.</w:t>
      </w:r>
    </w:p>
    <w:tbl>
      <w:tblPr>
        <w:tblW w:w="7580" w:type="dxa"/>
        <w:jc w:val="center"/>
        <w:tblCellMar>
          <w:left w:w="70" w:type="dxa"/>
          <w:right w:w="70" w:type="dxa"/>
        </w:tblCellMar>
        <w:tblLook w:val="04A0" w:firstRow="1" w:lastRow="0" w:firstColumn="1" w:lastColumn="0" w:noHBand="0" w:noVBand="1"/>
      </w:tblPr>
      <w:tblGrid>
        <w:gridCol w:w="4641"/>
        <w:gridCol w:w="1739"/>
        <w:gridCol w:w="1200"/>
      </w:tblGrid>
      <w:tr w:rsidR="00966E2C" w:rsidRPr="00397EC7" w14:paraId="53686A6B" w14:textId="77777777" w:rsidTr="00643360">
        <w:trPr>
          <w:trHeight w:val="170"/>
          <w:jc w:val="center"/>
        </w:trPr>
        <w:tc>
          <w:tcPr>
            <w:tcW w:w="4641" w:type="dxa"/>
            <w:tcBorders>
              <w:top w:val="single" w:sz="4" w:space="0" w:color="auto"/>
              <w:left w:val="nil"/>
              <w:bottom w:val="nil"/>
              <w:right w:val="nil"/>
            </w:tcBorders>
            <w:shd w:val="clear" w:color="auto" w:fill="auto"/>
            <w:noWrap/>
            <w:vAlign w:val="bottom"/>
            <w:hideMark/>
          </w:tcPr>
          <w:p w14:paraId="65663585"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739" w:type="dxa"/>
            <w:tcBorders>
              <w:top w:val="single" w:sz="4" w:space="0" w:color="auto"/>
              <w:left w:val="nil"/>
              <w:bottom w:val="single" w:sz="4" w:space="0" w:color="auto"/>
              <w:right w:val="nil"/>
            </w:tcBorders>
            <w:shd w:val="clear" w:color="auto" w:fill="auto"/>
            <w:noWrap/>
            <w:vAlign w:val="bottom"/>
            <w:hideMark/>
          </w:tcPr>
          <w:p w14:paraId="1D202688"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proofErr w:type="spellStart"/>
            <w:r w:rsidRPr="00397EC7">
              <w:rPr>
                <w:rFonts w:eastAsia="Times New Roman" w:cs="Arial"/>
                <w:b/>
                <w:bCs/>
                <w:color w:val="000000"/>
                <w:sz w:val="18"/>
                <w:szCs w:val="18"/>
                <w:lang w:val="en-GB" w:eastAsia="fr-FR"/>
              </w:rPr>
              <w:t>aOR</w:t>
            </w:r>
            <w:proofErr w:type="spellEnd"/>
            <w:r w:rsidRPr="00397EC7">
              <w:rPr>
                <w:rFonts w:eastAsia="Times New Roman" w:cs="Arial"/>
                <w:b/>
                <w:bCs/>
                <w:color w:val="000000"/>
                <w:sz w:val="18"/>
                <w:szCs w:val="18"/>
                <w:lang w:val="en-GB" w:eastAsia="fr-FR"/>
              </w:rPr>
              <w:t xml:space="preserve"> [95% CI]</w:t>
            </w:r>
          </w:p>
        </w:tc>
        <w:tc>
          <w:tcPr>
            <w:tcW w:w="1200" w:type="dxa"/>
            <w:tcBorders>
              <w:top w:val="single" w:sz="4" w:space="0" w:color="auto"/>
              <w:left w:val="nil"/>
              <w:bottom w:val="single" w:sz="4" w:space="0" w:color="auto"/>
              <w:right w:val="nil"/>
            </w:tcBorders>
            <w:shd w:val="clear" w:color="auto" w:fill="auto"/>
            <w:noWrap/>
            <w:vAlign w:val="bottom"/>
            <w:hideMark/>
          </w:tcPr>
          <w:p w14:paraId="7572E281"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 value</w:t>
            </w:r>
          </w:p>
        </w:tc>
      </w:tr>
      <w:tr w:rsidR="00966E2C" w:rsidRPr="00397EC7" w14:paraId="283EF9E7" w14:textId="77777777" w:rsidTr="00643360">
        <w:trPr>
          <w:trHeight w:val="170"/>
          <w:jc w:val="center"/>
        </w:trPr>
        <w:tc>
          <w:tcPr>
            <w:tcW w:w="4641" w:type="dxa"/>
            <w:tcBorders>
              <w:top w:val="single" w:sz="4" w:space="0" w:color="auto"/>
              <w:left w:val="nil"/>
              <w:bottom w:val="nil"/>
              <w:right w:val="nil"/>
            </w:tcBorders>
            <w:shd w:val="clear" w:color="000000" w:fill="F2F2F2"/>
            <w:noWrap/>
            <w:vAlign w:val="bottom"/>
            <w:hideMark/>
          </w:tcPr>
          <w:p w14:paraId="67C778F0" w14:textId="77777777" w:rsidR="00966E2C" w:rsidRPr="00397EC7" w:rsidRDefault="00966E2C" w:rsidP="00643360">
            <w:pPr>
              <w:spacing w:after="0" w:line="240" w:lineRule="auto"/>
              <w:jc w:val="left"/>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Patient characteristics</w:t>
            </w:r>
          </w:p>
        </w:tc>
        <w:tc>
          <w:tcPr>
            <w:tcW w:w="1739" w:type="dxa"/>
            <w:tcBorders>
              <w:top w:val="single" w:sz="4" w:space="0" w:color="auto"/>
              <w:left w:val="nil"/>
              <w:bottom w:val="nil"/>
              <w:right w:val="nil"/>
            </w:tcBorders>
            <w:shd w:val="clear" w:color="000000" w:fill="F2F2F2"/>
            <w:noWrap/>
            <w:vAlign w:val="bottom"/>
            <w:hideMark/>
          </w:tcPr>
          <w:p w14:paraId="6A7788D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c>
          <w:tcPr>
            <w:tcW w:w="1200" w:type="dxa"/>
            <w:tcBorders>
              <w:top w:val="single" w:sz="4" w:space="0" w:color="auto"/>
              <w:left w:val="nil"/>
              <w:bottom w:val="nil"/>
              <w:right w:val="nil"/>
            </w:tcBorders>
            <w:shd w:val="clear" w:color="000000" w:fill="F2F2F2"/>
            <w:noWrap/>
            <w:vAlign w:val="bottom"/>
            <w:hideMark/>
          </w:tcPr>
          <w:p w14:paraId="06CAAC4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r>
      <w:tr w:rsidR="00966E2C" w:rsidRPr="00397EC7" w14:paraId="10E7FB94"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1305E6EA"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Sex</w:t>
            </w:r>
          </w:p>
        </w:tc>
        <w:tc>
          <w:tcPr>
            <w:tcW w:w="1739" w:type="dxa"/>
            <w:tcBorders>
              <w:top w:val="nil"/>
              <w:left w:val="nil"/>
              <w:bottom w:val="nil"/>
              <w:right w:val="nil"/>
            </w:tcBorders>
            <w:shd w:val="clear" w:color="auto" w:fill="auto"/>
            <w:noWrap/>
            <w:vAlign w:val="bottom"/>
            <w:hideMark/>
          </w:tcPr>
          <w:p w14:paraId="64786A3C"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200" w:type="dxa"/>
            <w:tcBorders>
              <w:top w:val="nil"/>
              <w:left w:val="nil"/>
              <w:bottom w:val="nil"/>
              <w:right w:val="nil"/>
            </w:tcBorders>
            <w:shd w:val="clear" w:color="auto" w:fill="auto"/>
            <w:noWrap/>
            <w:vAlign w:val="bottom"/>
            <w:hideMark/>
          </w:tcPr>
          <w:p w14:paraId="7A9067B8"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584E67CC"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2EAB0873"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male</w:t>
            </w:r>
          </w:p>
        </w:tc>
        <w:tc>
          <w:tcPr>
            <w:tcW w:w="1739" w:type="dxa"/>
            <w:tcBorders>
              <w:top w:val="nil"/>
              <w:left w:val="nil"/>
              <w:bottom w:val="nil"/>
              <w:right w:val="nil"/>
            </w:tcBorders>
            <w:shd w:val="clear" w:color="auto" w:fill="auto"/>
            <w:noWrap/>
            <w:vAlign w:val="bottom"/>
            <w:hideMark/>
          </w:tcPr>
          <w:p w14:paraId="726FF9A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1200" w:type="dxa"/>
            <w:tcBorders>
              <w:top w:val="nil"/>
              <w:left w:val="nil"/>
              <w:bottom w:val="nil"/>
              <w:right w:val="nil"/>
            </w:tcBorders>
            <w:shd w:val="clear" w:color="auto" w:fill="auto"/>
            <w:noWrap/>
            <w:vAlign w:val="bottom"/>
            <w:hideMark/>
          </w:tcPr>
          <w:p w14:paraId="4CC90EED" w14:textId="77777777" w:rsidR="00966E2C" w:rsidRPr="00397EC7" w:rsidRDefault="00966E2C" w:rsidP="00643360">
            <w:pPr>
              <w:spacing w:after="0" w:line="240" w:lineRule="auto"/>
              <w:jc w:val="left"/>
              <w:rPr>
                <w:rFonts w:eastAsia="Times New Roman" w:cs="Arial"/>
                <w:color w:val="000000"/>
                <w:sz w:val="18"/>
                <w:szCs w:val="18"/>
                <w:lang w:val="en-GB" w:eastAsia="fr-FR"/>
              </w:rPr>
            </w:pPr>
          </w:p>
        </w:tc>
      </w:tr>
      <w:tr w:rsidR="00966E2C" w:rsidRPr="00397EC7" w14:paraId="0D3E3C03"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52F0E4CF"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female</w:t>
            </w:r>
          </w:p>
        </w:tc>
        <w:tc>
          <w:tcPr>
            <w:tcW w:w="1739" w:type="dxa"/>
            <w:tcBorders>
              <w:top w:val="nil"/>
              <w:left w:val="nil"/>
              <w:bottom w:val="nil"/>
              <w:right w:val="nil"/>
            </w:tcBorders>
            <w:shd w:val="clear" w:color="auto" w:fill="auto"/>
            <w:noWrap/>
            <w:vAlign w:val="bottom"/>
            <w:hideMark/>
          </w:tcPr>
          <w:p w14:paraId="7E86C205"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0.91 [0.76-1.11]</w:t>
            </w:r>
          </w:p>
        </w:tc>
        <w:tc>
          <w:tcPr>
            <w:tcW w:w="1200" w:type="dxa"/>
            <w:tcBorders>
              <w:top w:val="nil"/>
              <w:left w:val="nil"/>
              <w:bottom w:val="nil"/>
              <w:right w:val="nil"/>
            </w:tcBorders>
            <w:shd w:val="clear" w:color="auto" w:fill="auto"/>
            <w:noWrap/>
            <w:vAlign w:val="bottom"/>
            <w:hideMark/>
          </w:tcPr>
          <w:p w14:paraId="12CE3E7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0.36</w:t>
            </w:r>
          </w:p>
        </w:tc>
      </w:tr>
      <w:tr w:rsidR="00966E2C" w:rsidRPr="00397EC7" w14:paraId="2A1C71DA"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2790F318"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Age</w:t>
            </w:r>
          </w:p>
        </w:tc>
        <w:tc>
          <w:tcPr>
            <w:tcW w:w="1739" w:type="dxa"/>
            <w:tcBorders>
              <w:top w:val="nil"/>
              <w:left w:val="nil"/>
              <w:bottom w:val="nil"/>
              <w:right w:val="nil"/>
            </w:tcBorders>
            <w:shd w:val="clear" w:color="auto" w:fill="auto"/>
            <w:noWrap/>
            <w:vAlign w:val="bottom"/>
            <w:hideMark/>
          </w:tcPr>
          <w:p w14:paraId="7ECA9570"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200" w:type="dxa"/>
            <w:tcBorders>
              <w:top w:val="nil"/>
              <w:left w:val="nil"/>
              <w:bottom w:val="nil"/>
              <w:right w:val="nil"/>
            </w:tcBorders>
            <w:shd w:val="clear" w:color="auto" w:fill="auto"/>
            <w:noWrap/>
            <w:vAlign w:val="bottom"/>
            <w:hideMark/>
          </w:tcPr>
          <w:p w14:paraId="3CD3F2F5"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629C8CC3"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204891A9"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30-39</w:t>
            </w:r>
          </w:p>
        </w:tc>
        <w:tc>
          <w:tcPr>
            <w:tcW w:w="1739" w:type="dxa"/>
            <w:tcBorders>
              <w:top w:val="nil"/>
              <w:left w:val="nil"/>
              <w:bottom w:val="nil"/>
              <w:right w:val="nil"/>
            </w:tcBorders>
            <w:shd w:val="clear" w:color="auto" w:fill="auto"/>
            <w:noWrap/>
            <w:vAlign w:val="bottom"/>
            <w:hideMark/>
          </w:tcPr>
          <w:p w14:paraId="1B08D59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1200" w:type="dxa"/>
            <w:tcBorders>
              <w:top w:val="nil"/>
              <w:left w:val="nil"/>
              <w:bottom w:val="nil"/>
              <w:right w:val="nil"/>
            </w:tcBorders>
            <w:shd w:val="clear" w:color="auto" w:fill="auto"/>
            <w:noWrap/>
            <w:vAlign w:val="bottom"/>
            <w:hideMark/>
          </w:tcPr>
          <w:p w14:paraId="3CF6C97D"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63268E87"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2AD0F234"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40-49</w:t>
            </w:r>
          </w:p>
        </w:tc>
        <w:tc>
          <w:tcPr>
            <w:tcW w:w="1739" w:type="dxa"/>
            <w:tcBorders>
              <w:top w:val="nil"/>
              <w:left w:val="nil"/>
              <w:bottom w:val="nil"/>
              <w:right w:val="nil"/>
            </w:tcBorders>
            <w:shd w:val="clear" w:color="auto" w:fill="auto"/>
            <w:noWrap/>
            <w:vAlign w:val="bottom"/>
            <w:hideMark/>
          </w:tcPr>
          <w:p w14:paraId="2CE874C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0.84 [0.48-1.46]</w:t>
            </w:r>
          </w:p>
        </w:tc>
        <w:tc>
          <w:tcPr>
            <w:tcW w:w="1200" w:type="dxa"/>
            <w:tcBorders>
              <w:top w:val="nil"/>
              <w:left w:val="nil"/>
              <w:bottom w:val="nil"/>
              <w:right w:val="nil"/>
            </w:tcBorders>
            <w:shd w:val="clear" w:color="auto" w:fill="auto"/>
            <w:noWrap/>
            <w:vAlign w:val="bottom"/>
            <w:hideMark/>
          </w:tcPr>
          <w:p w14:paraId="6CD5DA5A"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0.54</w:t>
            </w:r>
          </w:p>
        </w:tc>
      </w:tr>
      <w:tr w:rsidR="00966E2C" w:rsidRPr="00397EC7" w14:paraId="56E88344"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5936B72B"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50-59</w:t>
            </w:r>
          </w:p>
        </w:tc>
        <w:tc>
          <w:tcPr>
            <w:tcW w:w="1739" w:type="dxa"/>
            <w:tcBorders>
              <w:top w:val="nil"/>
              <w:left w:val="nil"/>
              <w:bottom w:val="nil"/>
              <w:right w:val="nil"/>
            </w:tcBorders>
            <w:shd w:val="clear" w:color="auto" w:fill="auto"/>
            <w:noWrap/>
            <w:vAlign w:val="bottom"/>
            <w:hideMark/>
          </w:tcPr>
          <w:p w14:paraId="231DDC9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0.88 [0.53-1.47]</w:t>
            </w:r>
          </w:p>
        </w:tc>
        <w:tc>
          <w:tcPr>
            <w:tcW w:w="1200" w:type="dxa"/>
            <w:tcBorders>
              <w:top w:val="nil"/>
              <w:left w:val="nil"/>
              <w:bottom w:val="nil"/>
              <w:right w:val="nil"/>
            </w:tcBorders>
            <w:shd w:val="clear" w:color="auto" w:fill="auto"/>
            <w:noWrap/>
            <w:vAlign w:val="bottom"/>
            <w:hideMark/>
          </w:tcPr>
          <w:p w14:paraId="4BA3686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0.63</w:t>
            </w:r>
          </w:p>
        </w:tc>
      </w:tr>
      <w:tr w:rsidR="00966E2C" w:rsidRPr="00397EC7" w14:paraId="4332B755"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3100B7B9"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60-69</w:t>
            </w:r>
          </w:p>
        </w:tc>
        <w:tc>
          <w:tcPr>
            <w:tcW w:w="1739" w:type="dxa"/>
            <w:tcBorders>
              <w:top w:val="nil"/>
              <w:left w:val="nil"/>
              <w:bottom w:val="nil"/>
              <w:right w:val="nil"/>
            </w:tcBorders>
            <w:shd w:val="clear" w:color="auto" w:fill="auto"/>
            <w:noWrap/>
            <w:vAlign w:val="bottom"/>
            <w:hideMark/>
          </w:tcPr>
          <w:p w14:paraId="0394FCE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0.86 [0.52-1.42]</w:t>
            </w:r>
          </w:p>
        </w:tc>
        <w:tc>
          <w:tcPr>
            <w:tcW w:w="1200" w:type="dxa"/>
            <w:tcBorders>
              <w:top w:val="nil"/>
              <w:left w:val="nil"/>
              <w:bottom w:val="nil"/>
              <w:right w:val="nil"/>
            </w:tcBorders>
            <w:shd w:val="clear" w:color="auto" w:fill="auto"/>
            <w:noWrap/>
            <w:vAlign w:val="bottom"/>
            <w:hideMark/>
          </w:tcPr>
          <w:p w14:paraId="05B671A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0.56</w:t>
            </w:r>
          </w:p>
        </w:tc>
      </w:tr>
      <w:tr w:rsidR="00966E2C" w:rsidRPr="00397EC7" w14:paraId="6377441F"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0BB02368"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70-79</w:t>
            </w:r>
          </w:p>
        </w:tc>
        <w:tc>
          <w:tcPr>
            <w:tcW w:w="1739" w:type="dxa"/>
            <w:tcBorders>
              <w:top w:val="nil"/>
              <w:left w:val="nil"/>
              <w:bottom w:val="nil"/>
              <w:right w:val="nil"/>
            </w:tcBorders>
            <w:shd w:val="clear" w:color="auto" w:fill="auto"/>
            <w:noWrap/>
            <w:vAlign w:val="bottom"/>
            <w:hideMark/>
          </w:tcPr>
          <w:p w14:paraId="7F4AF2F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0.73 [0.44-1.22]</w:t>
            </w:r>
          </w:p>
        </w:tc>
        <w:tc>
          <w:tcPr>
            <w:tcW w:w="1200" w:type="dxa"/>
            <w:tcBorders>
              <w:top w:val="nil"/>
              <w:left w:val="nil"/>
              <w:bottom w:val="nil"/>
              <w:right w:val="nil"/>
            </w:tcBorders>
            <w:shd w:val="clear" w:color="auto" w:fill="auto"/>
            <w:noWrap/>
            <w:vAlign w:val="bottom"/>
            <w:hideMark/>
          </w:tcPr>
          <w:p w14:paraId="7958EC8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0.23</w:t>
            </w:r>
          </w:p>
        </w:tc>
      </w:tr>
      <w:tr w:rsidR="00966E2C" w:rsidRPr="00397EC7" w14:paraId="3539FB00"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717D38F1"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80 and older</w:t>
            </w:r>
          </w:p>
        </w:tc>
        <w:tc>
          <w:tcPr>
            <w:tcW w:w="1739" w:type="dxa"/>
            <w:tcBorders>
              <w:top w:val="nil"/>
              <w:left w:val="nil"/>
              <w:bottom w:val="nil"/>
              <w:right w:val="nil"/>
            </w:tcBorders>
            <w:shd w:val="clear" w:color="auto" w:fill="auto"/>
            <w:noWrap/>
            <w:vAlign w:val="bottom"/>
            <w:hideMark/>
          </w:tcPr>
          <w:p w14:paraId="6BFE740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0.27 [0.16-0.46]</w:t>
            </w:r>
          </w:p>
        </w:tc>
        <w:tc>
          <w:tcPr>
            <w:tcW w:w="1200" w:type="dxa"/>
            <w:tcBorders>
              <w:top w:val="nil"/>
              <w:left w:val="nil"/>
              <w:bottom w:val="nil"/>
              <w:right w:val="nil"/>
            </w:tcBorders>
            <w:shd w:val="clear" w:color="auto" w:fill="auto"/>
            <w:noWrap/>
            <w:vAlign w:val="bottom"/>
            <w:hideMark/>
          </w:tcPr>
          <w:p w14:paraId="1BB621C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6861EBE8"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0C5EFB95"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Pre-existing conditions</w:t>
            </w:r>
          </w:p>
        </w:tc>
        <w:tc>
          <w:tcPr>
            <w:tcW w:w="1739" w:type="dxa"/>
            <w:tcBorders>
              <w:top w:val="nil"/>
              <w:left w:val="nil"/>
              <w:bottom w:val="nil"/>
              <w:right w:val="nil"/>
            </w:tcBorders>
            <w:shd w:val="clear" w:color="auto" w:fill="auto"/>
            <w:noWrap/>
            <w:vAlign w:val="bottom"/>
            <w:hideMark/>
          </w:tcPr>
          <w:p w14:paraId="32E628AB"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200" w:type="dxa"/>
            <w:tcBorders>
              <w:top w:val="nil"/>
              <w:left w:val="nil"/>
              <w:bottom w:val="nil"/>
              <w:right w:val="nil"/>
            </w:tcBorders>
            <w:shd w:val="clear" w:color="auto" w:fill="auto"/>
            <w:noWrap/>
            <w:vAlign w:val="bottom"/>
            <w:hideMark/>
          </w:tcPr>
          <w:p w14:paraId="42B30209"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261FB0A8"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0FA41EEB"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congestive heart failure</w:t>
            </w:r>
          </w:p>
        </w:tc>
        <w:tc>
          <w:tcPr>
            <w:tcW w:w="1739" w:type="dxa"/>
            <w:tcBorders>
              <w:top w:val="nil"/>
              <w:left w:val="nil"/>
              <w:bottom w:val="nil"/>
              <w:right w:val="nil"/>
            </w:tcBorders>
            <w:shd w:val="clear" w:color="auto" w:fill="auto"/>
            <w:noWrap/>
            <w:vAlign w:val="bottom"/>
            <w:hideMark/>
          </w:tcPr>
          <w:p w14:paraId="2642C59C"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1.46 [1.18-1.80]</w:t>
            </w:r>
          </w:p>
        </w:tc>
        <w:tc>
          <w:tcPr>
            <w:tcW w:w="1200" w:type="dxa"/>
            <w:tcBorders>
              <w:top w:val="nil"/>
              <w:left w:val="nil"/>
              <w:bottom w:val="nil"/>
              <w:right w:val="nil"/>
            </w:tcBorders>
            <w:shd w:val="clear" w:color="auto" w:fill="auto"/>
            <w:noWrap/>
            <w:vAlign w:val="bottom"/>
            <w:hideMark/>
          </w:tcPr>
          <w:p w14:paraId="6AA3B9E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0.0004</w:t>
            </w:r>
          </w:p>
        </w:tc>
      </w:tr>
      <w:tr w:rsidR="00966E2C" w:rsidRPr="00397EC7" w14:paraId="009E2646"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28C8D96D"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peripheral vascular disease</w:t>
            </w:r>
          </w:p>
        </w:tc>
        <w:tc>
          <w:tcPr>
            <w:tcW w:w="1739" w:type="dxa"/>
            <w:tcBorders>
              <w:top w:val="nil"/>
              <w:left w:val="nil"/>
              <w:bottom w:val="nil"/>
              <w:right w:val="nil"/>
            </w:tcBorders>
            <w:shd w:val="clear" w:color="auto" w:fill="auto"/>
            <w:noWrap/>
            <w:vAlign w:val="bottom"/>
            <w:hideMark/>
          </w:tcPr>
          <w:p w14:paraId="3C49ED82"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1.46 [1.19-1.80]</w:t>
            </w:r>
          </w:p>
        </w:tc>
        <w:tc>
          <w:tcPr>
            <w:tcW w:w="1200" w:type="dxa"/>
            <w:tcBorders>
              <w:top w:val="nil"/>
              <w:left w:val="nil"/>
              <w:bottom w:val="nil"/>
              <w:right w:val="nil"/>
            </w:tcBorders>
            <w:shd w:val="clear" w:color="auto" w:fill="auto"/>
            <w:noWrap/>
            <w:vAlign w:val="bottom"/>
            <w:hideMark/>
          </w:tcPr>
          <w:p w14:paraId="7B2975E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0.0003</w:t>
            </w:r>
          </w:p>
        </w:tc>
      </w:tr>
      <w:tr w:rsidR="00966E2C" w:rsidRPr="00397EC7" w14:paraId="270EE47D"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4E2EF3D1"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moderate or severe renal disease</w:t>
            </w:r>
          </w:p>
        </w:tc>
        <w:tc>
          <w:tcPr>
            <w:tcW w:w="1739" w:type="dxa"/>
            <w:tcBorders>
              <w:top w:val="nil"/>
              <w:left w:val="nil"/>
              <w:bottom w:val="nil"/>
              <w:right w:val="nil"/>
            </w:tcBorders>
            <w:shd w:val="clear" w:color="auto" w:fill="auto"/>
            <w:noWrap/>
            <w:vAlign w:val="bottom"/>
            <w:hideMark/>
          </w:tcPr>
          <w:p w14:paraId="7A4C6F1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185 [132-261]</w:t>
            </w:r>
          </w:p>
        </w:tc>
        <w:tc>
          <w:tcPr>
            <w:tcW w:w="1200" w:type="dxa"/>
            <w:tcBorders>
              <w:top w:val="nil"/>
              <w:left w:val="nil"/>
              <w:bottom w:val="nil"/>
              <w:right w:val="nil"/>
            </w:tcBorders>
            <w:shd w:val="clear" w:color="auto" w:fill="auto"/>
            <w:noWrap/>
            <w:vAlign w:val="bottom"/>
            <w:hideMark/>
          </w:tcPr>
          <w:p w14:paraId="614ECCA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4DC46CB4"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01604882"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hemiplegia</w:t>
            </w:r>
          </w:p>
        </w:tc>
        <w:tc>
          <w:tcPr>
            <w:tcW w:w="1739" w:type="dxa"/>
            <w:tcBorders>
              <w:top w:val="nil"/>
              <w:left w:val="nil"/>
              <w:bottom w:val="nil"/>
              <w:right w:val="nil"/>
            </w:tcBorders>
            <w:shd w:val="clear" w:color="auto" w:fill="auto"/>
            <w:noWrap/>
            <w:vAlign w:val="bottom"/>
            <w:hideMark/>
          </w:tcPr>
          <w:p w14:paraId="65CA666F"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1.86 [1.31-2.65]</w:t>
            </w:r>
          </w:p>
        </w:tc>
        <w:tc>
          <w:tcPr>
            <w:tcW w:w="1200" w:type="dxa"/>
            <w:tcBorders>
              <w:top w:val="nil"/>
              <w:left w:val="nil"/>
              <w:bottom w:val="nil"/>
              <w:right w:val="nil"/>
            </w:tcBorders>
            <w:shd w:val="clear" w:color="auto" w:fill="auto"/>
            <w:noWrap/>
            <w:vAlign w:val="bottom"/>
            <w:hideMark/>
          </w:tcPr>
          <w:p w14:paraId="20C8ADE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0.0006</w:t>
            </w:r>
          </w:p>
        </w:tc>
      </w:tr>
      <w:tr w:rsidR="00966E2C" w:rsidRPr="00397EC7" w14:paraId="6BB217B7"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038B23EA"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liver disease</w:t>
            </w:r>
          </w:p>
        </w:tc>
        <w:tc>
          <w:tcPr>
            <w:tcW w:w="1739" w:type="dxa"/>
            <w:tcBorders>
              <w:top w:val="nil"/>
              <w:left w:val="nil"/>
              <w:bottom w:val="nil"/>
              <w:right w:val="nil"/>
            </w:tcBorders>
            <w:shd w:val="clear" w:color="auto" w:fill="auto"/>
            <w:noWrap/>
            <w:vAlign w:val="bottom"/>
            <w:hideMark/>
          </w:tcPr>
          <w:p w14:paraId="0BED786A"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200" w:type="dxa"/>
            <w:tcBorders>
              <w:top w:val="nil"/>
              <w:left w:val="nil"/>
              <w:bottom w:val="nil"/>
              <w:right w:val="nil"/>
            </w:tcBorders>
            <w:shd w:val="clear" w:color="auto" w:fill="auto"/>
            <w:noWrap/>
            <w:vAlign w:val="bottom"/>
            <w:hideMark/>
          </w:tcPr>
          <w:p w14:paraId="30313B06"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79B87AE9"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2A44ACB6" w14:textId="77777777" w:rsidR="00966E2C" w:rsidRPr="00397EC7" w:rsidRDefault="00966E2C" w:rsidP="00643360">
            <w:pPr>
              <w:spacing w:after="0" w:line="240" w:lineRule="auto"/>
              <w:jc w:val="left"/>
              <w:rPr>
                <w:rFonts w:eastAsia="Times New Roman" w:cs="Arial"/>
                <w:i/>
                <w:iCs/>
                <w:color w:val="000000"/>
                <w:sz w:val="18"/>
                <w:szCs w:val="18"/>
                <w:lang w:val="en-GB" w:eastAsia="fr-FR"/>
              </w:rPr>
            </w:pPr>
            <w:r w:rsidRPr="00397EC7">
              <w:rPr>
                <w:rFonts w:eastAsia="Times New Roman" w:cs="Arial"/>
                <w:i/>
                <w:iCs/>
                <w:color w:val="000000"/>
                <w:sz w:val="18"/>
                <w:szCs w:val="18"/>
                <w:lang w:val="en-GB" w:eastAsia="fr-FR"/>
              </w:rPr>
              <w:t xml:space="preserve">      mild</w:t>
            </w:r>
          </w:p>
        </w:tc>
        <w:tc>
          <w:tcPr>
            <w:tcW w:w="1739" w:type="dxa"/>
            <w:tcBorders>
              <w:top w:val="nil"/>
              <w:left w:val="nil"/>
              <w:bottom w:val="nil"/>
              <w:right w:val="nil"/>
            </w:tcBorders>
            <w:shd w:val="clear" w:color="auto" w:fill="auto"/>
            <w:noWrap/>
            <w:vAlign w:val="bottom"/>
            <w:hideMark/>
          </w:tcPr>
          <w:p w14:paraId="27A284E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0.87 [0.64-1.19]</w:t>
            </w:r>
          </w:p>
        </w:tc>
        <w:tc>
          <w:tcPr>
            <w:tcW w:w="1200" w:type="dxa"/>
            <w:tcBorders>
              <w:top w:val="nil"/>
              <w:left w:val="nil"/>
              <w:bottom w:val="nil"/>
              <w:right w:val="nil"/>
            </w:tcBorders>
            <w:shd w:val="clear" w:color="auto" w:fill="auto"/>
            <w:noWrap/>
            <w:vAlign w:val="bottom"/>
            <w:hideMark/>
          </w:tcPr>
          <w:p w14:paraId="20D07F8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0.39</w:t>
            </w:r>
          </w:p>
        </w:tc>
      </w:tr>
      <w:tr w:rsidR="00966E2C" w:rsidRPr="00397EC7" w14:paraId="56BD2399"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355030EF" w14:textId="77777777" w:rsidR="00966E2C" w:rsidRPr="00397EC7" w:rsidRDefault="00966E2C" w:rsidP="00643360">
            <w:pPr>
              <w:spacing w:after="0" w:line="240" w:lineRule="auto"/>
              <w:jc w:val="left"/>
              <w:rPr>
                <w:rFonts w:eastAsia="Times New Roman" w:cs="Arial"/>
                <w:i/>
                <w:iCs/>
                <w:color w:val="000000"/>
                <w:sz w:val="18"/>
                <w:szCs w:val="18"/>
                <w:lang w:val="en-GB" w:eastAsia="fr-FR"/>
              </w:rPr>
            </w:pPr>
            <w:r w:rsidRPr="00397EC7">
              <w:rPr>
                <w:rFonts w:eastAsia="Times New Roman" w:cs="Arial"/>
                <w:i/>
                <w:iCs/>
                <w:color w:val="000000"/>
                <w:sz w:val="18"/>
                <w:szCs w:val="18"/>
                <w:lang w:val="en-GB" w:eastAsia="fr-FR"/>
              </w:rPr>
              <w:t xml:space="preserve">      moderate or severe</w:t>
            </w:r>
          </w:p>
        </w:tc>
        <w:tc>
          <w:tcPr>
            <w:tcW w:w="1739" w:type="dxa"/>
            <w:tcBorders>
              <w:top w:val="nil"/>
              <w:left w:val="nil"/>
              <w:bottom w:val="nil"/>
              <w:right w:val="nil"/>
            </w:tcBorders>
            <w:shd w:val="clear" w:color="auto" w:fill="auto"/>
            <w:noWrap/>
            <w:vAlign w:val="bottom"/>
            <w:hideMark/>
          </w:tcPr>
          <w:p w14:paraId="60721711"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1.68 [1.20-2.37]</w:t>
            </w:r>
          </w:p>
        </w:tc>
        <w:tc>
          <w:tcPr>
            <w:tcW w:w="1200" w:type="dxa"/>
            <w:tcBorders>
              <w:top w:val="nil"/>
              <w:left w:val="nil"/>
              <w:bottom w:val="nil"/>
              <w:right w:val="nil"/>
            </w:tcBorders>
            <w:shd w:val="clear" w:color="auto" w:fill="auto"/>
            <w:noWrap/>
            <w:vAlign w:val="bottom"/>
            <w:hideMark/>
          </w:tcPr>
          <w:p w14:paraId="13EBC3A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0.0027</w:t>
            </w:r>
          </w:p>
        </w:tc>
      </w:tr>
      <w:tr w:rsidR="00966E2C" w:rsidRPr="00397EC7" w14:paraId="0B0FBB70"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310B8730"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diabetes</w:t>
            </w:r>
          </w:p>
        </w:tc>
        <w:tc>
          <w:tcPr>
            <w:tcW w:w="1739" w:type="dxa"/>
            <w:tcBorders>
              <w:top w:val="nil"/>
              <w:left w:val="nil"/>
              <w:bottom w:val="nil"/>
              <w:right w:val="nil"/>
            </w:tcBorders>
            <w:shd w:val="clear" w:color="auto" w:fill="auto"/>
            <w:noWrap/>
            <w:vAlign w:val="bottom"/>
            <w:hideMark/>
          </w:tcPr>
          <w:p w14:paraId="224E17C7"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200" w:type="dxa"/>
            <w:tcBorders>
              <w:top w:val="nil"/>
              <w:left w:val="nil"/>
              <w:bottom w:val="nil"/>
              <w:right w:val="nil"/>
            </w:tcBorders>
            <w:shd w:val="clear" w:color="auto" w:fill="auto"/>
            <w:noWrap/>
            <w:vAlign w:val="bottom"/>
            <w:hideMark/>
          </w:tcPr>
          <w:p w14:paraId="28F2F0E1"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3C11C824"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7596670A" w14:textId="77777777" w:rsidR="00966E2C" w:rsidRPr="00397EC7" w:rsidRDefault="00966E2C" w:rsidP="00643360">
            <w:pPr>
              <w:spacing w:after="0" w:line="240" w:lineRule="auto"/>
              <w:jc w:val="left"/>
              <w:rPr>
                <w:rFonts w:eastAsia="Times New Roman" w:cs="Arial"/>
                <w:i/>
                <w:iCs/>
                <w:color w:val="000000"/>
                <w:sz w:val="18"/>
                <w:szCs w:val="18"/>
                <w:lang w:val="en-GB" w:eastAsia="fr-FR"/>
              </w:rPr>
            </w:pPr>
            <w:r w:rsidRPr="00397EC7">
              <w:rPr>
                <w:rFonts w:eastAsia="Times New Roman" w:cs="Arial"/>
                <w:i/>
                <w:iCs/>
                <w:color w:val="000000"/>
                <w:sz w:val="18"/>
                <w:szCs w:val="18"/>
                <w:lang w:val="en-GB" w:eastAsia="fr-FR"/>
              </w:rPr>
              <w:t xml:space="preserve">      without end-organ damage</w:t>
            </w:r>
          </w:p>
        </w:tc>
        <w:tc>
          <w:tcPr>
            <w:tcW w:w="1739" w:type="dxa"/>
            <w:tcBorders>
              <w:top w:val="nil"/>
              <w:left w:val="nil"/>
              <w:bottom w:val="nil"/>
              <w:right w:val="nil"/>
            </w:tcBorders>
            <w:shd w:val="clear" w:color="auto" w:fill="auto"/>
            <w:noWrap/>
            <w:vAlign w:val="bottom"/>
            <w:hideMark/>
          </w:tcPr>
          <w:p w14:paraId="25FBE30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0.91 [0.65-1.28]</w:t>
            </w:r>
          </w:p>
        </w:tc>
        <w:tc>
          <w:tcPr>
            <w:tcW w:w="1200" w:type="dxa"/>
            <w:tcBorders>
              <w:top w:val="nil"/>
              <w:left w:val="nil"/>
              <w:bottom w:val="nil"/>
              <w:right w:val="nil"/>
            </w:tcBorders>
            <w:shd w:val="clear" w:color="auto" w:fill="auto"/>
            <w:noWrap/>
            <w:vAlign w:val="bottom"/>
            <w:hideMark/>
          </w:tcPr>
          <w:p w14:paraId="4B41F2F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0.60</w:t>
            </w:r>
          </w:p>
        </w:tc>
      </w:tr>
      <w:tr w:rsidR="00966E2C" w:rsidRPr="00397EC7" w14:paraId="616109FC"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1137D696" w14:textId="77777777" w:rsidR="00966E2C" w:rsidRPr="00397EC7" w:rsidRDefault="00966E2C" w:rsidP="00643360">
            <w:pPr>
              <w:spacing w:after="0" w:line="240" w:lineRule="auto"/>
              <w:jc w:val="left"/>
              <w:rPr>
                <w:rFonts w:eastAsia="Times New Roman" w:cs="Arial"/>
                <w:i/>
                <w:iCs/>
                <w:color w:val="000000"/>
                <w:sz w:val="18"/>
                <w:szCs w:val="18"/>
                <w:lang w:val="en-GB" w:eastAsia="fr-FR"/>
              </w:rPr>
            </w:pPr>
            <w:r w:rsidRPr="00397EC7">
              <w:rPr>
                <w:rFonts w:eastAsia="Times New Roman" w:cs="Arial"/>
                <w:i/>
                <w:iCs/>
                <w:color w:val="000000"/>
                <w:sz w:val="18"/>
                <w:szCs w:val="18"/>
                <w:lang w:val="en-GB" w:eastAsia="fr-FR"/>
              </w:rPr>
              <w:t xml:space="preserve">      with end-organ damage</w:t>
            </w:r>
          </w:p>
        </w:tc>
        <w:tc>
          <w:tcPr>
            <w:tcW w:w="1739" w:type="dxa"/>
            <w:tcBorders>
              <w:top w:val="nil"/>
              <w:left w:val="nil"/>
              <w:bottom w:val="nil"/>
              <w:right w:val="nil"/>
            </w:tcBorders>
            <w:shd w:val="clear" w:color="auto" w:fill="auto"/>
            <w:noWrap/>
            <w:vAlign w:val="bottom"/>
            <w:hideMark/>
          </w:tcPr>
          <w:p w14:paraId="262FF33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0.72 [0.58-0.89]</w:t>
            </w:r>
          </w:p>
        </w:tc>
        <w:tc>
          <w:tcPr>
            <w:tcW w:w="1200" w:type="dxa"/>
            <w:tcBorders>
              <w:top w:val="nil"/>
              <w:left w:val="nil"/>
              <w:bottom w:val="nil"/>
              <w:right w:val="nil"/>
            </w:tcBorders>
            <w:shd w:val="clear" w:color="auto" w:fill="auto"/>
            <w:noWrap/>
            <w:vAlign w:val="bottom"/>
            <w:hideMark/>
          </w:tcPr>
          <w:p w14:paraId="18932E3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0.0026</w:t>
            </w:r>
          </w:p>
        </w:tc>
      </w:tr>
      <w:tr w:rsidR="00966E2C" w:rsidRPr="00397EC7" w14:paraId="30EF6273"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62C8FB1C"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cancer</w:t>
            </w:r>
          </w:p>
        </w:tc>
        <w:tc>
          <w:tcPr>
            <w:tcW w:w="1739" w:type="dxa"/>
            <w:tcBorders>
              <w:top w:val="nil"/>
              <w:left w:val="nil"/>
              <w:bottom w:val="nil"/>
              <w:right w:val="nil"/>
            </w:tcBorders>
            <w:shd w:val="clear" w:color="auto" w:fill="auto"/>
            <w:noWrap/>
            <w:vAlign w:val="bottom"/>
            <w:hideMark/>
          </w:tcPr>
          <w:p w14:paraId="535656F5"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200" w:type="dxa"/>
            <w:tcBorders>
              <w:top w:val="nil"/>
              <w:left w:val="nil"/>
              <w:bottom w:val="nil"/>
              <w:right w:val="nil"/>
            </w:tcBorders>
            <w:shd w:val="clear" w:color="auto" w:fill="auto"/>
            <w:noWrap/>
            <w:vAlign w:val="bottom"/>
            <w:hideMark/>
          </w:tcPr>
          <w:p w14:paraId="3252E386"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40FC3527"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6AA0964A" w14:textId="29A8877C" w:rsidR="00966E2C" w:rsidRPr="00397EC7" w:rsidRDefault="00966E2C" w:rsidP="00643360">
            <w:pPr>
              <w:spacing w:after="0" w:line="240" w:lineRule="auto"/>
              <w:jc w:val="left"/>
              <w:rPr>
                <w:rFonts w:eastAsia="Times New Roman" w:cs="Arial"/>
                <w:i/>
                <w:iCs/>
                <w:color w:val="000000"/>
                <w:sz w:val="18"/>
                <w:szCs w:val="18"/>
                <w:lang w:val="en-GB" w:eastAsia="fr-FR"/>
              </w:rPr>
            </w:pPr>
            <w:r w:rsidRPr="00397EC7">
              <w:rPr>
                <w:rFonts w:eastAsia="Times New Roman" w:cs="Arial"/>
                <w:i/>
                <w:iCs/>
                <w:color w:val="000000"/>
                <w:sz w:val="18"/>
                <w:szCs w:val="18"/>
                <w:lang w:val="en-GB" w:eastAsia="fr-FR"/>
              </w:rPr>
              <w:t xml:space="preserve">      non </w:t>
            </w:r>
            <w:proofErr w:type="spellStart"/>
            <w:r w:rsidRPr="00397EC7">
              <w:rPr>
                <w:rFonts w:eastAsia="Times New Roman" w:cs="Arial"/>
                <w:i/>
                <w:iCs/>
                <w:color w:val="000000"/>
                <w:sz w:val="18"/>
                <w:szCs w:val="18"/>
                <w:lang w:val="en-GB" w:eastAsia="fr-FR"/>
              </w:rPr>
              <w:t>metastatic</w:t>
            </w:r>
            <w:r w:rsidR="00457B87" w:rsidRPr="00397EC7">
              <w:rPr>
                <w:rFonts w:eastAsia="Times New Roman" w:cs="Arial"/>
                <w:i/>
                <w:iCs/>
                <w:color w:val="000000"/>
                <w:sz w:val="18"/>
                <w:szCs w:val="18"/>
                <w:vertAlign w:val="superscript"/>
                <w:lang w:val="en-GB" w:eastAsia="fr-FR"/>
              </w:rPr>
              <w:t>a</w:t>
            </w:r>
            <w:proofErr w:type="spellEnd"/>
          </w:p>
        </w:tc>
        <w:tc>
          <w:tcPr>
            <w:tcW w:w="1739" w:type="dxa"/>
            <w:tcBorders>
              <w:top w:val="nil"/>
              <w:left w:val="nil"/>
              <w:bottom w:val="nil"/>
              <w:right w:val="nil"/>
            </w:tcBorders>
            <w:shd w:val="clear" w:color="auto" w:fill="auto"/>
            <w:noWrap/>
            <w:vAlign w:val="bottom"/>
            <w:hideMark/>
          </w:tcPr>
          <w:p w14:paraId="2DB27DC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1.08 [0.85-1.36]</w:t>
            </w:r>
          </w:p>
        </w:tc>
        <w:tc>
          <w:tcPr>
            <w:tcW w:w="1200" w:type="dxa"/>
            <w:tcBorders>
              <w:top w:val="nil"/>
              <w:left w:val="nil"/>
              <w:bottom w:val="nil"/>
              <w:right w:val="nil"/>
            </w:tcBorders>
            <w:shd w:val="clear" w:color="auto" w:fill="auto"/>
            <w:noWrap/>
            <w:vAlign w:val="bottom"/>
            <w:hideMark/>
          </w:tcPr>
          <w:p w14:paraId="339046E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0.53</w:t>
            </w:r>
          </w:p>
        </w:tc>
      </w:tr>
      <w:tr w:rsidR="00966E2C" w:rsidRPr="00397EC7" w14:paraId="319E076F"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268FE5F9" w14:textId="4162673B" w:rsidR="00966E2C" w:rsidRPr="00397EC7" w:rsidRDefault="00966E2C" w:rsidP="00643360">
            <w:pPr>
              <w:spacing w:after="0" w:line="240" w:lineRule="auto"/>
              <w:jc w:val="left"/>
              <w:rPr>
                <w:rFonts w:eastAsia="Times New Roman" w:cs="Arial"/>
                <w:i/>
                <w:iCs/>
                <w:color w:val="000000"/>
                <w:sz w:val="18"/>
                <w:szCs w:val="18"/>
                <w:lang w:val="en-GB" w:eastAsia="fr-FR"/>
              </w:rPr>
            </w:pPr>
            <w:r w:rsidRPr="00397EC7">
              <w:rPr>
                <w:rFonts w:eastAsia="Times New Roman" w:cs="Arial"/>
                <w:i/>
                <w:iCs/>
                <w:color w:val="000000"/>
                <w:sz w:val="18"/>
                <w:szCs w:val="18"/>
                <w:lang w:val="en-GB" w:eastAsia="fr-FR"/>
              </w:rPr>
              <w:t xml:space="preserve">      </w:t>
            </w:r>
            <w:proofErr w:type="spellStart"/>
            <w:r w:rsidRPr="00397EC7">
              <w:rPr>
                <w:rFonts w:eastAsia="Times New Roman" w:cs="Arial"/>
                <w:i/>
                <w:iCs/>
                <w:color w:val="000000"/>
                <w:sz w:val="18"/>
                <w:szCs w:val="18"/>
                <w:lang w:val="en-GB" w:eastAsia="fr-FR"/>
              </w:rPr>
              <w:t>metastatic</w:t>
            </w:r>
            <w:r w:rsidR="00457B87" w:rsidRPr="00397EC7">
              <w:rPr>
                <w:rFonts w:eastAsia="Times New Roman" w:cs="Arial"/>
                <w:i/>
                <w:iCs/>
                <w:color w:val="000000"/>
                <w:sz w:val="18"/>
                <w:szCs w:val="18"/>
                <w:vertAlign w:val="superscript"/>
                <w:lang w:val="en-GB" w:eastAsia="fr-FR"/>
              </w:rPr>
              <w:t>b</w:t>
            </w:r>
            <w:proofErr w:type="spellEnd"/>
          </w:p>
        </w:tc>
        <w:tc>
          <w:tcPr>
            <w:tcW w:w="1739" w:type="dxa"/>
            <w:tcBorders>
              <w:top w:val="nil"/>
              <w:left w:val="nil"/>
              <w:bottom w:val="nil"/>
              <w:right w:val="nil"/>
            </w:tcBorders>
            <w:shd w:val="clear" w:color="auto" w:fill="auto"/>
            <w:noWrap/>
            <w:vAlign w:val="bottom"/>
            <w:hideMark/>
          </w:tcPr>
          <w:p w14:paraId="79763BE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1.18 [0.71-1.95]</w:t>
            </w:r>
          </w:p>
        </w:tc>
        <w:tc>
          <w:tcPr>
            <w:tcW w:w="1200" w:type="dxa"/>
            <w:tcBorders>
              <w:top w:val="nil"/>
              <w:left w:val="nil"/>
              <w:bottom w:val="nil"/>
              <w:right w:val="nil"/>
            </w:tcBorders>
            <w:shd w:val="clear" w:color="auto" w:fill="auto"/>
            <w:noWrap/>
            <w:vAlign w:val="bottom"/>
            <w:hideMark/>
          </w:tcPr>
          <w:p w14:paraId="47E4DA7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0.52</w:t>
            </w:r>
          </w:p>
        </w:tc>
      </w:tr>
      <w:tr w:rsidR="00966E2C" w:rsidRPr="00397EC7" w14:paraId="44B60952"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168FFF00"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Previous treatment (within 6 months)</w:t>
            </w:r>
          </w:p>
        </w:tc>
        <w:tc>
          <w:tcPr>
            <w:tcW w:w="1739" w:type="dxa"/>
            <w:tcBorders>
              <w:top w:val="nil"/>
              <w:left w:val="nil"/>
              <w:bottom w:val="nil"/>
              <w:right w:val="nil"/>
            </w:tcBorders>
            <w:shd w:val="clear" w:color="auto" w:fill="auto"/>
            <w:noWrap/>
            <w:vAlign w:val="bottom"/>
            <w:hideMark/>
          </w:tcPr>
          <w:p w14:paraId="2D365607"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200" w:type="dxa"/>
            <w:tcBorders>
              <w:top w:val="nil"/>
              <w:left w:val="nil"/>
              <w:bottom w:val="nil"/>
              <w:right w:val="nil"/>
            </w:tcBorders>
            <w:shd w:val="clear" w:color="auto" w:fill="auto"/>
            <w:noWrap/>
            <w:vAlign w:val="bottom"/>
            <w:hideMark/>
          </w:tcPr>
          <w:p w14:paraId="188F18C5"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7F4A193B"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16905AC5"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anticoagulants</w:t>
            </w:r>
          </w:p>
        </w:tc>
        <w:tc>
          <w:tcPr>
            <w:tcW w:w="1739" w:type="dxa"/>
            <w:tcBorders>
              <w:top w:val="nil"/>
              <w:left w:val="nil"/>
              <w:bottom w:val="nil"/>
              <w:right w:val="nil"/>
            </w:tcBorders>
            <w:shd w:val="clear" w:color="auto" w:fill="auto"/>
            <w:noWrap/>
            <w:vAlign w:val="bottom"/>
            <w:hideMark/>
          </w:tcPr>
          <w:p w14:paraId="3AF6F21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0.78 [0.62-0.97]</w:t>
            </w:r>
          </w:p>
        </w:tc>
        <w:tc>
          <w:tcPr>
            <w:tcW w:w="1200" w:type="dxa"/>
            <w:tcBorders>
              <w:top w:val="nil"/>
              <w:left w:val="nil"/>
              <w:bottom w:val="nil"/>
              <w:right w:val="nil"/>
            </w:tcBorders>
            <w:shd w:val="clear" w:color="auto" w:fill="auto"/>
            <w:noWrap/>
            <w:vAlign w:val="bottom"/>
            <w:hideMark/>
          </w:tcPr>
          <w:p w14:paraId="2EB20A8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0.027</w:t>
            </w:r>
          </w:p>
        </w:tc>
      </w:tr>
      <w:tr w:rsidR="00966E2C" w:rsidRPr="00397EC7" w14:paraId="7BCB4EC4"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58B6DDE0"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Bowel preparation</w:t>
            </w:r>
          </w:p>
        </w:tc>
        <w:tc>
          <w:tcPr>
            <w:tcW w:w="1739" w:type="dxa"/>
            <w:tcBorders>
              <w:top w:val="nil"/>
              <w:left w:val="nil"/>
              <w:bottom w:val="nil"/>
              <w:right w:val="nil"/>
            </w:tcBorders>
            <w:shd w:val="clear" w:color="auto" w:fill="auto"/>
            <w:noWrap/>
            <w:vAlign w:val="bottom"/>
            <w:hideMark/>
          </w:tcPr>
          <w:p w14:paraId="7A6AB483" w14:textId="77777777" w:rsidR="00966E2C" w:rsidRPr="00397EC7" w:rsidRDefault="00966E2C" w:rsidP="00643360">
            <w:pPr>
              <w:spacing w:after="0" w:line="240" w:lineRule="auto"/>
              <w:jc w:val="center"/>
              <w:rPr>
                <w:rFonts w:eastAsia="Times New Roman" w:cs="Arial"/>
                <w:sz w:val="18"/>
                <w:szCs w:val="18"/>
                <w:lang w:val="en-GB" w:eastAsia="fr-FR"/>
              </w:rPr>
            </w:pPr>
          </w:p>
        </w:tc>
        <w:tc>
          <w:tcPr>
            <w:tcW w:w="1200" w:type="dxa"/>
            <w:tcBorders>
              <w:top w:val="nil"/>
              <w:left w:val="nil"/>
              <w:bottom w:val="nil"/>
              <w:right w:val="nil"/>
            </w:tcBorders>
            <w:shd w:val="clear" w:color="auto" w:fill="auto"/>
            <w:noWrap/>
            <w:vAlign w:val="bottom"/>
            <w:hideMark/>
          </w:tcPr>
          <w:p w14:paraId="6A9BF322" w14:textId="77777777" w:rsidR="00966E2C" w:rsidRPr="00397EC7" w:rsidRDefault="00966E2C" w:rsidP="00643360">
            <w:pPr>
              <w:spacing w:after="0" w:line="240" w:lineRule="auto"/>
              <w:jc w:val="center"/>
              <w:rPr>
                <w:rFonts w:eastAsia="Times New Roman" w:cs="Arial"/>
                <w:sz w:val="18"/>
                <w:szCs w:val="18"/>
                <w:lang w:val="en-GB" w:eastAsia="fr-FR"/>
              </w:rPr>
            </w:pPr>
          </w:p>
        </w:tc>
      </w:tr>
      <w:tr w:rsidR="00966E2C" w:rsidRPr="00397EC7" w14:paraId="1D5FD4C2"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4199B93A"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polyethylene glycol</w:t>
            </w:r>
          </w:p>
        </w:tc>
        <w:tc>
          <w:tcPr>
            <w:tcW w:w="1739" w:type="dxa"/>
            <w:tcBorders>
              <w:top w:val="nil"/>
              <w:left w:val="nil"/>
              <w:bottom w:val="nil"/>
              <w:right w:val="nil"/>
            </w:tcBorders>
            <w:shd w:val="clear" w:color="auto" w:fill="auto"/>
            <w:noWrap/>
            <w:vAlign w:val="bottom"/>
            <w:hideMark/>
          </w:tcPr>
          <w:p w14:paraId="4163C202" w14:textId="77777777" w:rsidR="00966E2C" w:rsidRPr="00397EC7" w:rsidRDefault="00966E2C" w:rsidP="00643360">
            <w:pPr>
              <w:spacing w:after="0" w:line="240" w:lineRule="auto"/>
              <w:jc w:val="center"/>
              <w:rPr>
                <w:rFonts w:eastAsia="Times New Roman" w:cs="Arial"/>
                <w:sz w:val="18"/>
                <w:szCs w:val="18"/>
                <w:lang w:val="en-GB" w:eastAsia="fr-FR"/>
              </w:rPr>
            </w:pPr>
            <w:r w:rsidRPr="00397EC7">
              <w:rPr>
                <w:rFonts w:eastAsia="Times New Roman" w:cs="Arial"/>
                <w:sz w:val="18"/>
                <w:szCs w:val="18"/>
                <w:lang w:val="en-GB" w:eastAsia="fr-FR"/>
              </w:rPr>
              <w:t>1.00</w:t>
            </w:r>
          </w:p>
        </w:tc>
        <w:tc>
          <w:tcPr>
            <w:tcW w:w="1200" w:type="dxa"/>
            <w:tcBorders>
              <w:top w:val="nil"/>
              <w:left w:val="nil"/>
              <w:bottom w:val="nil"/>
              <w:right w:val="nil"/>
            </w:tcBorders>
            <w:shd w:val="clear" w:color="auto" w:fill="auto"/>
            <w:noWrap/>
            <w:vAlign w:val="bottom"/>
            <w:hideMark/>
          </w:tcPr>
          <w:p w14:paraId="2B169BB2" w14:textId="77777777" w:rsidR="00966E2C" w:rsidRPr="00397EC7" w:rsidRDefault="00966E2C" w:rsidP="00643360">
            <w:pPr>
              <w:spacing w:after="0" w:line="240" w:lineRule="auto"/>
              <w:jc w:val="center"/>
              <w:rPr>
                <w:rFonts w:eastAsia="Times New Roman" w:cs="Arial"/>
                <w:sz w:val="18"/>
                <w:szCs w:val="18"/>
                <w:lang w:val="en-GB" w:eastAsia="fr-FR"/>
              </w:rPr>
            </w:pPr>
          </w:p>
        </w:tc>
      </w:tr>
      <w:tr w:rsidR="00966E2C" w:rsidRPr="00397EC7" w14:paraId="70D025D3"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0071C8D5"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phosphate preparation</w:t>
            </w:r>
          </w:p>
        </w:tc>
        <w:tc>
          <w:tcPr>
            <w:tcW w:w="1739" w:type="dxa"/>
            <w:tcBorders>
              <w:top w:val="nil"/>
              <w:left w:val="nil"/>
              <w:bottom w:val="nil"/>
              <w:right w:val="nil"/>
            </w:tcBorders>
            <w:shd w:val="clear" w:color="auto" w:fill="auto"/>
            <w:noWrap/>
            <w:vAlign w:val="bottom"/>
            <w:hideMark/>
          </w:tcPr>
          <w:p w14:paraId="28324941" w14:textId="77777777" w:rsidR="00966E2C" w:rsidRPr="00397EC7" w:rsidRDefault="00966E2C" w:rsidP="00643360">
            <w:pPr>
              <w:spacing w:after="0" w:line="240" w:lineRule="auto"/>
              <w:jc w:val="center"/>
              <w:rPr>
                <w:rFonts w:eastAsia="Times New Roman" w:cs="Arial"/>
                <w:sz w:val="18"/>
                <w:szCs w:val="18"/>
                <w:lang w:val="en-GB" w:eastAsia="fr-FR"/>
              </w:rPr>
            </w:pPr>
            <w:r w:rsidRPr="00397EC7">
              <w:rPr>
                <w:rFonts w:eastAsia="Times New Roman" w:cs="Arial"/>
                <w:sz w:val="18"/>
                <w:szCs w:val="18"/>
                <w:lang w:val="en-GB" w:eastAsia="fr-FR"/>
              </w:rPr>
              <w:t>0.45 [0.11-1.90]</w:t>
            </w:r>
          </w:p>
        </w:tc>
        <w:tc>
          <w:tcPr>
            <w:tcW w:w="1200" w:type="dxa"/>
            <w:tcBorders>
              <w:top w:val="nil"/>
              <w:left w:val="nil"/>
              <w:bottom w:val="nil"/>
              <w:right w:val="nil"/>
            </w:tcBorders>
            <w:shd w:val="clear" w:color="auto" w:fill="auto"/>
            <w:noWrap/>
            <w:vAlign w:val="bottom"/>
            <w:hideMark/>
          </w:tcPr>
          <w:p w14:paraId="2C310D18" w14:textId="77777777" w:rsidR="00966E2C" w:rsidRPr="00397EC7" w:rsidRDefault="00966E2C" w:rsidP="00643360">
            <w:pPr>
              <w:spacing w:after="0" w:line="240" w:lineRule="auto"/>
              <w:jc w:val="center"/>
              <w:rPr>
                <w:rFonts w:eastAsia="Times New Roman" w:cs="Arial"/>
                <w:sz w:val="18"/>
                <w:szCs w:val="18"/>
                <w:lang w:val="en-GB" w:eastAsia="fr-FR"/>
              </w:rPr>
            </w:pPr>
            <w:r w:rsidRPr="00397EC7">
              <w:rPr>
                <w:rFonts w:eastAsia="Times New Roman" w:cs="Arial"/>
                <w:sz w:val="18"/>
                <w:szCs w:val="18"/>
                <w:lang w:val="en-GB" w:eastAsia="fr-FR"/>
              </w:rPr>
              <w:t>0.28</w:t>
            </w:r>
          </w:p>
        </w:tc>
      </w:tr>
      <w:tr w:rsidR="00966E2C" w:rsidRPr="00397EC7" w14:paraId="5944209B"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7C47F883"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magnesium preparation</w:t>
            </w:r>
          </w:p>
        </w:tc>
        <w:tc>
          <w:tcPr>
            <w:tcW w:w="1739" w:type="dxa"/>
            <w:tcBorders>
              <w:top w:val="nil"/>
              <w:left w:val="nil"/>
              <w:bottom w:val="nil"/>
              <w:right w:val="nil"/>
            </w:tcBorders>
            <w:shd w:val="clear" w:color="auto" w:fill="auto"/>
            <w:noWrap/>
            <w:vAlign w:val="bottom"/>
            <w:hideMark/>
          </w:tcPr>
          <w:p w14:paraId="7015AE8D" w14:textId="77777777" w:rsidR="00966E2C" w:rsidRPr="00397EC7" w:rsidRDefault="00966E2C" w:rsidP="00643360">
            <w:pPr>
              <w:spacing w:after="0" w:line="240" w:lineRule="auto"/>
              <w:jc w:val="center"/>
              <w:rPr>
                <w:rFonts w:eastAsia="Times New Roman" w:cs="Arial"/>
                <w:sz w:val="18"/>
                <w:szCs w:val="18"/>
                <w:lang w:val="en-GB" w:eastAsia="fr-FR"/>
              </w:rPr>
            </w:pPr>
            <w:r w:rsidRPr="00397EC7">
              <w:rPr>
                <w:rFonts w:eastAsia="Times New Roman" w:cs="Arial"/>
                <w:sz w:val="18"/>
                <w:szCs w:val="18"/>
                <w:lang w:val="en-GB" w:eastAsia="fr-FR"/>
              </w:rPr>
              <w:t>1.01 [0.46-2.21]</w:t>
            </w:r>
          </w:p>
        </w:tc>
        <w:tc>
          <w:tcPr>
            <w:tcW w:w="1200" w:type="dxa"/>
            <w:tcBorders>
              <w:top w:val="nil"/>
              <w:left w:val="nil"/>
              <w:bottom w:val="nil"/>
              <w:right w:val="nil"/>
            </w:tcBorders>
            <w:shd w:val="clear" w:color="auto" w:fill="auto"/>
            <w:noWrap/>
            <w:vAlign w:val="bottom"/>
            <w:hideMark/>
          </w:tcPr>
          <w:p w14:paraId="0AD645E5" w14:textId="77777777" w:rsidR="00966E2C" w:rsidRPr="00397EC7" w:rsidRDefault="00966E2C" w:rsidP="00643360">
            <w:pPr>
              <w:spacing w:after="0" w:line="240" w:lineRule="auto"/>
              <w:jc w:val="center"/>
              <w:rPr>
                <w:rFonts w:eastAsia="Times New Roman" w:cs="Arial"/>
                <w:sz w:val="18"/>
                <w:szCs w:val="18"/>
                <w:lang w:val="en-GB" w:eastAsia="fr-FR"/>
              </w:rPr>
            </w:pPr>
            <w:r w:rsidRPr="00397EC7">
              <w:rPr>
                <w:rFonts w:eastAsia="Times New Roman" w:cs="Arial"/>
                <w:sz w:val="18"/>
                <w:szCs w:val="18"/>
                <w:lang w:val="en-GB" w:eastAsia="fr-FR"/>
              </w:rPr>
              <w:t>0.98</w:t>
            </w:r>
          </w:p>
        </w:tc>
      </w:tr>
      <w:tr w:rsidR="00966E2C" w:rsidRPr="00397EC7" w14:paraId="403CA02D"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25A3BFEA" w14:textId="5C79A451"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w:t>
            </w:r>
            <w:r w:rsidR="00B04DA7" w:rsidRPr="00397EC7">
              <w:rPr>
                <w:rFonts w:eastAsia="Times New Roman" w:cs="Arial"/>
                <w:color w:val="000000"/>
                <w:sz w:val="18"/>
                <w:szCs w:val="18"/>
                <w:lang w:val="en-GB" w:eastAsia="fr-FR"/>
              </w:rPr>
              <w:t>not retrieved</w:t>
            </w:r>
          </w:p>
        </w:tc>
        <w:tc>
          <w:tcPr>
            <w:tcW w:w="1739" w:type="dxa"/>
            <w:tcBorders>
              <w:top w:val="nil"/>
              <w:left w:val="nil"/>
              <w:bottom w:val="nil"/>
              <w:right w:val="nil"/>
            </w:tcBorders>
            <w:shd w:val="clear" w:color="auto" w:fill="auto"/>
            <w:noWrap/>
            <w:vAlign w:val="bottom"/>
            <w:hideMark/>
          </w:tcPr>
          <w:p w14:paraId="1606332D" w14:textId="77777777" w:rsidR="00966E2C" w:rsidRPr="00397EC7" w:rsidRDefault="00966E2C" w:rsidP="00643360">
            <w:pPr>
              <w:spacing w:after="0" w:line="240" w:lineRule="auto"/>
              <w:jc w:val="center"/>
              <w:rPr>
                <w:rFonts w:eastAsia="Times New Roman" w:cs="Arial"/>
                <w:sz w:val="18"/>
                <w:szCs w:val="18"/>
                <w:lang w:val="en-GB" w:eastAsia="fr-FR"/>
              </w:rPr>
            </w:pPr>
            <w:r w:rsidRPr="00397EC7">
              <w:rPr>
                <w:rFonts w:eastAsia="Times New Roman" w:cs="Arial"/>
                <w:sz w:val="18"/>
                <w:szCs w:val="18"/>
                <w:lang w:val="en-GB" w:eastAsia="fr-FR"/>
              </w:rPr>
              <w:t>12.1 [8.40-17.5]</w:t>
            </w:r>
          </w:p>
        </w:tc>
        <w:tc>
          <w:tcPr>
            <w:tcW w:w="1200" w:type="dxa"/>
            <w:tcBorders>
              <w:top w:val="nil"/>
              <w:left w:val="nil"/>
              <w:bottom w:val="nil"/>
              <w:right w:val="nil"/>
            </w:tcBorders>
            <w:shd w:val="clear" w:color="auto" w:fill="auto"/>
            <w:noWrap/>
            <w:vAlign w:val="bottom"/>
            <w:hideMark/>
          </w:tcPr>
          <w:p w14:paraId="06E5FD8C" w14:textId="77777777" w:rsidR="00966E2C" w:rsidRPr="00397EC7" w:rsidRDefault="00966E2C" w:rsidP="00643360">
            <w:pPr>
              <w:spacing w:after="0" w:line="240" w:lineRule="auto"/>
              <w:jc w:val="center"/>
              <w:rPr>
                <w:rFonts w:eastAsia="Times New Roman" w:cs="Arial"/>
                <w:sz w:val="18"/>
                <w:szCs w:val="18"/>
                <w:lang w:val="en-GB" w:eastAsia="fr-FR"/>
              </w:rPr>
            </w:pPr>
            <w:r w:rsidRPr="00397EC7">
              <w:rPr>
                <w:rFonts w:eastAsia="Times New Roman" w:cs="Arial"/>
                <w:sz w:val="18"/>
                <w:szCs w:val="18"/>
                <w:lang w:val="en-GB" w:eastAsia="fr-FR"/>
              </w:rPr>
              <w:t>&lt;.0001</w:t>
            </w:r>
          </w:p>
        </w:tc>
      </w:tr>
      <w:tr w:rsidR="00966E2C" w:rsidRPr="00397EC7" w14:paraId="26959B66"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70D9C0A7"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Polypectomy</w:t>
            </w:r>
          </w:p>
        </w:tc>
        <w:tc>
          <w:tcPr>
            <w:tcW w:w="1739" w:type="dxa"/>
            <w:tcBorders>
              <w:top w:val="nil"/>
              <w:left w:val="nil"/>
              <w:bottom w:val="nil"/>
              <w:right w:val="nil"/>
            </w:tcBorders>
            <w:shd w:val="clear" w:color="auto" w:fill="auto"/>
            <w:noWrap/>
            <w:vAlign w:val="bottom"/>
            <w:hideMark/>
          </w:tcPr>
          <w:p w14:paraId="6CC0AC7E"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200" w:type="dxa"/>
            <w:tcBorders>
              <w:top w:val="nil"/>
              <w:left w:val="nil"/>
              <w:bottom w:val="nil"/>
              <w:right w:val="nil"/>
            </w:tcBorders>
            <w:shd w:val="clear" w:color="auto" w:fill="auto"/>
            <w:noWrap/>
            <w:vAlign w:val="bottom"/>
            <w:hideMark/>
          </w:tcPr>
          <w:p w14:paraId="36A65848"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049587EF"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54775858"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no polypectomy</w:t>
            </w:r>
          </w:p>
        </w:tc>
        <w:tc>
          <w:tcPr>
            <w:tcW w:w="1739" w:type="dxa"/>
            <w:tcBorders>
              <w:top w:val="nil"/>
              <w:left w:val="nil"/>
              <w:bottom w:val="nil"/>
              <w:right w:val="nil"/>
            </w:tcBorders>
            <w:shd w:val="clear" w:color="auto" w:fill="auto"/>
            <w:noWrap/>
            <w:vAlign w:val="bottom"/>
            <w:hideMark/>
          </w:tcPr>
          <w:p w14:paraId="0184FBF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1200" w:type="dxa"/>
            <w:tcBorders>
              <w:top w:val="nil"/>
              <w:left w:val="nil"/>
              <w:bottom w:val="nil"/>
              <w:right w:val="nil"/>
            </w:tcBorders>
            <w:shd w:val="clear" w:color="auto" w:fill="auto"/>
            <w:noWrap/>
            <w:vAlign w:val="bottom"/>
            <w:hideMark/>
          </w:tcPr>
          <w:p w14:paraId="65C2FDF5"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4022882D"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778C984A"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polyp &lt;1 cm</w:t>
            </w:r>
          </w:p>
        </w:tc>
        <w:tc>
          <w:tcPr>
            <w:tcW w:w="1739" w:type="dxa"/>
            <w:tcBorders>
              <w:top w:val="nil"/>
              <w:left w:val="nil"/>
              <w:bottom w:val="nil"/>
              <w:right w:val="nil"/>
            </w:tcBorders>
            <w:shd w:val="clear" w:color="auto" w:fill="auto"/>
            <w:noWrap/>
            <w:vAlign w:val="bottom"/>
            <w:hideMark/>
          </w:tcPr>
          <w:p w14:paraId="67BB3F2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0.26 [0.18-0.39]</w:t>
            </w:r>
          </w:p>
        </w:tc>
        <w:tc>
          <w:tcPr>
            <w:tcW w:w="1200" w:type="dxa"/>
            <w:tcBorders>
              <w:top w:val="nil"/>
              <w:left w:val="nil"/>
              <w:bottom w:val="nil"/>
              <w:right w:val="nil"/>
            </w:tcBorders>
            <w:shd w:val="clear" w:color="auto" w:fill="auto"/>
            <w:noWrap/>
            <w:vAlign w:val="bottom"/>
            <w:hideMark/>
          </w:tcPr>
          <w:p w14:paraId="15718C5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4456464F"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07CF0FA0"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polyp &gt;1 cm</w:t>
            </w:r>
          </w:p>
        </w:tc>
        <w:tc>
          <w:tcPr>
            <w:tcW w:w="1739" w:type="dxa"/>
            <w:tcBorders>
              <w:top w:val="nil"/>
              <w:left w:val="nil"/>
              <w:bottom w:val="nil"/>
              <w:right w:val="nil"/>
            </w:tcBorders>
            <w:shd w:val="clear" w:color="auto" w:fill="auto"/>
            <w:noWrap/>
            <w:vAlign w:val="bottom"/>
            <w:hideMark/>
          </w:tcPr>
          <w:p w14:paraId="2D972878"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0.20 [0.09-0.43]</w:t>
            </w:r>
          </w:p>
        </w:tc>
        <w:tc>
          <w:tcPr>
            <w:tcW w:w="1200" w:type="dxa"/>
            <w:tcBorders>
              <w:top w:val="nil"/>
              <w:left w:val="nil"/>
              <w:bottom w:val="nil"/>
              <w:right w:val="nil"/>
            </w:tcBorders>
            <w:shd w:val="clear" w:color="auto" w:fill="auto"/>
            <w:noWrap/>
            <w:vAlign w:val="bottom"/>
            <w:hideMark/>
          </w:tcPr>
          <w:p w14:paraId="1AF8580A"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0D972782" w14:textId="77777777" w:rsidTr="00643360">
        <w:trPr>
          <w:trHeight w:val="170"/>
          <w:jc w:val="center"/>
        </w:trPr>
        <w:tc>
          <w:tcPr>
            <w:tcW w:w="4641" w:type="dxa"/>
            <w:tcBorders>
              <w:top w:val="single" w:sz="4" w:space="0" w:color="auto"/>
              <w:left w:val="nil"/>
              <w:bottom w:val="nil"/>
              <w:right w:val="nil"/>
            </w:tcBorders>
            <w:shd w:val="clear" w:color="000000" w:fill="F2F2F2"/>
            <w:noWrap/>
            <w:vAlign w:val="bottom"/>
            <w:hideMark/>
          </w:tcPr>
          <w:p w14:paraId="3CD413E6" w14:textId="77777777" w:rsidR="00966E2C" w:rsidRPr="00397EC7" w:rsidRDefault="00966E2C" w:rsidP="00643360">
            <w:pPr>
              <w:spacing w:after="0" w:line="240" w:lineRule="auto"/>
              <w:jc w:val="left"/>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Hospital/clinic characteristics</w:t>
            </w:r>
          </w:p>
        </w:tc>
        <w:tc>
          <w:tcPr>
            <w:tcW w:w="1739" w:type="dxa"/>
            <w:tcBorders>
              <w:top w:val="single" w:sz="4" w:space="0" w:color="auto"/>
              <w:left w:val="nil"/>
              <w:bottom w:val="nil"/>
              <w:right w:val="nil"/>
            </w:tcBorders>
            <w:shd w:val="clear" w:color="000000" w:fill="F2F2F2"/>
            <w:noWrap/>
            <w:vAlign w:val="bottom"/>
            <w:hideMark/>
          </w:tcPr>
          <w:p w14:paraId="2F0C382C"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c>
          <w:tcPr>
            <w:tcW w:w="1200" w:type="dxa"/>
            <w:tcBorders>
              <w:top w:val="single" w:sz="4" w:space="0" w:color="auto"/>
              <w:left w:val="nil"/>
              <w:bottom w:val="nil"/>
              <w:right w:val="nil"/>
            </w:tcBorders>
            <w:shd w:val="clear" w:color="000000" w:fill="F2F2F2"/>
            <w:noWrap/>
            <w:vAlign w:val="bottom"/>
            <w:hideMark/>
          </w:tcPr>
          <w:p w14:paraId="02D3ACC1" w14:textId="77777777" w:rsidR="00966E2C" w:rsidRPr="00397EC7" w:rsidRDefault="00966E2C" w:rsidP="00643360">
            <w:pPr>
              <w:spacing w:after="0" w:line="240" w:lineRule="auto"/>
              <w:jc w:val="center"/>
              <w:rPr>
                <w:rFonts w:eastAsia="Times New Roman" w:cs="Arial"/>
                <w:b/>
                <w:bCs/>
                <w:color w:val="000000"/>
                <w:sz w:val="18"/>
                <w:szCs w:val="18"/>
                <w:lang w:val="en-GB" w:eastAsia="fr-FR"/>
              </w:rPr>
            </w:pPr>
            <w:r w:rsidRPr="00397EC7">
              <w:rPr>
                <w:rFonts w:eastAsia="Times New Roman" w:cs="Arial"/>
                <w:b/>
                <w:bCs/>
                <w:color w:val="000000"/>
                <w:sz w:val="18"/>
                <w:szCs w:val="18"/>
                <w:lang w:val="en-GB" w:eastAsia="fr-FR"/>
              </w:rPr>
              <w:t> </w:t>
            </w:r>
          </w:p>
        </w:tc>
      </w:tr>
      <w:tr w:rsidR="00966E2C" w:rsidRPr="00397EC7" w14:paraId="478535F3"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7AD34CF7" w14:textId="77777777" w:rsidR="00966E2C" w:rsidRPr="00397EC7" w:rsidRDefault="00966E2C" w:rsidP="00643360">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Type of health facility</w:t>
            </w:r>
          </w:p>
        </w:tc>
        <w:tc>
          <w:tcPr>
            <w:tcW w:w="1739" w:type="dxa"/>
            <w:tcBorders>
              <w:top w:val="nil"/>
              <w:left w:val="nil"/>
              <w:bottom w:val="nil"/>
              <w:right w:val="nil"/>
            </w:tcBorders>
            <w:shd w:val="clear" w:color="auto" w:fill="auto"/>
            <w:noWrap/>
            <w:vAlign w:val="bottom"/>
            <w:hideMark/>
          </w:tcPr>
          <w:p w14:paraId="173C8D0E"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200" w:type="dxa"/>
            <w:tcBorders>
              <w:top w:val="nil"/>
              <w:left w:val="nil"/>
              <w:bottom w:val="nil"/>
              <w:right w:val="nil"/>
            </w:tcBorders>
            <w:shd w:val="clear" w:color="auto" w:fill="auto"/>
            <w:noWrap/>
            <w:vAlign w:val="bottom"/>
            <w:hideMark/>
          </w:tcPr>
          <w:p w14:paraId="08FC062A"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5DD4F291"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5C738A0F"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for-profit private clinic</w:t>
            </w:r>
          </w:p>
        </w:tc>
        <w:tc>
          <w:tcPr>
            <w:tcW w:w="1739" w:type="dxa"/>
            <w:tcBorders>
              <w:top w:val="nil"/>
              <w:left w:val="nil"/>
              <w:bottom w:val="nil"/>
              <w:right w:val="nil"/>
            </w:tcBorders>
            <w:shd w:val="clear" w:color="auto" w:fill="auto"/>
            <w:noWrap/>
            <w:vAlign w:val="bottom"/>
            <w:hideMark/>
          </w:tcPr>
          <w:p w14:paraId="5784590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1200" w:type="dxa"/>
            <w:tcBorders>
              <w:top w:val="nil"/>
              <w:left w:val="nil"/>
              <w:bottom w:val="nil"/>
              <w:right w:val="nil"/>
            </w:tcBorders>
            <w:shd w:val="clear" w:color="auto" w:fill="auto"/>
            <w:noWrap/>
            <w:vAlign w:val="bottom"/>
            <w:hideMark/>
          </w:tcPr>
          <w:p w14:paraId="0B588437"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4C88EFCB"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4D6A948B"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not-for-profit private clinic</w:t>
            </w:r>
          </w:p>
        </w:tc>
        <w:tc>
          <w:tcPr>
            <w:tcW w:w="1739" w:type="dxa"/>
            <w:tcBorders>
              <w:top w:val="nil"/>
              <w:left w:val="nil"/>
              <w:bottom w:val="nil"/>
              <w:right w:val="nil"/>
            </w:tcBorders>
            <w:shd w:val="clear" w:color="auto" w:fill="auto"/>
            <w:noWrap/>
            <w:vAlign w:val="bottom"/>
            <w:hideMark/>
          </w:tcPr>
          <w:p w14:paraId="0CD1799B"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2.86 [1.37-5.96]</w:t>
            </w:r>
          </w:p>
        </w:tc>
        <w:tc>
          <w:tcPr>
            <w:tcW w:w="1200" w:type="dxa"/>
            <w:tcBorders>
              <w:top w:val="nil"/>
              <w:left w:val="nil"/>
              <w:bottom w:val="nil"/>
              <w:right w:val="nil"/>
            </w:tcBorders>
            <w:shd w:val="clear" w:color="auto" w:fill="auto"/>
            <w:noWrap/>
            <w:vAlign w:val="bottom"/>
            <w:hideMark/>
          </w:tcPr>
          <w:p w14:paraId="5B32F25E"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0.005</w:t>
            </w:r>
          </w:p>
        </w:tc>
      </w:tr>
      <w:tr w:rsidR="00966E2C" w:rsidRPr="00397EC7" w14:paraId="2AB7E1A1"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3C640AF3"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local public hospital</w:t>
            </w:r>
          </w:p>
        </w:tc>
        <w:tc>
          <w:tcPr>
            <w:tcW w:w="1739" w:type="dxa"/>
            <w:tcBorders>
              <w:top w:val="nil"/>
              <w:left w:val="nil"/>
              <w:bottom w:val="nil"/>
              <w:right w:val="nil"/>
            </w:tcBorders>
            <w:shd w:val="clear" w:color="auto" w:fill="auto"/>
            <w:noWrap/>
            <w:vAlign w:val="bottom"/>
            <w:hideMark/>
          </w:tcPr>
          <w:p w14:paraId="6504DBB3"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2.43 [1.39-4.25]</w:t>
            </w:r>
          </w:p>
        </w:tc>
        <w:tc>
          <w:tcPr>
            <w:tcW w:w="1200" w:type="dxa"/>
            <w:tcBorders>
              <w:top w:val="nil"/>
              <w:left w:val="nil"/>
              <w:bottom w:val="nil"/>
              <w:right w:val="nil"/>
            </w:tcBorders>
            <w:shd w:val="clear" w:color="auto" w:fill="auto"/>
            <w:noWrap/>
            <w:vAlign w:val="bottom"/>
            <w:hideMark/>
          </w:tcPr>
          <w:p w14:paraId="066D508D"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0.0019</w:t>
            </w:r>
          </w:p>
        </w:tc>
      </w:tr>
      <w:tr w:rsidR="00966E2C" w:rsidRPr="00397EC7" w14:paraId="25978BB5"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6B579E00"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university public hospital</w:t>
            </w:r>
          </w:p>
        </w:tc>
        <w:tc>
          <w:tcPr>
            <w:tcW w:w="1739" w:type="dxa"/>
            <w:tcBorders>
              <w:top w:val="nil"/>
              <w:left w:val="nil"/>
              <w:bottom w:val="nil"/>
              <w:right w:val="nil"/>
            </w:tcBorders>
            <w:shd w:val="clear" w:color="auto" w:fill="auto"/>
            <w:noWrap/>
            <w:vAlign w:val="bottom"/>
            <w:hideMark/>
          </w:tcPr>
          <w:p w14:paraId="1B554EE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6.03 [2.71-13.4]</w:t>
            </w:r>
          </w:p>
        </w:tc>
        <w:tc>
          <w:tcPr>
            <w:tcW w:w="1200" w:type="dxa"/>
            <w:tcBorders>
              <w:top w:val="nil"/>
              <w:left w:val="nil"/>
              <w:bottom w:val="nil"/>
              <w:right w:val="nil"/>
            </w:tcBorders>
            <w:shd w:val="clear" w:color="auto" w:fill="auto"/>
            <w:noWrap/>
            <w:vAlign w:val="bottom"/>
            <w:hideMark/>
          </w:tcPr>
          <w:p w14:paraId="32C0B2C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&lt;.0001</w:t>
            </w:r>
          </w:p>
        </w:tc>
      </w:tr>
      <w:tr w:rsidR="00966E2C" w:rsidRPr="00397EC7" w14:paraId="3D02D34A" w14:textId="77777777" w:rsidTr="00643360">
        <w:trPr>
          <w:trHeight w:val="170"/>
          <w:jc w:val="center"/>
        </w:trPr>
        <w:tc>
          <w:tcPr>
            <w:tcW w:w="4641" w:type="dxa"/>
            <w:tcBorders>
              <w:top w:val="nil"/>
              <w:left w:val="nil"/>
              <w:bottom w:val="nil"/>
              <w:right w:val="nil"/>
            </w:tcBorders>
            <w:shd w:val="clear" w:color="auto" w:fill="auto"/>
            <w:noWrap/>
            <w:vAlign w:val="bottom"/>
          </w:tcPr>
          <w:p w14:paraId="41D76B8E" w14:textId="3EC486BB" w:rsidR="00966E2C" w:rsidRPr="00397EC7" w:rsidRDefault="00966E2C" w:rsidP="007D0F48">
            <w:pPr>
              <w:spacing w:after="0" w:line="240" w:lineRule="auto"/>
              <w:jc w:val="left"/>
              <w:rPr>
                <w:rFonts w:eastAsia="Times New Roman" w:cs="Arial"/>
                <w:b/>
                <w:bCs/>
                <w:i/>
                <w:iCs/>
                <w:color w:val="000000"/>
                <w:sz w:val="18"/>
                <w:szCs w:val="18"/>
                <w:lang w:val="en-GB" w:eastAsia="fr-FR"/>
              </w:rPr>
            </w:pPr>
            <w:r w:rsidRPr="00397EC7">
              <w:rPr>
                <w:rFonts w:eastAsia="Times New Roman" w:cs="Arial"/>
                <w:b/>
                <w:bCs/>
                <w:i/>
                <w:iCs/>
                <w:color w:val="000000"/>
                <w:sz w:val="18"/>
                <w:szCs w:val="18"/>
                <w:lang w:val="en-GB" w:eastAsia="fr-FR"/>
              </w:rPr>
              <w:t xml:space="preserve">Number of procedures performed in the facility </w:t>
            </w:r>
            <w:r w:rsidR="007D0F48" w:rsidRPr="00397EC7">
              <w:rPr>
                <w:rFonts w:eastAsia="Times New Roman" w:cs="Arial"/>
                <w:b/>
                <w:bCs/>
                <w:i/>
                <w:iCs/>
                <w:color w:val="000000"/>
                <w:sz w:val="18"/>
                <w:szCs w:val="18"/>
                <w:lang w:val="en-GB" w:eastAsia="fr-FR"/>
              </w:rPr>
              <w:t>each</w:t>
            </w:r>
            <w:r w:rsidRPr="00397EC7">
              <w:rPr>
                <w:rFonts w:eastAsia="Times New Roman" w:cs="Arial"/>
                <w:b/>
                <w:bCs/>
                <w:i/>
                <w:iCs/>
                <w:color w:val="000000"/>
                <w:sz w:val="18"/>
                <w:szCs w:val="18"/>
                <w:lang w:val="en-GB" w:eastAsia="fr-FR"/>
              </w:rPr>
              <w:t xml:space="preserve"> year</w:t>
            </w:r>
          </w:p>
        </w:tc>
        <w:tc>
          <w:tcPr>
            <w:tcW w:w="1739" w:type="dxa"/>
            <w:tcBorders>
              <w:top w:val="nil"/>
              <w:left w:val="nil"/>
              <w:bottom w:val="nil"/>
              <w:right w:val="nil"/>
            </w:tcBorders>
            <w:shd w:val="clear" w:color="auto" w:fill="auto"/>
            <w:noWrap/>
            <w:vAlign w:val="bottom"/>
          </w:tcPr>
          <w:p w14:paraId="00460766"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c>
          <w:tcPr>
            <w:tcW w:w="1200" w:type="dxa"/>
            <w:tcBorders>
              <w:top w:val="nil"/>
              <w:left w:val="nil"/>
              <w:bottom w:val="nil"/>
              <w:right w:val="nil"/>
            </w:tcBorders>
            <w:shd w:val="clear" w:color="auto" w:fill="auto"/>
            <w:noWrap/>
            <w:vAlign w:val="bottom"/>
          </w:tcPr>
          <w:p w14:paraId="19967B3F" w14:textId="77777777" w:rsidR="00966E2C" w:rsidRPr="00397EC7" w:rsidRDefault="00966E2C" w:rsidP="00643360">
            <w:pPr>
              <w:spacing w:after="0" w:line="240" w:lineRule="auto"/>
              <w:jc w:val="center"/>
              <w:rPr>
                <w:rFonts w:eastAsia="Times New Roman" w:cs="Arial"/>
                <w:color w:val="000000"/>
                <w:sz w:val="18"/>
                <w:szCs w:val="18"/>
                <w:lang w:val="en-GB" w:eastAsia="fr-FR"/>
              </w:rPr>
            </w:pPr>
          </w:p>
        </w:tc>
      </w:tr>
      <w:tr w:rsidR="00966E2C" w:rsidRPr="00397EC7" w14:paraId="52271E9B"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307096F5"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&lt;400</w:t>
            </w:r>
          </w:p>
        </w:tc>
        <w:tc>
          <w:tcPr>
            <w:tcW w:w="1739" w:type="dxa"/>
            <w:tcBorders>
              <w:top w:val="nil"/>
              <w:left w:val="nil"/>
              <w:bottom w:val="nil"/>
              <w:right w:val="nil"/>
            </w:tcBorders>
            <w:shd w:val="clear" w:color="auto" w:fill="auto"/>
            <w:noWrap/>
            <w:vAlign w:val="bottom"/>
            <w:hideMark/>
          </w:tcPr>
          <w:p w14:paraId="6A5BEF39"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2.41 [0.44-13.1]</w:t>
            </w:r>
          </w:p>
        </w:tc>
        <w:tc>
          <w:tcPr>
            <w:tcW w:w="1200" w:type="dxa"/>
            <w:tcBorders>
              <w:top w:val="nil"/>
              <w:left w:val="nil"/>
              <w:bottom w:val="nil"/>
              <w:right w:val="nil"/>
            </w:tcBorders>
            <w:shd w:val="clear" w:color="auto" w:fill="auto"/>
            <w:noWrap/>
            <w:vAlign w:val="bottom"/>
            <w:hideMark/>
          </w:tcPr>
          <w:p w14:paraId="63F53CB7"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0.31</w:t>
            </w:r>
          </w:p>
        </w:tc>
      </w:tr>
      <w:tr w:rsidR="00966E2C" w:rsidRPr="00397EC7" w14:paraId="4CE33A28"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41CE1040"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400-2000</w:t>
            </w:r>
          </w:p>
        </w:tc>
        <w:tc>
          <w:tcPr>
            <w:tcW w:w="1739" w:type="dxa"/>
            <w:tcBorders>
              <w:top w:val="nil"/>
              <w:left w:val="nil"/>
              <w:bottom w:val="nil"/>
              <w:right w:val="nil"/>
            </w:tcBorders>
            <w:shd w:val="clear" w:color="auto" w:fill="auto"/>
            <w:noWrap/>
            <w:vAlign w:val="bottom"/>
            <w:hideMark/>
          </w:tcPr>
          <w:p w14:paraId="19524F54"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2.09 [0.42-10.5]</w:t>
            </w:r>
          </w:p>
        </w:tc>
        <w:tc>
          <w:tcPr>
            <w:tcW w:w="1200" w:type="dxa"/>
            <w:tcBorders>
              <w:top w:val="nil"/>
              <w:left w:val="nil"/>
              <w:bottom w:val="nil"/>
              <w:right w:val="nil"/>
            </w:tcBorders>
            <w:shd w:val="clear" w:color="auto" w:fill="auto"/>
            <w:noWrap/>
            <w:vAlign w:val="bottom"/>
            <w:hideMark/>
          </w:tcPr>
          <w:p w14:paraId="05BA087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0.37</w:t>
            </w:r>
          </w:p>
        </w:tc>
      </w:tr>
      <w:tr w:rsidR="00966E2C" w:rsidRPr="00397EC7" w14:paraId="7817B0D6" w14:textId="77777777" w:rsidTr="00643360">
        <w:trPr>
          <w:trHeight w:val="170"/>
          <w:jc w:val="center"/>
        </w:trPr>
        <w:tc>
          <w:tcPr>
            <w:tcW w:w="4641" w:type="dxa"/>
            <w:tcBorders>
              <w:top w:val="nil"/>
              <w:left w:val="nil"/>
              <w:bottom w:val="nil"/>
              <w:right w:val="nil"/>
            </w:tcBorders>
            <w:shd w:val="clear" w:color="auto" w:fill="auto"/>
            <w:noWrap/>
            <w:vAlign w:val="bottom"/>
            <w:hideMark/>
          </w:tcPr>
          <w:p w14:paraId="443AFF93"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2000-4999</w:t>
            </w:r>
          </w:p>
        </w:tc>
        <w:tc>
          <w:tcPr>
            <w:tcW w:w="1739" w:type="dxa"/>
            <w:tcBorders>
              <w:top w:val="nil"/>
              <w:left w:val="nil"/>
              <w:bottom w:val="nil"/>
              <w:right w:val="nil"/>
            </w:tcBorders>
            <w:shd w:val="clear" w:color="auto" w:fill="auto"/>
            <w:noWrap/>
            <w:vAlign w:val="bottom"/>
            <w:hideMark/>
          </w:tcPr>
          <w:p w14:paraId="266B8B9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1.90 [0.37-9.68]</w:t>
            </w:r>
          </w:p>
        </w:tc>
        <w:tc>
          <w:tcPr>
            <w:tcW w:w="1200" w:type="dxa"/>
            <w:tcBorders>
              <w:top w:val="nil"/>
              <w:left w:val="nil"/>
              <w:bottom w:val="nil"/>
              <w:right w:val="nil"/>
            </w:tcBorders>
            <w:shd w:val="clear" w:color="auto" w:fill="auto"/>
            <w:noWrap/>
            <w:vAlign w:val="bottom"/>
            <w:hideMark/>
          </w:tcPr>
          <w:p w14:paraId="06D6C386"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0.44</w:t>
            </w:r>
          </w:p>
        </w:tc>
      </w:tr>
      <w:tr w:rsidR="00966E2C" w:rsidRPr="00397EC7" w14:paraId="5E79B538" w14:textId="77777777" w:rsidTr="00643360">
        <w:trPr>
          <w:trHeight w:val="170"/>
          <w:jc w:val="center"/>
        </w:trPr>
        <w:tc>
          <w:tcPr>
            <w:tcW w:w="4641" w:type="dxa"/>
            <w:tcBorders>
              <w:top w:val="nil"/>
              <w:left w:val="nil"/>
              <w:bottom w:val="single" w:sz="4" w:space="0" w:color="auto"/>
              <w:right w:val="nil"/>
            </w:tcBorders>
            <w:shd w:val="clear" w:color="auto" w:fill="auto"/>
            <w:noWrap/>
            <w:vAlign w:val="bottom"/>
            <w:hideMark/>
          </w:tcPr>
          <w:p w14:paraId="3FE7F4AF" w14:textId="77777777" w:rsidR="00966E2C" w:rsidRPr="00397EC7" w:rsidRDefault="00966E2C" w:rsidP="00643360">
            <w:pPr>
              <w:spacing w:after="0" w:line="240" w:lineRule="auto"/>
              <w:jc w:val="left"/>
              <w:rPr>
                <w:rFonts w:eastAsia="Times New Roman" w:cs="Arial"/>
                <w:color w:val="000000"/>
                <w:sz w:val="18"/>
                <w:szCs w:val="18"/>
                <w:lang w:val="en-GB" w:eastAsia="fr-FR"/>
              </w:rPr>
            </w:pPr>
            <w:r w:rsidRPr="00397EC7">
              <w:rPr>
                <w:rFonts w:eastAsia="Times New Roman" w:cs="Arial"/>
                <w:color w:val="000000"/>
                <w:sz w:val="18"/>
                <w:szCs w:val="18"/>
                <w:lang w:val="en-GB" w:eastAsia="fr-FR"/>
              </w:rPr>
              <w:t xml:space="preserve">   ≥5000</w:t>
            </w:r>
          </w:p>
        </w:tc>
        <w:tc>
          <w:tcPr>
            <w:tcW w:w="1739" w:type="dxa"/>
            <w:tcBorders>
              <w:top w:val="nil"/>
              <w:left w:val="nil"/>
              <w:bottom w:val="single" w:sz="4" w:space="0" w:color="auto"/>
              <w:right w:val="nil"/>
            </w:tcBorders>
            <w:shd w:val="clear" w:color="auto" w:fill="auto"/>
            <w:noWrap/>
            <w:vAlign w:val="bottom"/>
            <w:hideMark/>
          </w:tcPr>
          <w:p w14:paraId="40A2A9A0"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1.00</w:t>
            </w:r>
          </w:p>
        </w:tc>
        <w:tc>
          <w:tcPr>
            <w:tcW w:w="1200" w:type="dxa"/>
            <w:tcBorders>
              <w:top w:val="nil"/>
              <w:left w:val="nil"/>
              <w:bottom w:val="single" w:sz="4" w:space="0" w:color="auto"/>
              <w:right w:val="nil"/>
            </w:tcBorders>
            <w:shd w:val="clear" w:color="auto" w:fill="auto"/>
            <w:noWrap/>
            <w:vAlign w:val="bottom"/>
            <w:hideMark/>
          </w:tcPr>
          <w:p w14:paraId="3B5246FA" w14:textId="77777777" w:rsidR="00966E2C" w:rsidRPr="00397EC7" w:rsidRDefault="00966E2C" w:rsidP="00643360">
            <w:pPr>
              <w:spacing w:after="0" w:line="240" w:lineRule="auto"/>
              <w:jc w:val="center"/>
              <w:rPr>
                <w:rFonts w:eastAsia="Times New Roman" w:cs="Arial"/>
                <w:color w:val="000000"/>
                <w:sz w:val="18"/>
                <w:szCs w:val="18"/>
                <w:lang w:val="en-GB" w:eastAsia="fr-FR"/>
              </w:rPr>
            </w:pPr>
            <w:r w:rsidRPr="00397EC7">
              <w:rPr>
                <w:rFonts w:eastAsia="Times New Roman" w:cs="Arial"/>
                <w:color w:val="000000"/>
                <w:sz w:val="18"/>
                <w:szCs w:val="18"/>
                <w:lang w:val="en-GB" w:eastAsia="fr-FR"/>
              </w:rPr>
              <w:t> </w:t>
            </w:r>
          </w:p>
        </w:tc>
      </w:tr>
    </w:tbl>
    <w:p w14:paraId="7E29FB5C" w14:textId="77777777" w:rsidR="00966E2C" w:rsidRPr="00397EC7" w:rsidRDefault="00966E2C" w:rsidP="00966E2C">
      <w:pPr>
        <w:pStyle w:val="Citationintense"/>
        <w:rPr>
          <w:rFonts w:cs="Arial"/>
          <w:b w:val="0"/>
          <w:sz w:val="16"/>
          <w:lang w:val="en-GB"/>
        </w:rPr>
      </w:pPr>
      <w:r w:rsidRPr="00397EC7">
        <w:rPr>
          <w:rFonts w:cs="Arial"/>
          <w:b w:val="0"/>
          <w:sz w:val="16"/>
          <w:lang w:val="en-GB"/>
        </w:rPr>
        <w:t>Multilevel logistic regression model accounting for patients nested within facility, adjusted for yearly calendar effect.</w:t>
      </w:r>
    </w:p>
    <w:p w14:paraId="2B9CE658" w14:textId="6D9CBF27" w:rsidR="00966E2C" w:rsidRPr="00397EC7" w:rsidRDefault="00966E2C" w:rsidP="00966E2C">
      <w:pPr>
        <w:pStyle w:val="Citationintense"/>
        <w:rPr>
          <w:rFonts w:cs="Arial"/>
          <w:b w:val="0"/>
          <w:sz w:val="16"/>
          <w:lang w:val="en-GB"/>
        </w:rPr>
      </w:pPr>
      <w:proofErr w:type="spellStart"/>
      <w:proofErr w:type="gramStart"/>
      <w:r w:rsidRPr="00397EC7">
        <w:rPr>
          <w:rFonts w:cs="Arial"/>
          <w:b w:val="0"/>
          <w:sz w:val="16"/>
          <w:lang w:val="en-GB"/>
        </w:rPr>
        <w:t>aOR</w:t>
      </w:r>
      <w:proofErr w:type="spellEnd"/>
      <w:proofErr w:type="gramEnd"/>
      <w:r w:rsidRPr="00397EC7">
        <w:rPr>
          <w:rFonts w:cs="Arial"/>
          <w:b w:val="0"/>
          <w:sz w:val="16"/>
          <w:lang w:val="en-GB"/>
        </w:rPr>
        <w:t xml:space="preserve"> [95% CI]</w:t>
      </w:r>
      <w:r w:rsidR="00087CFF" w:rsidRPr="00397EC7">
        <w:rPr>
          <w:rFonts w:cs="Arial"/>
          <w:b w:val="0"/>
          <w:sz w:val="16"/>
          <w:lang w:val="en-GB"/>
        </w:rPr>
        <w:t xml:space="preserve">: </w:t>
      </w:r>
      <w:r w:rsidRPr="00397EC7">
        <w:rPr>
          <w:rFonts w:cs="Arial"/>
          <w:b w:val="0"/>
          <w:sz w:val="16"/>
          <w:lang w:val="en-GB"/>
        </w:rPr>
        <w:t>Adjusted odds ratio [95% confidence interval].</w:t>
      </w:r>
    </w:p>
    <w:p w14:paraId="3D3D836E" w14:textId="41F9DD38" w:rsidR="00966E2C" w:rsidRPr="00397EC7" w:rsidRDefault="00457B87" w:rsidP="00966E2C">
      <w:pPr>
        <w:pStyle w:val="Citationintense"/>
        <w:rPr>
          <w:rFonts w:cs="Arial"/>
          <w:b w:val="0"/>
          <w:sz w:val="16"/>
          <w:lang w:val="en-GB"/>
        </w:rPr>
      </w:pPr>
      <w:proofErr w:type="spellStart"/>
      <w:proofErr w:type="gramStart"/>
      <w:r w:rsidRPr="00397EC7">
        <w:rPr>
          <w:rFonts w:cs="Arial"/>
          <w:b w:val="0"/>
          <w:sz w:val="16"/>
          <w:vertAlign w:val="superscript"/>
          <w:lang w:val="en-GB"/>
        </w:rPr>
        <w:t>a</w:t>
      </w:r>
      <w:proofErr w:type="spellEnd"/>
      <w:proofErr w:type="gramEnd"/>
      <w:r w:rsidR="00DE43B0" w:rsidRPr="00397EC7">
        <w:rPr>
          <w:rFonts w:cs="Arial"/>
          <w:b w:val="0"/>
          <w:sz w:val="16"/>
          <w:lang w:val="en-GB"/>
        </w:rPr>
        <w:t xml:space="preserve"> except non-</w:t>
      </w:r>
      <w:r w:rsidR="00966E2C" w:rsidRPr="00397EC7">
        <w:rPr>
          <w:rFonts w:cs="Arial"/>
          <w:b w:val="0"/>
          <w:sz w:val="16"/>
          <w:lang w:val="en-GB"/>
        </w:rPr>
        <w:t>melanoma skin cancer</w:t>
      </w:r>
    </w:p>
    <w:p w14:paraId="7BE7D50B" w14:textId="0F2D0772" w:rsidR="00966E2C" w:rsidRPr="00397EC7" w:rsidRDefault="00457B87" w:rsidP="00966E2C">
      <w:pPr>
        <w:pStyle w:val="Citationintense"/>
        <w:rPr>
          <w:rFonts w:cs="Arial"/>
          <w:b w:val="0"/>
          <w:sz w:val="16"/>
          <w:lang w:val="en-GB"/>
        </w:rPr>
      </w:pPr>
      <w:proofErr w:type="gramStart"/>
      <w:r w:rsidRPr="00397EC7">
        <w:rPr>
          <w:rFonts w:cs="Arial"/>
          <w:b w:val="0"/>
          <w:sz w:val="16"/>
          <w:vertAlign w:val="superscript"/>
          <w:lang w:val="en-GB"/>
        </w:rPr>
        <w:t>b</w:t>
      </w:r>
      <w:proofErr w:type="gramEnd"/>
      <w:r w:rsidR="00966E2C" w:rsidRPr="00397EC7">
        <w:rPr>
          <w:rFonts w:cs="Arial"/>
          <w:b w:val="0"/>
          <w:sz w:val="16"/>
          <w:lang w:val="en-GB"/>
        </w:rPr>
        <w:t xml:space="preserve"> including lymphoma and </w:t>
      </w:r>
      <w:proofErr w:type="spellStart"/>
      <w:r w:rsidR="00966E2C" w:rsidRPr="00397EC7">
        <w:rPr>
          <w:rFonts w:cs="Arial"/>
          <w:b w:val="0"/>
          <w:sz w:val="16"/>
          <w:lang w:val="en-GB"/>
        </w:rPr>
        <w:t>leukemia</w:t>
      </w:r>
      <w:proofErr w:type="spellEnd"/>
    </w:p>
    <w:p w14:paraId="611BD9D0" w14:textId="307C90F8" w:rsidR="00505AC8" w:rsidRPr="00397EC7" w:rsidRDefault="00505AC8">
      <w:pPr>
        <w:spacing w:line="276" w:lineRule="auto"/>
        <w:jc w:val="left"/>
        <w:rPr>
          <w:rStyle w:val="Titredulivre"/>
          <w:b/>
          <w:bCs/>
          <w:lang w:val="en-GB"/>
        </w:rPr>
      </w:pPr>
    </w:p>
    <w:sectPr w:rsidR="00505AC8" w:rsidRPr="00397EC7" w:rsidSect="00966E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79B97" w14:textId="77777777" w:rsidR="00DC3416" w:rsidRDefault="00DC3416" w:rsidP="00FC76E8">
      <w:r>
        <w:separator/>
      </w:r>
    </w:p>
  </w:endnote>
  <w:endnote w:type="continuationSeparator" w:id="0">
    <w:p w14:paraId="5B9D9B21" w14:textId="77777777" w:rsidR="00DC3416" w:rsidRDefault="00DC3416" w:rsidP="00FC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216868"/>
      <w:docPartObj>
        <w:docPartGallery w:val="Page Numbers (Bottom of Page)"/>
        <w:docPartUnique/>
      </w:docPartObj>
    </w:sdtPr>
    <w:sdtEndPr/>
    <w:sdtContent>
      <w:p w14:paraId="1AB505F1" w14:textId="77777777" w:rsidR="00DC3416" w:rsidRDefault="00DC3416">
        <w:pPr>
          <w:pStyle w:val="Pieddepage"/>
          <w:jc w:val="right"/>
        </w:pPr>
        <w:r>
          <w:fldChar w:fldCharType="begin"/>
        </w:r>
        <w:r>
          <w:instrText>PAGE   \* MERGEFORMAT</w:instrText>
        </w:r>
        <w:r>
          <w:fldChar w:fldCharType="separate"/>
        </w:r>
        <w:r w:rsidR="000D2CE4" w:rsidRPr="000D2CE4">
          <w:rPr>
            <w:noProof/>
            <w:lang w:val="fr-FR"/>
          </w:rPr>
          <w:t>9</w:t>
        </w:r>
        <w:r>
          <w:rPr>
            <w:noProof/>
            <w:lang w:val="fr-FR"/>
          </w:rPr>
          <w:fldChar w:fldCharType="end"/>
        </w:r>
      </w:p>
    </w:sdtContent>
  </w:sdt>
  <w:p w14:paraId="2DB1B4C3" w14:textId="77777777" w:rsidR="00DC3416" w:rsidRDefault="00DC34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ECFD7" w14:textId="77777777" w:rsidR="00DC3416" w:rsidRDefault="00DC3416" w:rsidP="00FC76E8">
      <w:r>
        <w:separator/>
      </w:r>
    </w:p>
  </w:footnote>
  <w:footnote w:type="continuationSeparator" w:id="0">
    <w:p w14:paraId="6021A21A" w14:textId="77777777" w:rsidR="00DC3416" w:rsidRDefault="00DC3416" w:rsidP="00FC7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AF1"/>
    <w:multiLevelType w:val="hybridMultilevel"/>
    <w:tmpl w:val="DC1EE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DE6F04"/>
    <w:multiLevelType w:val="hybridMultilevel"/>
    <w:tmpl w:val="4EF0DB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8A579F"/>
    <w:multiLevelType w:val="hybridMultilevel"/>
    <w:tmpl w:val="7E005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482B12"/>
    <w:multiLevelType w:val="hybridMultilevel"/>
    <w:tmpl w:val="C658B648"/>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790257"/>
    <w:multiLevelType w:val="hybridMultilevel"/>
    <w:tmpl w:val="5C9AF1F0"/>
    <w:lvl w:ilvl="0" w:tplc="2E7EE5B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C62AE4"/>
    <w:multiLevelType w:val="hybridMultilevel"/>
    <w:tmpl w:val="4E64E2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0F6310"/>
    <w:multiLevelType w:val="hybridMultilevel"/>
    <w:tmpl w:val="F6AE09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7A2D99"/>
    <w:multiLevelType w:val="hybridMultilevel"/>
    <w:tmpl w:val="E100762A"/>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8E1664"/>
    <w:multiLevelType w:val="hybridMultilevel"/>
    <w:tmpl w:val="E398ED10"/>
    <w:lvl w:ilvl="0" w:tplc="F99A484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935A77"/>
    <w:multiLevelType w:val="hybridMultilevel"/>
    <w:tmpl w:val="C0A03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9C6D41"/>
    <w:multiLevelType w:val="hybridMultilevel"/>
    <w:tmpl w:val="69BE1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DB4149"/>
    <w:multiLevelType w:val="hybridMultilevel"/>
    <w:tmpl w:val="8C424612"/>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2F24ED"/>
    <w:multiLevelType w:val="hybridMultilevel"/>
    <w:tmpl w:val="991A24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EE6889"/>
    <w:multiLevelType w:val="hybridMultilevel"/>
    <w:tmpl w:val="47C23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B8356AF"/>
    <w:multiLevelType w:val="hybridMultilevel"/>
    <w:tmpl w:val="7F6AA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443351"/>
    <w:multiLevelType w:val="hybridMultilevel"/>
    <w:tmpl w:val="429E373C"/>
    <w:lvl w:ilvl="0" w:tplc="08BA32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D46769"/>
    <w:multiLevelType w:val="hybridMultilevel"/>
    <w:tmpl w:val="F088178E"/>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F22A67"/>
    <w:multiLevelType w:val="hybridMultilevel"/>
    <w:tmpl w:val="F22C2B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6134CD"/>
    <w:multiLevelType w:val="hybridMultilevel"/>
    <w:tmpl w:val="A4D4D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5AE0988"/>
    <w:multiLevelType w:val="hybridMultilevel"/>
    <w:tmpl w:val="66680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E53884"/>
    <w:multiLevelType w:val="hybridMultilevel"/>
    <w:tmpl w:val="F034BF9A"/>
    <w:lvl w:ilvl="0" w:tplc="E000ED0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85E7251"/>
    <w:multiLevelType w:val="hybridMultilevel"/>
    <w:tmpl w:val="8A3A78B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B780E87"/>
    <w:multiLevelType w:val="hybridMultilevel"/>
    <w:tmpl w:val="399687E8"/>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7"/>
  </w:num>
  <w:num w:numId="4">
    <w:abstractNumId w:val="20"/>
  </w:num>
  <w:num w:numId="5">
    <w:abstractNumId w:val="4"/>
  </w:num>
  <w:num w:numId="6">
    <w:abstractNumId w:val="8"/>
  </w:num>
  <w:num w:numId="7">
    <w:abstractNumId w:val="11"/>
  </w:num>
  <w:num w:numId="8">
    <w:abstractNumId w:val="16"/>
  </w:num>
  <w:num w:numId="9">
    <w:abstractNumId w:val="3"/>
  </w:num>
  <w:num w:numId="10">
    <w:abstractNumId w:val="22"/>
  </w:num>
  <w:num w:numId="11">
    <w:abstractNumId w:val="18"/>
  </w:num>
  <w:num w:numId="12">
    <w:abstractNumId w:val="12"/>
  </w:num>
  <w:num w:numId="13">
    <w:abstractNumId w:val="17"/>
  </w:num>
  <w:num w:numId="14">
    <w:abstractNumId w:val="6"/>
  </w:num>
  <w:num w:numId="15">
    <w:abstractNumId w:val="1"/>
  </w:num>
  <w:num w:numId="16">
    <w:abstractNumId w:val="9"/>
  </w:num>
  <w:num w:numId="17">
    <w:abstractNumId w:val="0"/>
  </w:num>
  <w:num w:numId="18">
    <w:abstractNumId w:val="19"/>
  </w:num>
  <w:num w:numId="19">
    <w:abstractNumId w:val="14"/>
  </w:num>
  <w:num w:numId="20">
    <w:abstractNumId w:val="10"/>
  </w:num>
  <w:num w:numId="21">
    <w:abstractNumId w:val="5"/>
  </w:num>
  <w:num w:numId="22">
    <w:abstractNumId w:val="2"/>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ANANI Moussa">
    <w15:presenceInfo w15:providerId="None" w15:userId="LAANANI Mous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0C"/>
    <w:rsid w:val="00000E52"/>
    <w:rsid w:val="000018A4"/>
    <w:rsid w:val="00001D5D"/>
    <w:rsid w:val="0000223F"/>
    <w:rsid w:val="0000406E"/>
    <w:rsid w:val="000062A4"/>
    <w:rsid w:val="000079F8"/>
    <w:rsid w:val="00010BF5"/>
    <w:rsid w:val="00013389"/>
    <w:rsid w:val="00016A0E"/>
    <w:rsid w:val="000211D1"/>
    <w:rsid w:val="00031567"/>
    <w:rsid w:val="00033A7E"/>
    <w:rsid w:val="000369AE"/>
    <w:rsid w:val="00041366"/>
    <w:rsid w:val="0004154A"/>
    <w:rsid w:val="00041C85"/>
    <w:rsid w:val="00047092"/>
    <w:rsid w:val="000476D8"/>
    <w:rsid w:val="00047861"/>
    <w:rsid w:val="00053CAA"/>
    <w:rsid w:val="0005469C"/>
    <w:rsid w:val="00056233"/>
    <w:rsid w:val="00061961"/>
    <w:rsid w:val="00061DE7"/>
    <w:rsid w:val="00066100"/>
    <w:rsid w:val="00066B1A"/>
    <w:rsid w:val="000674B4"/>
    <w:rsid w:val="00070CA1"/>
    <w:rsid w:val="00070F70"/>
    <w:rsid w:val="0007471D"/>
    <w:rsid w:val="000749A4"/>
    <w:rsid w:val="00075503"/>
    <w:rsid w:val="00085EB0"/>
    <w:rsid w:val="00086F5F"/>
    <w:rsid w:val="00087CFF"/>
    <w:rsid w:val="0009180B"/>
    <w:rsid w:val="000919D6"/>
    <w:rsid w:val="00091A80"/>
    <w:rsid w:val="00092A38"/>
    <w:rsid w:val="000A3737"/>
    <w:rsid w:val="000A4F5F"/>
    <w:rsid w:val="000A7903"/>
    <w:rsid w:val="000A7C07"/>
    <w:rsid w:val="000B0C34"/>
    <w:rsid w:val="000B1DBF"/>
    <w:rsid w:val="000B27F7"/>
    <w:rsid w:val="000D210C"/>
    <w:rsid w:val="000D2CE4"/>
    <w:rsid w:val="000E0A96"/>
    <w:rsid w:val="000E1DE3"/>
    <w:rsid w:val="000E20A3"/>
    <w:rsid w:val="000F0455"/>
    <w:rsid w:val="000F2299"/>
    <w:rsid w:val="000F3DB8"/>
    <w:rsid w:val="000F526D"/>
    <w:rsid w:val="000F7192"/>
    <w:rsid w:val="000F76C6"/>
    <w:rsid w:val="00100D7F"/>
    <w:rsid w:val="001052BD"/>
    <w:rsid w:val="00106CE8"/>
    <w:rsid w:val="00113A97"/>
    <w:rsid w:val="001147B7"/>
    <w:rsid w:val="001157AD"/>
    <w:rsid w:val="00115A43"/>
    <w:rsid w:val="00116A0F"/>
    <w:rsid w:val="00120035"/>
    <w:rsid w:val="001223E9"/>
    <w:rsid w:val="001273A7"/>
    <w:rsid w:val="001276AC"/>
    <w:rsid w:val="00131518"/>
    <w:rsid w:val="001364A7"/>
    <w:rsid w:val="0014140B"/>
    <w:rsid w:val="001418B7"/>
    <w:rsid w:val="00141C2B"/>
    <w:rsid w:val="00146FA3"/>
    <w:rsid w:val="00146FD0"/>
    <w:rsid w:val="001507F4"/>
    <w:rsid w:val="00152F21"/>
    <w:rsid w:val="001536CB"/>
    <w:rsid w:val="00155DE6"/>
    <w:rsid w:val="0015623B"/>
    <w:rsid w:val="001622CA"/>
    <w:rsid w:val="00165D51"/>
    <w:rsid w:val="001671D0"/>
    <w:rsid w:val="001764B2"/>
    <w:rsid w:val="00177AF7"/>
    <w:rsid w:val="00181771"/>
    <w:rsid w:val="00182D45"/>
    <w:rsid w:val="00182E19"/>
    <w:rsid w:val="001927E0"/>
    <w:rsid w:val="0019597C"/>
    <w:rsid w:val="001966A2"/>
    <w:rsid w:val="001A2E34"/>
    <w:rsid w:val="001B06B4"/>
    <w:rsid w:val="001B2853"/>
    <w:rsid w:val="001B2E24"/>
    <w:rsid w:val="001B38D6"/>
    <w:rsid w:val="001B5891"/>
    <w:rsid w:val="001B60DC"/>
    <w:rsid w:val="001C2087"/>
    <w:rsid w:val="001C5835"/>
    <w:rsid w:val="001D1918"/>
    <w:rsid w:val="001D28C8"/>
    <w:rsid w:val="001E0074"/>
    <w:rsid w:val="001E1156"/>
    <w:rsid w:val="001E2428"/>
    <w:rsid w:val="001E2739"/>
    <w:rsid w:val="001E35F8"/>
    <w:rsid w:val="001E45EA"/>
    <w:rsid w:val="001E5321"/>
    <w:rsid w:val="001F1DC2"/>
    <w:rsid w:val="001F4B8E"/>
    <w:rsid w:val="001F7816"/>
    <w:rsid w:val="002045D9"/>
    <w:rsid w:val="002068DF"/>
    <w:rsid w:val="002110E5"/>
    <w:rsid w:val="00221918"/>
    <w:rsid w:val="00226936"/>
    <w:rsid w:val="00232472"/>
    <w:rsid w:val="00232883"/>
    <w:rsid w:val="00233BB0"/>
    <w:rsid w:val="00236ADC"/>
    <w:rsid w:val="002370A9"/>
    <w:rsid w:val="002375AE"/>
    <w:rsid w:val="00241238"/>
    <w:rsid w:val="002430CB"/>
    <w:rsid w:val="002442F6"/>
    <w:rsid w:val="002447F3"/>
    <w:rsid w:val="002457A1"/>
    <w:rsid w:val="00247429"/>
    <w:rsid w:val="00247D43"/>
    <w:rsid w:val="002525BB"/>
    <w:rsid w:val="002527D1"/>
    <w:rsid w:val="002536DE"/>
    <w:rsid w:val="0025554E"/>
    <w:rsid w:val="00270922"/>
    <w:rsid w:val="00271908"/>
    <w:rsid w:val="0027279D"/>
    <w:rsid w:val="002738C9"/>
    <w:rsid w:val="002760A8"/>
    <w:rsid w:val="002808E6"/>
    <w:rsid w:val="00282772"/>
    <w:rsid w:val="00284393"/>
    <w:rsid w:val="00286572"/>
    <w:rsid w:val="002869E5"/>
    <w:rsid w:val="00287C6B"/>
    <w:rsid w:val="00290BB0"/>
    <w:rsid w:val="00290E29"/>
    <w:rsid w:val="0029138E"/>
    <w:rsid w:val="00291E3B"/>
    <w:rsid w:val="002951C0"/>
    <w:rsid w:val="002962B8"/>
    <w:rsid w:val="002A2B9A"/>
    <w:rsid w:val="002B0A6B"/>
    <w:rsid w:val="002B2901"/>
    <w:rsid w:val="002B2D11"/>
    <w:rsid w:val="002B30E0"/>
    <w:rsid w:val="002B6B9B"/>
    <w:rsid w:val="002C6ABC"/>
    <w:rsid w:val="002D1930"/>
    <w:rsid w:val="002D1A16"/>
    <w:rsid w:val="002D4CDC"/>
    <w:rsid w:val="002D6023"/>
    <w:rsid w:val="002E21F0"/>
    <w:rsid w:val="002E3C3B"/>
    <w:rsid w:val="002E478B"/>
    <w:rsid w:val="002E4E28"/>
    <w:rsid w:val="002E503E"/>
    <w:rsid w:val="002F0062"/>
    <w:rsid w:val="002F6EA7"/>
    <w:rsid w:val="002F7594"/>
    <w:rsid w:val="00300848"/>
    <w:rsid w:val="00303CCB"/>
    <w:rsid w:val="0030628A"/>
    <w:rsid w:val="003066F9"/>
    <w:rsid w:val="003129EA"/>
    <w:rsid w:val="003222E4"/>
    <w:rsid w:val="00325FC3"/>
    <w:rsid w:val="0032627D"/>
    <w:rsid w:val="003323DC"/>
    <w:rsid w:val="00341B74"/>
    <w:rsid w:val="00342B1C"/>
    <w:rsid w:val="0034338F"/>
    <w:rsid w:val="003439DF"/>
    <w:rsid w:val="00346703"/>
    <w:rsid w:val="0035002D"/>
    <w:rsid w:val="003550BF"/>
    <w:rsid w:val="00355ECE"/>
    <w:rsid w:val="0036006F"/>
    <w:rsid w:val="003604FF"/>
    <w:rsid w:val="00361032"/>
    <w:rsid w:val="00362D72"/>
    <w:rsid w:val="00363834"/>
    <w:rsid w:val="00363856"/>
    <w:rsid w:val="0036445B"/>
    <w:rsid w:val="00365588"/>
    <w:rsid w:val="00365AE1"/>
    <w:rsid w:val="00366464"/>
    <w:rsid w:val="00370F84"/>
    <w:rsid w:val="003813D7"/>
    <w:rsid w:val="00381CE6"/>
    <w:rsid w:val="00384ECE"/>
    <w:rsid w:val="0038605B"/>
    <w:rsid w:val="0039033A"/>
    <w:rsid w:val="003927AE"/>
    <w:rsid w:val="003963DD"/>
    <w:rsid w:val="003968AE"/>
    <w:rsid w:val="00397EC7"/>
    <w:rsid w:val="003A02BE"/>
    <w:rsid w:val="003A0B89"/>
    <w:rsid w:val="003A0D9C"/>
    <w:rsid w:val="003A36AF"/>
    <w:rsid w:val="003A6AC8"/>
    <w:rsid w:val="003B6BCE"/>
    <w:rsid w:val="003C05C3"/>
    <w:rsid w:val="003C53E7"/>
    <w:rsid w:val="003D4194"/>
    <w:rsid w:val="003E179A"/>
    <w:rsid w:val="003E2A3F"/>
    <w:rsid w:val="003E421E"/>
    <w:rsid w:val="003E7DE7"/>
    <w:rsid w:val="003F1A2E"/>
    <w:rsid w:val="003F4550"/>
    <w:rsid w:val="003F5EC2"/>
    <w:rsid w:val="003F5F92"/>
    <w:rsid w:val="00401E66"/>
    <w:rsid w:val="00402C23"/>
    <w:rsid w:val="00402CC0"/>
    <w:rsid w:val="00405995"/>
    <w:rsid w:val="00405F7D"/>
    <w:rsid w:val="0040690A"/>
    <w:rsid w:val="0041005A"/>
    <w:rsid w:val="00412653"/>
    <w:rsid w:val="00412FE8"/>
    <w:rsid w:val="0041531D"/>
    <w:rsid w:val="00422482"/>
    <w:rsid w:val="0042372A"/>
    <w:rsid w:val="00424697"/>
    <w:rsid w:val="004262E0"/>
    <w:rsid w:val="00426B1A"/>
    <w:rsid w:val="004452C6"/>
    <w:rsid w:val="00445DE0"/>
    <w:rsid w:val="0044601C"/>
    <w:rsid w:val="004472F8"/>
    <w:rsid w:val="00450851"/>
    <w:rsid w:val="004511C2"/>
    <w:rsid w:val="0045528C"/>
    <w:rsid w:val="00457B87"/>
    <w:rsid w:val="00461C0D"/>
    <w:rsid w:val="00463C45"/>
    <w:rsid w:val="0046624B"/>
    <w:rsid w:val="0047048D"/>
    <w:rsid w:val="004725C8"/>
    <w:rsid w:val="00474585"/>
    <w:rsid w:val="00474EBB"/>
    <w:rsid w:val="00480238"/>
    <w:rsid w:val="00481B38"/>
    <w:rsid w:val="00483161"/>
    <w:rsid w:val="004842A4"/>
    <w:rsid w:val="00486143"/>
    <w:rsid w:val="004917BE"/>
    <w:rsid w:val="004931EA"/>
    <w:rsid w:val="00496328"/>
    <w:rsid w:val="00496CFE"/>
    <w:rsid w:val="00497891"/>
    <w:rsid w:val="004A0A07"/>
    <w:rsid w:val="004A1C8E"/>
    <w:rsid w:val="004A1D14"/>
    <w:rsid w:val="004A5538"/>
    <w:rsid w:val="004A5834"/>
    <w:rsid w:val="004A7D6D"/>
    <w:rsid w:val="004B05FA"/>
    <w:rsid w:val="004B2144"/>
    <w:rsid w:val="004B2393"/>
    <w:rsid w:val="004B36AC"/>
    <w:rsid w:val="004C31A2"/>
    <w:rsid w:val="004C434D"/>
    <w:rsid w:val="004C46A7"/>
    <w:rsid w:val="004D2EFE"/>
    <w:rsid w:val="004D4065"/>
    <w:rsid w:val="004D5BF5"/>
    <w:rsid w:val="004E1A7E"/>
    <w:rsid w:val="004E3EFF"/>
    <w:rsid w:val="004E4F4E"/>
    <w:rsid w:val="004F08F5"/>
    <w:rsid w:val="004F1F4E"/>
    <w:rsid w:val="004F2BAC"/>
    <w:rsid w:val="004F2CE6"/>
    <w:rsid w:val="004F319B"/>
    <w:rsid w:val="004F4910"/>
    <w:rsid w:val="004F71F8"/>
    <w:rsid w:val="0050039E"/>
    <w:rsid w:val="00504F00"/>
    <w:rsid w:val="005051AA"/>
    <w:rsid w:val="00505AC8"/>
    <w:rsid w:val="0051124A"/>
    <w:rsid w:val="0051730C"/>
    <w:rsid w:val="00517640"/>
    <w:rsid w:val="00523C9B"/>
    <w:rsid w:val="00524624"/>
    <w:rsid w:val="005312BF"/>
    <w:rsid w:val="0053434F"/>
    <w:rsid w:val="00534515"/>
    <w:rsid w:val="00540570"/>
    <w:rsid w:val="00541010"/>
    <w:rsid w:val="0054131C"/>
    <w:rsid w:val="00543958"/>
    <w:rsid w:val="00546A5E"/>
    <w:rsid w:val="0055252E"/>
    <w:rsid w:val="00552582"/>
    <w:rsid w:val="00554A39"/>
    <w:rsid w:val="00556B53"/>
    <w:rsid w:val="00561C86"/>
    <w:rsid w:val="00562D0B"/>
    <w:rsid w:val="00564386"/>
    <w:rsid w:val="005752AE"/>
    <w:rsid w:val="0058479B"/>
    <w:rsid w:val="00584E14"/>
    <w:rsid w:val="00586461"/>
    <w:rsid w:val="00586FE1"/>
    <w:rsid w:val="00592E78"/>
    <w:rsid w:val="00595601"/>
    <w:rsid w:val="005A27F2"/>
    <w:rsid w:val="005A3D81"/>
    <w:rsid w:val="005A4D44"/>
    <w:rsid w:val="005B210F"/>
    <w:rsid w:val="005B3BCC"/>
    <w:rsid w:val="005B3D72"/>
    <w:rsid w:val="005B54A5"/>
    <w:rsid w:val="005B5C86"/>
    <w:rsid w:val="005B6C45"/>
    <w:rsid w:val="005B7265"/>
    <w:rsid w:val="005C280A"/>
    <w:rsid w:val="005C39E9"/>
    <w:rsid w:val="005C3ED2"/>
    <w:rsid w:val="005C66B7"/>
    <w:rsid w:val="005D05A2"/>
    <w:rsid w:val="005D0633"/>
    <w:rsid w:val="005D2CF6"/>
    <w:rsid w:val="005D302F"/>
    <w:rsid w:val="005D5DF1"/>
    <w:rsid w:val="005D629E"/>
    <w:rsid w:val="005E0E86"/>
    <w:rsid w:val="005E19F3"/>
    <w:rsid w:val="005E3F40"/>
    <w:rsid w:val="005E4CF3"/>
    <w:rsid w:val="005F021A"/>
    <w:rsid w:val="005F15D4"/>
    <w:rsid w:val="005F1BC1"/>
    <w:rsid w:val="005F2174"/>
    <w:rsid w:val="005F4346"/>
    <w:rsid w:val="005F543A"/>
    <w:rsid w:val="005F5987"/>
    <w:rsid w:val="005F74AD"/>
    <w:rsid w:val="005F7727"/>
    <w:rsid w:val="006025FE"/>
    <w:rsid w:val="006027B8"/>
    <w:rsid w:val="00606195"/>
    <w:rsid w:val="00612154"/>
    <w:rsid w:val="0061362E"/>
    <w:rsid w:val="0061673F"/>
    <w:rsid w:val="00616A47"/>
    <w:rsid w:val="00626A9A"/>
    <w:rsid w:val="00630071"/>
    <w:rsid w:val="00643360"/>
    <w:rsid w:val="00644292"/>
    <w:rsid w:val="00651341"/>
    <w:rsid w:val="0065261B"/>
    <w:rsid w:val="00655A29"/>
    <w:rsid w:val="00664F3C"/>
    <w:rsid w:val="00673E2E"/>
    <w:rsid w:val="00674312"/>
    <w:rsid w:val="00674CF0"/>
    <w:rsid w:val="00677B63"/>
    <w:rsid w:val="00684C5C"/>
    <w:rsid w:val="006857C6"/>
    <w:rsid w:val="006874F5"/>
    <w:rsid w:val="0069500B"/>
    <w:rsid w:val="006966A8"/>
    <w:rsid w:val="006A25E0"/>
    <w:rsid w:val="006A598B"/>
    <w:rsid w:val="006A5C76"/>
    <w:rsid w:val="006A6231"/>
    <w:rsid w:val="006A63B2"/>
    <w:rsid w:val="006A6655"/>
    <w:rsid w:val="006B094C"/>
    <w:rsid w:val="006B5E1C"/>
    <w:rsid w:val="006C3DC4"/>
    <w:rsid w:val="006C6646"/>
    <w:rsid w:val="006C6962"/>
    <w:rsid w:val="006D5685"/>
    <w:rsid w:val="006D572C"/>
    <w:rsid w:val="006D58A4"/>
    <w:rsid w:val="006D5947"/>
    <w:rsid w:val="006D5A3B"/>
    <w:rsid w:val="006D76C5"/>
    <w:rsid w:val="006E0D9C"/>
    <w:rsid w:val="006E172A"/>
    <w:rsid w:val="006E4CCE"/>
    <w:rsid w:val="006E5719"/>
    <w:rsid w:val="006E6D1E"/>
    <w:rsid w:val="006E6E22"/>
    <w:rsid w:val="006E7152"/>
    <w:rsid w:val="006F212E"/>
    <w:rsid w:val="006F670A"/>
    <w:rsid w:val="006F7AE3"/>
    <w:rsid w:val="0070098D"/>
    <w:rsid w:val="00700E22"/>
    <w:rsid w:val="00703786"/>
    <w:rsid w:val="00703AEC"/>
    <w:rsid w:val="00704900"/>
    <w:rsid w:val="0071264C"/>
    <w:rsid w:val="00713B1F"/>
    <w:rsid w:val="0071568C"/>
    <w:rsid w:val="00717376"/>
    <w:rsid w:val="00717F6C"/>
    <w:rsid w:val="00720F1D"/>
    <w:rsid w:val="00722BEB"/>
    <w:rsid w:val="00725D8A"/>
    <w:rsid w:val="007328B9"/>
    <w:rsid w:val="00736A54"/>
    <w:rsid w:val="0073702B"/>
    <w:rsid w:val="00742F4B"/>
    <w:rsid w:val="007479CB"/>
    <w:rsid w:val="00750E24"/>
    <w:rsid w:val="00751594"/>
    <w:rsid w:val="00751EA1"/>
    <w:rsid w:val="00764890"/>
    <w:rsid w:val="007658C3"/>
    <w:rsid w:val="00770A1E"/>
    <w:rsid w:val="00770EAD"/>
    <w:rsid w:val="00774BB1"/>
    <w:rsid w:val="007800CF"/>
    <w:rsid w:val="00782AB7"/>
    <w:rsid w:val="00790F81"/>
    <w:rsid w:val="00791BF7"/>
    <w:rsid w:val="007920E7"/>
    <w:rsid w:val="00793C0F"/>
    <w:rsid w:val="00794700"/>
    <w:rsid w:val="007A0122"/>
    <w:rsid w:val="007A1A2D"/>
    <w:rsid w:val="007A2132"/>
    <w:rsid w:val="007A2441"/>
    <w:rsid w:val="007A2BBF"/>
    <w:rsid w:val="007A2E20"/>
    <w:rsid w:val="007A5A45"/>
    <w:rsid w:val="007A642F"/>
    <w:rsid w:val="007A716B"/>
    <w:rsid w:val="007A7580"/>
    <w:rsid w:val="007B0367"/>
    <w:rsid w:val="007B1A3A"/>
    <w:rsid w:val="007B6F2A"/>
    <w:rsid w:val="007C5765"/>
    <w:rsid w:val="007C6E29"/>
    <w:rsid w:val="007D0F48"/>
    <w:rsid w:val="007D14EF"/>
    <w:rsid w:val="007E3E1E"/>
    <w:rsid w:val="007E5EC3"/>
    <w:rsid w:val="007F2196"/>
    <w:rsid w:val="007F2909"/>
    <w:rsid w:val="007F2BB1"/>
    <w:rsid w:val="007F46FE"/>
    <w:rsid w:val="007F48D2"/>
    <w:rsid w:val="007F5712"/>
    <w:rsid w:val="007F77B7"/>
    <w:rsid w:val="007F7909"/>
    <w:rsid w:val="007F7B67"/>
    <w:rsid w:val="00801620"/>
    <w:rsid w:val="0080453F"/>
    <w:rsid w:val="00807EAF"/>
    <w:rsid w:val="0081220B"/>
    <w:rsid w:val="00814A7A"/>
    <w:rsid w:val="008175D8"/>
    <w:rsid w:val="00820F88"/>
    <w:rsid w:val="00826801"/>
    <w:rsid w:val="008308B3"/>
    <w:rsid w:val="008344B0"/>
    <w:rsid w:val="0084388E"/>
    <w:rsid w:val="00843ED5"/>
    <w:rsid w:val="00844FFE"/>
    <w:rsid w:val="00845BB0"/>
    <w:rsid w:val="0084756E"/>
    <w:rsid w:val="00847582"/>
    <w:rsid w:val="00847C09"/>
    <w:rsid w:val="008515B6"/>
    <w:rsid w:val="00852CCB"/>
    <w:rsid w:val="0085334B"/>
    <w:rsid w:val="00857A1C"/>
    <w:rsid w:val="008708C7"/>
    <w:rsid w:val="008715CA"/>
    <w:rsid w:val="00874686"/>
    <w:rsid w:val="00880C68"/>
    <w:rsid w:val="0088348E"/>
    <w:rsid w:val="0088401B"/>
    <w:rsid w:val="00890F77"/>
    <w:rsid w:val="0089100F"/>
    <w:rsid w:val="008921D9"/>
    <w:rsid w:val="00893012"/>
    <w:rsid w:val="00894A87"/>
    <w:rsid w:val="0089530E"/>
    <w:rsid w:val="00897B21"/>
    <w:rsid w:val="00897E78"/>
    <w:rsid w:val="008A24C1"/>
    <w:rsid w:val="008A3B5E"/>
    <w:rsid w:val="008A4256"/>
    <w:rsid w:val="008A4604"/>
    <w:rsid w:val="008A530A"/>
    <w:rsid w:val="008A5CFF"/>
    <w:rsid w:val="008A6226"/>
    <w:rsid w:val="008A7720"/>
    <w:rsid w:val="008B3248"/>
    <w:rsid w:val="008B4D82"/>
    <w:rsid w:val="008B4EAF"/>
    <w:rsid w:val="008B6294"/>
    <w:rsid w:val="008B70D1"/>
    <w:rsid w:val="008D1524"/>
    <w:rsid w:val="008D15CD"/>
    <w:rsid w:val="008D1DD7"/>
    <w:rsid w:val="008E2922"/>
    <w:rsid w:val="008F023D"/>
    <w:rsid w:val="008F0470"/>
    <w:rsid w:val="008F1680"/>
    <w:rsid w:val="008F4596"/>
    <w:rsid w:val="008F5FB1"/>
    <w:rsid w:val="008F65AA"/>
    <w:rsid w:val="00902B2D"/>
    <w:rsid w:val="0090600D"/>
    <w:rsid w:val="0090642D"/>
    <w:rsid w:val="009075EF"/>
    <w:rsid w:val="009123A0"/>
    <w:rsid w:val="009141E4"/>
    <w:rsid w:val="00915D20"/>
    <w:rsid w:val="00927705"/>
    <w:rsid w:val="009323DE"/>
    <w:rsid w:val="009500F0"/>
    <w:rsid w:val="009515B2"/>
    <w:rsid w:val="00952849"/>
    <w:rsid w:val="00954669"/>
    <w:rsid w:val="00955ADB"/>
    <w:rsid w:val="00963D60"/>
    <w:rsid w:val="0096516E"/>
    <w:rsid w:val="00966E2C"/>
    <w:rsid w:val="00967C15"/>
    <w:rsid w:val="00975034"/>
    <w:rsid w:val="0097510A"/>
    <w:rsid w:val="00982782"/>
    <w:rsid w:val="009827E2"/>
    <w:rsid w:val="009838EC"/>
    <w:rsid w:val="009845E9"/>
    <w:rsid w:val="009900FE"/>
    <w:rsid w:val="00992C71"/>
    <w:rsid w:val="0099346D"/>
    <w:rsid w:val="00995C5C"/>
    <w:rsid w:val="009A36BC"/>
    <w:rsid w:val="009A7CF2"/>
    <w:rsid w:val="009B03D5"/>
    <w:rsid w:val="009B2749"/>
    <w:rsid w:val="009B35AD"/>
    <w:rsid w:val="009B5324"/>
    <w:rsid w:val="009C0138"/>
    <w:rsid w:val="009C1B1F"/>
    <w:rsid w:val="009C2FA3"/>
    <w:rsid w:val="009D0444"/>
    <w:rsid w:val="009D18B3"/>
    <w:rsid w:val="009D2727"/>
    <w:rsid w:val="009D4F31"/>
    <w:rsid w:val="009D6086"/>
    <w:rsid w:val="009D7D3D"/>
    <w:rsid w:val="009E1738"/>
    <w:rsid w:val="009E2FB8"/>
    <w:rsid w:val="009E38DB"/>
    <w:rsid w:val="009E4972"/>
    <w:rsid w:val="009E61BD"/>
    <w:rsid w:val="009E7D2A"/>
    <w:rsid w:val="009F0FB0"/>
    <w:rsid w:val="009F602A"/>
    <w:rsid w:val="009F7165"/>
    <w:rsid w:val="00A008EE"/>
    <w:rsid w:val="00A01445"/>
    <w:rsid w:val="00A02FDB"/>
    <w:rsid w:val="00A040B2"/>
    <w:rsid w:val="00A0515A"/>
    <w:rsid w:val="00A073E2"/>
    <w:rsid w:val="00A14650"/>
    <w:rsid w:val="00A16CE9"/>
    <w:rsid w:val="00A21106"/>
    <w:rsid w:val="00A30123"/>
    <w:rsid w:val="00A315B9"/>
    <w:rsid w:val="00A318A5"/>
    <w:rsid w:val="00A342CA"/>
    <w:rsid w:val="00A52A82"/>
    <w:rsid w:val="00A54F7B"/>
    <w:rsid w:val="00A55ED3"/>
    <w:rsid w:val="00A6091F"/>
    <w:rsid w:val="00A6195F"/>
    <w:rsid w:val="00A63861"/>
    <w:rsid w:val="00A6419D"/>
    <w:rsid w:val="00A650DE"/>
    <w:rsid w:val="00A65425"/>
    <w:rsid w:val="00A65B32"/>
    <w:rsid w:val="00A65E75"/>
    <w:rsid w:val="00A65F7A"/>
    <w:rsid w:val="00A66AB4"/>
    <w:rsid w:val="00A70C91"/>
    <w:rsid w:val="00A71F29"/>
    <w:rsid w:val="00A72100"/>
    <w:rsid w:val="00A721B7"/>
    <w:rsid w:val="00A75563"/>
    <w:rsid w:val="00A8021E"/>
    <w:rsid w:val="00A80CE7"/>
    <w:rsid w:val="00A81063"/>
    <w:rsid w:val="00A82FC9"/>
    <w:rsid w:val="00A85954"/>
    <w:rsid w:val="00A9048A"/>
    <w:rsid w:val="00A9174C"/>
    <w:rsid w:val="00A91F91"/>
    <w:rsid w:val="00A92322"/>
    <w:rsid w:val="00A9357E"/>
    <w:rsid w:val="00A95177"/>
    <w:rsid w:val="00A95E6F"/>
    <w:rsid w:val="00A9759B"/>
    <w:rsid w:val="00A976E3"/>
    <w:rsid w:val="00AA04DB"/>
    <w:rsid w:val="00AA061D"/>
    <w:rsid w:val="00AA2159"/>
    <w:rsid w:val="00AA28E6"/>
    <w:rsid w:val="00AA3D82"/>
    <w:rsid w:val="00AA4C56"/>
    <w:rsid w:val="00AA4EDB"/>
    <w:rsid w:val="00AB167C"/>
    <w:rsid w:val="00AB1FF1"/>
    <w:rsid w:val="00AB2CAD"/>
    <w:rsid w:val="00AB4A8E"/>
    <w:rsid w:val="00AB51FB"/>
    <w:rsid w:val="00AB7EDE"/>
    <w:rsid w:val="00AC1A50"/>
    <w:rsid w:val="00AC22B1"/>
    <w:rsid w:val="00AC40B3"/>
    <w:rsid w:val="00AC5BC1"/>
    <w:rsid w:val="00AD5A1A"/>
    <w:rsid w:val="00AD5A97"/>
    <w:rsid w:val="00AD746A"/>
    <w:rsid w:val="00AE0C0C"/>
    <w:rsid w:val="00AE26C4"/>
    <w:rsid w:val="00AE2DF3"/>
    <w:rsid w:val="00AF058C"/>
    <w:rsid w:val="00AF2680"/>
    <w:rsid w:val="00AF26F4"/>
    <w:rsid w:val="00AF744F"/>
    <w:rsid w:val="00B00D91"/>
    <w:rsid w:val="00B01B80"/>
    <w:rsid w:val="00B04DA7"/>
    <w:rsid w:val="00B05EB6"/>
    <w:rsid w:val="00B13363"/>
    <w:rsid w:val="00B13F04"/>
    <w:rsid w:val="00B24703"/>
    <w:rsid w:val="00B250E6"/>
    <w:rsid w:val="00B27B90"/>
    <w:rsid w:val="00B27FAD"/>
    <w:rsid w:val="00B3388B"/>
    <w:rsid w:val="00B34DB1"/>
    <w:rsid w:val="00B35343"/>
    <w:rsid w:val="00B40537"/>
    <w:rsid w:val="00B40B3F"/>
    <w:rsid w:val="00B413B3"/>
    <w:rsid w:val="00B4358A"/>
    <w:rsid w:val="00B44AE0"/>
    <w:rsid w:val="00B462D1"/>
    <w:rsid w:val="00B46357"/>
    <w:rsid w:val="00B50BA4"/>
    <w:rsid w:val="00B50CBA"/>
    <w:rsid w:val="00B54A0A"/>
    <w:rsid w:val="00B621C6"/>
    <w:rsid w:val="00B64661"/>
    <w:rsid w:val="00B66A41"/>
    <w:rsid w:val="00B71BE8"/>
    <w:rsid w:val="00B75DE3"/>
    <w:rsid w:val="00B82145"/>
    <w:rsid w:val="00B82968"/>
    <w:rsid w:val="00B85045"/>
    <w:rsid w:val="00B85ABA"/>
    <w:rsid w:val="00B8721D"/>
    <w:rsid w:val="00B87BE0"/>
    <w:rsid w:val="00B9193C"/>
    <w:rsid w:val="00B936B6"/>
    <w:rsid w:val="00B95C2A"/>
    <w:rsid w:val="00B95E00"/>
    <w:rsid w:val="00B97495"/>
    <w:rsid w:val="00B97AD1"/>
    <w:rsid w:val="00BA1705"/>
    <w:rsid w:val="00BA6C1F"/>
    <w:rsid w:val="00BB195D"/>
    <w:rsid w:val="00BB4620"/>
    <w:rsid w:val="00BB5294"/>
    <w:rsid w:val="00BC0F95"/>
    <w:rsid w:val="00BC1390"/>
    <w:rsid w:val="00BC4876"/>
    <w:rsid w:val="00BC4CCE"/>
    <w:rsid w:val="00BC51C5"/>
    <w:rsid w:val="00BD05F6"/>
    <w:rsid w:val="00BD4250"/>
    <w:rsid w:val="00BE17B1"/>
    <w:rsid w:val="00BE67BB"/>
    <w:rsid w:val="00BF33A6"/>
    <w:rsid w:val="00BF7D89"/>
    <w:rsid w:val="00C01713"/>
    <w:rsid w:val="00C018F2"/>
    <w:rsid w:val="00C019A0"/>
    <w:rsid w:val="00C03D2D"/>
    <w:rsid w:val="00C074DA"/>
    <w:rsid w:val="00C07F50"/>
    <w:rsid w:val="00C136AD"/>
    <w:rsid w:val="00C139D3"/>
    <w:rsid w:val="00C14383"/>
    <w:rsid w:val="00C15E46"/>
    <w:rsid w:val="00C173A2"/>
    <w:rsid w:val="00C20D18"/>
    <w:rsid w:val="00C21E05"/>
    <w:rsid w:val="00C2403C"/>
    <w:rsid w:val="00C27630"/>
    <w:rsid w:val="00C30893"/>
    <w:rsid w:val="00C31D7A"/>
    <w:rsid w:val="00C339C2"/>
    <w:rsid w:val="00C33A6B"/>
    <w:rsid w:val="00C37D5D"/>
    <w:rsid w:val="00C425D5"/>
    <w:rsid w:val="00C429FB"/>
    <w:rsid w:val="00C4423C"/>
    <w:rsid w:val="00C446F7"/>
    <w:rsid w:val="00C4774B"/>
    <w:rsid w:val="00C51DFE"/>
    <w:rsid w:val="00C550C5"/>
    <w:rsid w:val="00C63492"/>
    <w:rsid w:val="00C670D6"/>
    <w:rsid w:val="00C67FD8"/>
    <w:rsid w:val="00C74B97"/>
    <w:rsid w:val="00C80BC8"/>
    <w:rsid w:val="00C83506"/>
    <w:rsid w:val="00C83B0F"/>
    <w:rsid w:val="00C85064"/>
    <w:rsid w:val="00C91E85"/>
    <w:rsid w:val="00CA06CA"/>
    <w:rsid w:val="00CA0A1F"/>
    <w:rsid w:val="00CA267C"/>
    <w:rsid w:val="00CA44D9"/>
    <w:rsid w:val="00CA71F0"/>
    <w:rsid w:val="00CA7D15"/>
    <w:rsid w:val="00CB019E"/>
    <w:rsid w:val="00CB05C7"/>
    <w:rsid w:val="00CB2336"/>
    <w:rsid w:val="00CB2DDC"/>
    <w:rsid w:val="00CB4520"/>
    <w:rsid w:val="00CB54D0"/>
    <w:rsid w:val="00CC09D1"/>
    <w:rsid w:val="00CC337F"/>
    <w:rsid w:val="00CC3EFD"/>
    <w:rsid w:val="00CD0B4D"/>
    <w:rsid w:val="00CD38FB"/>
    <w:rsid w:val="00CD3C7C"/>
    <w:rsid w:val="00CD4E63"/>
    <w:rsid w:val="00CE1502"/>
    <w:rsid w:val="00CE53AF"/>
    <w:rsid w:val="00CE5D12"/>
    <w:rsid w:val="00CE6692"/>
    <w:rsid w:val="00CE6B66"/>
    <w:rsid w:val="00CF15F5"/>
    <w:rsid w:val="00CF3068"/>
    <w:rsid w:val="00CF412A"/>
    <w:rsid w:val="00CF5BCF"/>
    <w:rsid w:val="00CF7485"/>
    <w:rsid w:val="00D0009E"/>
    <w:rsid w:val="00D03C42"/>
    <w:rsid w:val="00D04152"/>
    <w:rsid w:val="00D06E0F"/>
    <w:rsid w:val="00D0777E"/>
    <w:rsid w:val="00D07E64"/>
    <w:rsid w:val="00D12A44"/>
    <w:rsid w:val="00D1435F"/>
    <w:rsid w:val="00D22813"/>
    <w:rsid w:val="00D31A92"/>
    <w:rsid w:val="00D31FD4"/>
    <w:rsid w:val="00D3227F"/>
    <w:rsid w:val="00D32F15"/>
    <w:rsid w:val="00D34CA9"/>
    <w:rsid w:val="00D3662D"/>
    <w:rsid w:val="00D402D6"/>
    <w:rsid w:val="00D41457"/>
    <w:rsid w:val="00D44F0B"/>
    <w:rsid w:val="00D53BB3"/>
    <w:rsid w:val="00D54129"/>
    <w:rsid w:val="00D55E28"/>
    <w:rsid w:val="00D5746B"/>
    <w:rsid w:val="00D57A39"/>
    <w:rsid w:val="00D64B61"/>
    <w:rsid w:val="00D65709"/>
    <w:rsid w:val="00D726CF"/>
    <w:rsid w:val="00D73397"/>
    <w:rsid w:val="00D74C59"/>
    <w:rsid w:val="00D7769A"/>
    <w:rsid w:val="00D8292D"/>
    <w:rsid w:val="00D830F7"/>
    <w:rsid w:val="00D8521B"/>
    <w:rsid w:val="00D90985"/>
    <w:rsid w:val="00D9113A"/>
    <w:rsid w:val="00D94084"/>
    <w:rsid w:val="00D9456C"/>
    <w:rsid w:val="00D94922"/>
    <w:rsid w:val="00DA1E8D"/>
    <w:rsid w:val="00DA26EE"/>
    <w:rsid w:val="00DA30D7"/>
    <w:rsid w:val="00DA3C71"/>
    <w:rsid w:val="00DA4452"/>
    <w:rsid w:val="00DB16C9"/>
    <w:rsid w:val="00DB5008"/>
    <w:rsid w:val="00DB6D84"/>
    <w:rsid w:val="00DC0779"/>
    <w:rsid w:val="00DC3416"/>
    <w:rsid w:val="00DC68C0"/>
    <w:rsid w:val="00DD0F45"/>
    <w:rsid w:val="00DD2870"/>
    <w:rsid w:val="00DD2BE5"/>
    <w:rsid w:val="00DD2DF9"/>
    <w:rsid w:val="00DD38DF"/>
    <w:rsid w:val="00DD39AF"/>
    <w:rsid w:val="00DD4030"/>
    <w:rsid w:val="00DD4CFA"/>
    <w:rsid w:val="00DD5A39"/>
    <w:rsid w:val="00DD5D65"/>
    <w:rsid w:val="00DD64FA"/>
    <w:rsid w:val="00DE08D6"/>
    <w:rsid w:val="00DE42C5"/>
    <w:rsid w:val="00DE43B0"/>
    <w:rsid w:val="00DF03A6"/>
    <w:rsid w:val="00DF4DA8"/>
    <w:rsid w:val="00DF5DEA"/>
    <w:rsid w:val="00E01CD7"/>
    <w:rsid w:val="00E03524"/>
    <w:rsid w:val="00E036DF"/>
    <w:rsid w:val="00E03776"/>
    <w:rsid w:val="00E057E0"/>
    <w:rsid w:val="00E05BAB"/>
    <w:rsid w:val="00E07980"/>
    <w:rsid w:val="00E1019D"/>
    <w:rsid w:val="00E14D2E"/>
    <w:rsid w:val="00E15C52"/>
    <w:rsid w:val="00E16310"/>
    <w:rsid w:val="00E165B3"/>
    <w:rsid w:val="00E2446B"/>
    <w:rsid w:val="00E31779"/>
    <w:rsid w:val="00E32517"/>
    <w:rsid w:val="00E32B55"/>
    <w:rsid w:val="00E35739"/>
    <w:rsid w:val="00E37447"/>
    <w:rsid w:val="00E3748D"/>
    <w:rsid w:val="00E37D43"/>
    <w:rsid w:val="00E408E2"/>
    <w:rsid w:val="00E41210"/>
    <w:rsid w:val="00E4455E"/>
    <w:rsid w:val="00E52AC8"/>
    <w:rsid w:val="00E53B69"/>
    <w:rsid w:val="00E53F12"/>
    <w:rsid w:val="00E6445C"/>
    <w:rsid w:val="00E651E2"/>
    <w:rsid w:val="00E6542C"/>
    <w:rsid w:val="00E67365"/>
    <w:rsid w:val="00E709B2"/>
    <w:rsid w:val="00E72C8F"/>
    <w:rsid w:val="00E75294"/>
    <w:rsid w:val="00E75C71"/>
    <w:rsid w:val="00E81EB6"/>
    <w:rsid w:val="00E823EF"/>
    <w:rsid w:val="00E8362C"/>
    <w:rsid w:val="00E83B99"/>
    <w:rsid w:val="00E8535A"/>
    <w:rsid w:val="00E869AC"/>
    <w:rsid w:val="00E9004F"/>
    <w:rsid w:val="00E91A98"/>
    <w:rsid w:val="00E92723"/>
    <w:rsid w:val="00E95E96"/>
    <w:rsid w:val="00E9674F"/>
    <w:rsid w:val="00EA359B"/>
    <w:rsid w:val="00EA69BE"/>
    <w:rsid w:val="00EB3C85"/>
    <w:rsid w:val="00ED0B68"/>
    <w:rsid w:val="00ED2000"/>
    <w:rsid w:val="00ED57E0"/>
    <w:rsid w:val="00ED57FC"/>
    <w:rsid w:val="00EE316E"/>
    <w:rsid w:val="00EE3AC3"/>
    <w:rsid w:val="00EE536E"/>
    <w:rsid w:val="00EE5F95"/>
    <w:rsid w:val="00EE6131"/>
    <w:rsid w:val="00EE660D"/>
    <w:rsid w:val="00EE7935"/>
    <w:rsid w:val="00EF0C56"/>
    <w:rsid w:val="00EF0DD8"/>
    <w:rsid w:val="00EF178E"/>
    <w:rsid w:val="00EF25B3"/>
    <w:rsid w:val="00EF44D7"/>
    <w:rsid w:val="00EF5B3A"/>
    <w:rsid w:val="00EF5D8E"/>
    <w:rsid w:val="00F0348B"/>
    <w:rsid w:val="00F0564E"/>
    <w:rsid w:val="00F06CF9"/>
    <w:rsid w:val="00F07F4D"/>
    <w:rsid w:val="00F115B5"/>
    <w:rsid w:val="00F14728"/>
    <w:rsid w:val="00F208F2"/>
    <w:rsid w:val="00F21CCB"/>
    <w:rsid w:val="00F236D8"/>
    <w:rsid w:val="00F24DCF"/>
    <w:rsid w:val="00F25C37"/>
    <w:rsid w:val="00F2633F"/>
    <w:rsid w:val="00F26FB0"/>
    <w:rsid w:val="00F27A4B"/>
    <w:rsid w:val="00F334B7"/>
    <w:rsid w:val="00F34A4A"/>
    <w:rsid w:val="00F3577D"/>
    <w:rsid w:val="00F4195C"/>
    <w:rsid w:val="00F428BC"/>
    <w:rsid w:val="00F46B49"/>
    <w:rsid w:val="00F471AB"/>
    <w:rsid w:val="00F53494"/>
    <w:rsid w:val="00F5367A"/>
    <w:rsid w:val="00F544E5"/>
    <w:rsid w:val="00F56BC9"/>
    <w:rsid w:val="00F57434"/>
    <w:rsid w:val="00F57E14"/>
    <w:rsid w:val="00F6177A"/>
    <w:rsid w:val="00F64A5F"/>
    <w:rsid w:val="00F64AA7"/>
    <w:rsid w:val="00F67A8B"/>
    <w:rsid w:val="00F72387"/>
    <w:rsid w:val="00F735A6"/>
    <w:rsid w:val="00F744DE"/>
    <w:rsid w:val="00F76FAA"/>
    <w:rsid w:val="00F839DB"/>
    <w:rsid w:val="00F841BF"/>
    <w:rsid w:val="00F86376"/>
    <w:rsid w:val="00F86BB8"/>
    <w:rsid w:val="00F90720"/>
    <w:rsid w:val="00F94617"/>
    <w:rsid w:val="00F94989"/>
    <w:rsid w:val="00F95E89"/>
    <w:rsid w:val="00F960E2"/>
    <w:rsid w:val="00FA3C08"/>
    <w:rsid w:val="00FA6B1F"/>
    <w:rsid w:val="00FB225A"/>
    <w:rsid w:val="00FB5740"/>
    <w:rsid w:val="00FB5EB6"/>
    <w:rsid w:val="00FB67AE"/>
    <w:rsid w:val="00FB6858"/>
    <w:rsid w:val="00FC2AA3"/>
    <w:rsid w:val="00FC6AEB"/>
    <w:rsid w:val="00FC76E8"/>
    <w:rsid w:val="00FC7A34"/>
    <w:rsid w:val="00FD194F"/>
    <w:rsid w:val="00FD6194"/>
    <w:rsid w:val="00FE16C4"/>
    <w:rsid w:val="00FE1E79"/>
    <w:rsid w:val="00FE4A1B"/>
    <w:rsid w:val="00FF00E9"/>
    <w:rsid w:val="00FF35A5"/>
    <w:rsid w:val="00FF3925"/>
    <w:rsid w:val="00FF6F2E"/>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C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50"/>
    <w:pPr>
      <w:spacing w:line="480" w:lineRule="auto"/>
      <w:jc w:val="both"/>
    </w:pPr>
    <w:rPr>
      <w:sz w:val="24"/>
      <w:lang w:val="en-US"/>
    </w:rPr>
  </w:style>
  <w:style w:type="paragraph" w:styleId="Titre1">
    <w:name w:val="heading 1"/>
    <w:basedOn w:val="Normal"/>
    <w:next w:val="Normal"/>
    <w:link w:val="Titre1Car"/>
    <w:uiPriority w:val="9"/>
    <w:qFormat/>
    <w:rsid w:val="00AC1A50"/>
    <w:pPr>
      <w:outlineLvl w:val="0"/>
    </w:pPr>
    <w:rPr>
      <w:b/>
      <w:caps/>
    </w:rPr>
  </w:style>
  <w:style w:type="paragraph" w:styleId="Titre2">
    <w:name w:val="heading 2"/>
    <w:basedOn w:val="Titre1"/>
    <w:next w:val="Normal"/>
    <w:link w:val="Titre2Car"/>
    <w:uiPriority w:val="9"/>
    <w:unhideWhenUsed/>
    <w:qFormat/>
    <w:rsid w:val="00DD0F45"/>
    <w:pPr>
      <w:outlineLvl w:val="1"/>
    </w:pPr>
    <w:rPr>
      <w:cap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Titre1"/>
    <w:next w:val="Normal"/>
    <w:link w:val="TitreCar"/>
    <w:uiPriority w:val="10"/>
    <w:qFormat/>
    <w:rsid w:val="0051730C"/>
    <w:rPr>
      <w:lang w:val="en-GB"/>
    </w:rPr>
  </w:style>
  <w:style w:type="character" w:customStyle="1" w:styleId="TitreCar">
    <w:name w:val="Titre Car"/>
    <w:basedOn w:val="Policepardfaut"/>
    <w:link w:val="Titre"/>
    <w:uiPriority w:val="10"/>
    <w:rsid w:val="0051730C"/>
    <w:rPr>
      <w:b/>
      <w:caps/>
      <w:sz w:val="24"/>
      <w:lang w:val="en-GB"/>
    </w:rPr>
  </w:style>
  <w:style w:type="character" w:customStyle="1" w:styleId="Titre1Car">
    <w:name w:val="Titre 1 Car"/>
    <w:basedOn w:val="Policepardfaut"/>
    <w:link w:val="Titre1"/>
    <w:uiPriority w:val="9"/>
    <w:rsid w:val="00AC1A50"/>
    <w:rPr>
      <w:b/>
      <w:caps/>
      <w:sz w:val="24"/>
      <w:lang w:val="en-US"/>
    </w:rPr>
  </w:style>
  <w:style w:type="character" w:styleId="Marquedecommentaire">
    <w:name w:val="annotation reference"/>
    <w:basedOn w:val="Policepardfaut"/>
    <w:uiPriority w:val="99"/>
    <w:semiHidden/>
    <w:unhideWhenUsed/>
    <w:rsid w:val="00D55E28"/>
    <w:rPr>
      <w:sz w:val="16"/>
      <w:szCs w:val="16"/>
    </w:rPr>
  </w:style>
  <w:style w:type="paragraph" w:styleId="Commentaire">
    <w:name w:val="annotation text"/>
    <w:basedOn w:val="Normal"/>
    <w:link w:val="CommentaireCar"/>
    <w:uiPriority w:val="99"/>
    <w:unhideWhenUsed/>
    <w:rsid w:val="00D55E28"/>
    <w:pPr>
      <w:spacing w:line="240" w:lineRule="auto"/>
    </w:pPr>
    <w:rPr>
      <w:sz w:val="20"/>
      <w:szCs w:val="20"/>
    </w:rPr>
  </w:style>
  <w:style w:type="character" w:customStyle="1" w:styleId="CommentaireCar">
    <w:name w:val="Commentaire Car"/>
    <w:basedOn w:val="Policepardfaut"/>
    <w:link w:val="Commentaire"/>
    <w:uiPriority w:val="99"/>
    <w:rsid w:val="00D55E28"/>
    <w:rPr>
      <w:sz w:val="20"/>
      <w:szCs w:val="20"/>
    </w:rPr>
  </w:style>
  <w:style w:type="paragraph" w:styleId="Objetducommentaire">
    <w:name w:val="annotation subject"/>
    <w:basedOn w:val="Commentaire"/>
    <w:next w:val="Commentaire"/>
    <w:link w:val="ObjetducommentaireCar"/>
    <w:uiPriority w:val="99"/>
    <w:semiHidden/>
    <w:unhideWhenUsed/>
    <w:rsid w:val="00D55E28"/>
    <w:rPr>
      <w:b/>
      <w:bCs/>
    </w:rPr>
  </w:style>
  <w:style w:type="character" w:customStyle="1" w:styleId="ObjetducommentaireCar">
    <w:name w:val="Objet du commentaire Car"/>
    <w:basedOn w:val="CommentaireCar"/>
    <w:link w:val="Objetducommentaire"/>
    <w:uiPriority w:val="99"/>
    <w:semiHidden/>
    <w:rsid w:val="00D55E28"/>
    <w:rPr>
      <w:b/>
      <w:bCs/>
      <w:sz w:val="20"/>
      <w:szCs w:val="20"/>
    </w:rPr>
  </w:style>
  <w:style w:type="paragraph" w:styleId="Textedebulles">
    <w:name w:val="Balloon Text"/>
    <w:basedOn w:val="Normal"/>
    <w:link w:val="TextedebullesCar"/>
    <w:uiPriority w:val="99"/>
    <w:semiHidden/>
    <w:unhideWhenUsed/>
    <w:rsid w:val="00D55E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5E28"/>
    <w:rPr>
      <w:rFonts w:ascii="Tahoma" w:hAnsi="Tahoma" w:cs="Tahoma"/>
      <w:sz w:val="16"/>
      <w:szCs w:val="16"/>
    </w:rPr>
  </w:style>
  <w:style w:type="paragraph" w:styleId="Lgende">
    <w:name w:val="caption"/>
    <w:basedOn w:val="Normal"/>
    <w:next w:val="Normal"/>
    <w:uiPriority w:val="35"/>
    <w:unhideWhenUsed/>
    <w:qFormat/>
    <w:rsid w:val="00725D8A"/>
    <w:pPr>
      <w:spacing w:line="240" w:lineRule="auto"/>
    </w:pPr>
    <w:rPr>
      <w:b/>
      <w:bCs/>
      <w:sz w:val="22"/>
      <w:szCs w:val="18"/>
    </w:rPr>
  </w:style>
  <w:style w:type="character" w:customStyle="1" w:styleId="Titre2Car">
    <w:name w:val="Titre 2 Car"/>
    <w:basedOn w:val="Policepardfaut"/>
    <w:link w:val="Titre2"/>
    <w:uiPriority w:val="9"/>
    <w:rsid w:val="00DD0F45"/>
    <w:rPr>
      <w:b/>
      <w:lang w:val="en-US"/>
    </w:rPr>
  </w:style>
  <w:style w:type="paragraph" w:styleId="Sansinterligne">
    <w:name w:val="No Spacing"/>
    <w:uiPriority w:val="1"/>
    <w:qFormat/>
    <w:rsid w:val="000D210C"/>
    <w:pPr>
      <w:spacing w:after="240" w:line="240" w:lineRule="auto"/>
      <w:jc w:val="both"/>
    </w:pPr>
    <w:rPr>
      <w:sz w:val="24"/>
      <w:lang w:val="en-GB"/>
    </w:rPr>
  </w:style>
  <w:style w:type="paragraph" w:styleId="Sous-titre">
    <w:name w:val="Subtitle"/>
    <w:aliases w:val="Note bas de page"/>
    <w:basedOn w:val="Notedebasdepage"/>
    <w:next w:val="Normal"/>
    <w:link w:val="Sous-titreCar"/>
    <w:uiPriority w:val="11"/>
    <w:qFormat/>
    <w:rsid w:val="00EF178E"/>
    <w:rPr>
      <w:rFonts w:ascii="Calibri" w:hAnsi="Calibri" w:cs="Calibri"/>
      <w:sz w:val="18"/>
    </w:rPr>
  </w:style>
  <w:style w:type="character" w:customStyle="1" w:styleId="Sous-titreCar">
    <w:name w:val="Sous-titre Car"/>
    <w:aliases w:val="Note bas de page Car"/>
    <w:basedOn w:val="Policepardfaut"/>
    <w:link w:val="Sous-titre"/>
    <w:uiPriority w:val="11"/>
    <w:rsid w:val="00EF178E"/>
    <w:rPr>
      <w:rFonts w:ascii="Calibri" w:eastAsia="Times New Roman" w:hAnsi="Calibri" w:cs="Calibri"/>
      <w:sz w:val="18"/>
      <w:szCs w:val="20"/>
      <w:lang w:eastAsia="fr-FR"/>
    </w:rPr>
  </w:style>
  <w:style w:type="paragraph" w:styleId="Notedebasdepage">
    <w:name w:val="footnote text"/>
    <w:basedOn w:val="Normal"/>
    <w:link w:val="NotedebasdepageCar"/>
    <w:semiHidden/>
    <w:rsid w:val="00EF178E"/>
    <w:pPr>
      <w:spacing w:after="0" w:line="240" w:lineRule="auto"/>
    </w:pPr>
    <w:rPr>
      <w:rFonts w:ascii="Arial (W1)" w:eastAsia="Times New Roman" w:hAnsi="Arial (W1)" w:cs="Arial"/>
      <w:sz w:val="20"/>
      <w:szCs w:val="20"/>
      <w:lang w:val="fr-FR" w:eastAsia="fr-FR"/>
    </w:rPr>
  </w:style>
  <w:style w:type="character" w:customStyle="1" w:styleId="NotedebasdepageCar">
    <w:name w:val="Note de bas de page Car"/>
    <w:basedOn w:val="Policepardfaut"/>
    <w:link w:val="Notedebasdepage"/>
    <w:semiHidden/>
    <w:rsid w:val="00EF178E"/>
    <w:rPr>
      <w:rFonts w:ascii="Arial (W1)" w:eastAsia="Times New Roman" w:hAnsi="Arial (W1)" w:cs="Arial"/>
      <w:sz w:val="20"/>
      <w:szCs w:val="20"/>
      <w:lang w:eastAsia="fr-FR"/>
    </w:rPr>
  </w:style>
  <w:style w:type="character" w:styleId="lev">
    <w:name w:val="Strong"/>
    <w:aliases w:val="Flow chart"/>
    <w:basedOn w:val="Policepardfaut"/>
    <w:uiPriority w:val="22"/>
    <w:qFormat/>
    <w:rsid w:val="001F4B8E"/>
    <w:rPr>
      <w:bCs/>
      <w:color w:val="000000" w:themeColor="text1"/>
      <w:sz w:val="20"/>
    </w:rPr>
  </w:style>
  <w:style w:type="table" w:styleId="Grilledutableau">
    <w:name w:val="Table Grid"/>
    <w:basedOn w:val="TableauNormal"/>
    <w:uiPriority w:val="59"/>
    <w:rsid w:val="00990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A0122"/>
    <w:pPr>
      <w:ind w:left="720"/>
      <w:contextualSpacing/>
    </w:pPr>
  </w:style>
  <w:style w:type="paragraph" w:styleId="Bibliographie">
    <w:name w:val="Bibliography"/>
    <w:basedOn w:val="Normal"/>
    <w:next w:val="Normal"/>
    <w:uiPriority w:val="37"/>
    <w:unhideWhenUsed/>
    <w:rsid w:val="00E6542C"/>
    <w:pPr>
      <w:tabs>
        <w:tab w:val="left" w:pos="504"/>
      </w:tabs>
      <w:spacing w:after="240" w:line="240" w:lineRule="auto"/>
      <w:ind w:left="504" w:hanging="504"/>
    </w:pPr>
  </w:style>
  <w:style w:type="paragraph" w:styleId="En-tte">
    <w:name w:val="header"/>
    <w:basedOn w:val="Normal"/>
    <w:link w:val="En-tteCar"/>
    <w:uiPriority w:val="99"/>
    <w:unhideWhenUsed/>
    <w:rsid w:val="00F744DE"/>
    <w:pPr>
      <w:tabs>
        <w:tab w:val="center" w:pos="4536"/>
        <w:tab w:val="right" w:pos="9072"/>
      </w:tabs>
      <w:spacing w:after="0" w:line="240" w:lineRule="auto"/>
    </w:pPr>
  </w:style>
  <w:style w:type="character" w:customStyle="1" w:styleId="En-tteCar">
    <w:name w:val="En-tête Car"/>
    <w:basedOn w:val="Policepardfaut"/>
    <w:link w:val="En-tte"/>
    <w:uiPriority w:val="99"/>
    <w:rsid w:val="00F744DE"/>
    <w:rPr>
      <w:lang w:val="en-US"/>
    </w:rPr>
  </w:style>
  <w:style w:type="paragraph" w:styleId="Pieddepage">
    <w:name w:val="footer"/>
    <w:basedOn w:val="Normal"/>
    <w:link w:val="PieddepageCar"/>
    <w:uiPriority w:val="99"/>
    <w:unhideWhenUsed/>
    <w:rsid w:val="00F744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44DE"/>
    <w:rPr>
      <w:lang w:val="en-US"/>
    </w:rPr>
  </w:style>
  <w:style w:type="paragraph" w:styleId="Citationintense">
    <w:name w:val="Intense Quote"/>
    <w:aliases w:val="Tableau"/>
    <w:basedOn w:val="Normal"/>
    <w:next w:val="Normal"/>
    <w:link w:val="CitationintenseCar"/>
    <w:uiPriority w:val="30"/>
    <w:qFormat/>
    <w:rsid w:val="00F72387"/>
    <w:pPr>
      <w:spacing w:after="0" w:line="240" w:lineRule="auto"/>
      <w:jc w:val="left"/>
    </w:pPr>
    <w:rPr>
      <w:rFonts w:eastAsia="Times New Roman" w:cs="Times New Roman"/>
      <w:b/>
      <w:bCs/>
      <w:color w:val="000000"/>
      <w:sz w:val="20"/>
      <w:szCs w:val="20"/>
      <w:lang w:val="fr-FR" w:eastAsia="fr-FR"/>
    </w:rPr>
  </w:style>
  <w:style w:type="character" w:customStyle="1" w:styleId="CitationintenseCar">
    <w:name w:val="Citation intense Car"/>
    <w:aliases w:val="Tableau Car"/>
    <w:basedOn w:val="Policepardfaut"/>
    <w:link w:val="Citationintense"/>
    <w:uiPriority w:val="30"/>
    <w:rsid w:val="00F72387"/>
    <w:rPr>
      <w:rFonts w:eastAsia="Times New Roman" w:cs="Times New Roman"/>
      <w:b/>
      <w:bCs/>
      <w:color w:val="000000"/>
      <w:sz w:val="20"/>
      <w:szCs w:val="20"/>
      <w:lang w:eastAsia="fr-FR"/>
    </w:rPr>
  </w:style>
  <w:style w:type="character" w:styleId="Lienhypertexte">
    <w:name w:val="Hyperlink"/>
    <w:basedOn w:val="Policepardfaut"/>
    <w:uiPriority w:val="99"/>
    <w:unhideWhenUsed/>
    <w:rsid w:val="00C63492"/>
    <w:rPr>
      <w:color w:val="0000FF" w:themeColor="hyperlink"/>
      <w:u w:val="single"/>
    </w:rPr>
  </w:style>
  <w:style w:type="paragraph" w:styleId="Explorateurdedocuments">
    <w:name w:val="Document Map"/>
    <w:basedOn w:val="Normal"/>
    <w:link w:val="ExplorateurdedocumentsCar"/>
    <w:uiPriority w:val="99"/>
    <w:semiHidden/>
    <w:unhideWhenUsed/>
    <w:rsid w:val="00D22813"/>
    <w:pPr>
      <w:spacing w:after="0" w:line="240" w:lineRule="auto"/>
    </w:pPr>
    <w:rPr>
      <w:rFonts w:ascii="Lucida Grande" w:hAnsi="Lucida Grande" w:cs="Lucida Grande"/>
      <w:szCs w:val="24"/>
    </w:rPr>
  </w:style>
  <w:style w:type="character" w:customStyle="1" w:styleId="ExplorateurdedocumentsCar">
    <w:name w:val="Explorateur de documents Car"/>
    <w:basedOn w:val="Policepardfaut"/>
    <w:link w:val="Explorateurdedocuments"/>
    <w:uiPriority w:val="99"/>
    <w:semiHidden/>
    <w:rsid w:val="00D22813"/>
    <w:rPr>
      <w:rFonts w:ascii="Lucida Grande" w:hAnsi="Lucida Grande" w:cs="Lucida Grande"/>
      <w:sz w:val="24"/>
      <w:szCs w:val="24"/>
      <w:lang w:val="en-US"/>
    </w:rPr>
  </w:style>
  <w:style w:type="paragraph" w:styleId="Rvision">
    <w:name w:val="Revision"/>
    <w:hidden/>
    <w:uiPriority w:val="99"/>
    <w:semiHidden/>
    <w:rsid w:val="007A7580"/>
    <w:pPr>
      <w:spacing w:after="0" w:line="240" w:lineRule="auto"/>
    </w:pPr>
    <w:rPr>
      <w:lang w:val="en-US"/>
    </w:rPr>
  </w:style>
  <w:style w:type="character" w:styleId="Titredulivre">
    <w:name w:val="Book Title"/>
    <w:aliases w:val="Légende suppl"/>
    <w:uiPriority w:val="33"/>
    <w:qFormat/>
    <w:rsid w:val="000F045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50"/>
    <w:pPr>
      <w:spacing w:line="480" w:lineRule="auto"/>
      <w:jc w:val="both"/>
    </w:pPr>
    <w:rPr>
      <w:sz w:val="24"/>
      <w:lang w:val="en-US"/>
    </w:rPr>
  </w:style>
  <w:style w:type="paragraph" w:styleId="Titre1">
    <w:name w:val="heading 1"/>
    <w:basedOn w:val="Normal"/>
    <w:next w:val="Normal"/>
    <w:link w:val="Titre1Car"/>
    <w:uiPriority w:val="9"/>
    <w:qFormat/>
    <w:rsid w:val="00AC1A50"/>
    <w:pPr>
      <w:outlineLvl w:val="0"/>
    </w:pPr>
    <w:rPr>
      <w:b/>
      <w:caps/>
    </w:rPr>
  </w:style>
  <w:style w:type="paragraph" w:styleId="Titre2">
    <w:name w:val="heading 2"/>
    <w:basedOn w:val="Titre1"/>
    <w:next w:val="Normal"/>
    <w:link w:val="Titre2Car"/>
    <w:uiPriority w:val="9"/>
    <w:unhideWhenUsed/>
    <w:qFormat/>
    <w:rsid w:val="00DD0F45"/>
    <w:pPr>
      <w:outlineLvl w:val="1"/>
    </w:pPr>
    <w:rPr>
      <w:cap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Titre1"/>
    <w:next w:val="Normal"/>
    <w:link w:val="TitreCar"/>
    <w:uiPriority w:val="10"/>
    <w:qFormat/>
    <w:rsid w:val="0051730C"/>
    <w:rPr>
      <w:lang w:val="en-GB"/>
    </w:rPr>
  </w:style>
  <w:style w:type="character" w:customStyle="1" w:styleId="TitreCar">
    <w:name w:val="Titre Car"/>
    <w:basedOn w:val="Policepardfaut"/>
    <w:link w:val="Titre"/>
    <w:uiPriority w:val="10"/>
    <w:rsid w:val="0051730C"/>
    <w:rPr>
      <w:b/>
      <w:caps/>
      <w:sz w:val="24"/>
      <w:lang w:val="en-GB"/>
    </w:rPr>
  </w:style>
  <w:style w:type="character" w:customStyle="1" w:styleId="Titre1Car">
    <w:name w:val="Titre 1 Car"/>
    <w:basedOn w:val="Policepardfaut"/>
    <w:link w:val="Titre1"/>
    <w:uiPriority w:val="9"/>
    <w:rsid w:val="00AC1A50"/>
    <w:rPr>
      <w:b/>
      <w:caps/>
      <w:sz w:val="24"/>
      <w:lang w:val="en-US"/>
    </w:rPr>
  </w:style>
  <w:style w:type="character" w:styleId="Marquedecommentaire">
    <w:name w:val="annotation reference"/>
    <w:basedOn w:val="Policepardfaut"/>
    <w:uiPriority w:val="99"/>
    <w:semiHidden/>
    <w:unhideWhenUsed/>
    <w:rsid w:val="00D55E28"/>
    <w:rPr>
      <w:sz w:val="16"/>
      <w:szCs w:val="16"/>
    </w:rPr>
  </w:style>
  <w:style w:type="paragraph" w:styleId="Commentaire">
    <w:name w:val="annotation text"/>
    <w:basedOn w:val="Normal"/>
    <w:link w:val="CommentaireCar"/>
    <w:uiPriority w:val="99"/>
    <w:unhideWhenUsed/>
    <w:rsid w:val="00D55E28"/>
    <w:pPr>
      <w:spacing w:line="240" w:lineRule="auto"/>
    </w:pPr>
    <w:rPr>
      <w:sz w:val="20"/>
      <w:szCs w:val="20"/>
    </w:rPr>
  </w:style>
  <w:style w:type="character" w:customStyle="1" w:styleId="CommentaireCar">
    <w:name w:val="Commentaire Car"/>
    <w:basedOn w:val="Policepardfaut"/>
    <w:link w:val="Commentaire"/>
    <w:uiPriority w:val="99"/>
    <w:rsid w:val="00D55E28"/>
    <w:rPr>
      <w:sz w:val="20"/>
      <w:szCs w:val="20"/>
    </w:rPr>
  </w:style>
  <w:style w:type="paragraph" w:styleId="Objetducommentaire">
    <w:name w:val="annotation subject"/>
    <w:basedOn w:val="Commentaire"/>
    <w:next w:val="Commentaire"/>
    <w:link w:val="ObjetducommentaireCar"/>
    <w:uiPriority w:val="99"/>
    <w:semiHidden/>
    <w:unhideWhenUsed/>
    <w:rsid w:val="00D55E28"/>
    <w:rPr>
      <w:b/>
      <w:bCs/>
    </w:rPr>
  </w:style>
  <w:style w:type="character" w:customStyle="1" w:styleId="ObjetducommentaireCar">
    <w:name w:val="Objet du commentaire Car"/>
    <w:basedOn w:val="CommentaireCar"/>
    <w:link w:val="Objetducommentaire"/>
    <w:uiPriority w:val="99"/>
    <w:semiHidden/>
    <w:rsid w:val="00D55E28"/>
    <w:rPr>
      <w:b/>
      <w:bCs/>
      <w:sz w:val="20"/>
      <w:szCs w:val="20"/>
    </w:rPr>
  </w:style>
  <w:style w:type="paragraph" w:styleId="Textedebulles">
    <w:name w:val="Balloon Text"/>
    <w:basedOn w:val="Normal"/>
    <w:link w:val="TextedebullesCar"/>
    <w:uiPriority w:val="99"/>
    <w:semiHidden/>
    <w:unhideWhenUsed/>
    <w:rsid w:val="00D55E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5E28"/>
    <w:rPr>
      <w:rFonts w:ascii="Tahoma" w:hAnsi="Tahoma" w:cs="Tahoma"/>
      <w:sz w:val="16"/>
      <w:szCs w:val="16"/>
    </w:rPr>
  </w:style>
  <w:style w:type="paragraph" w:styleId="Lgende">
    <w:name w:val="caption"/>
    <w:basedOn w:val="Normal"/>
    <w:next w:val="Normal"/>
    <w:uiPriority w:val="35"/>
    <w:unhideWhenUsed/>
    <w:qFormat/>
    <w:rsid w:val="00725D8A"/>
    <w:pPr>
      <w:spacing w:line="240" w:lineRule="auto"/>
    </w:pPr>
    <w:rPr>
      <w:b/>
      <w:bCs/>
      <w:sz w:val="22"/>
      <w:szCs w:val="18"/>
    </w:rPr>
  </w:style>
  <w:style w:type="character" w:customStyle="1" w:styleId="Titre2Car">
    <w:name w:val="Titre 2 Car"/>
    <w:basedOn w:val="Policepardfaut"/>
    <w:link w:val="Titre2"/>
    <w:uiPriority w:val="9"/>
    <w:rsid w:val="00DD0F45"/>
    <w:rPr>
      <w:b/>
      <w:lang w:val="en-US"/>
    </w:rPr>
  </w:style>
  <w:style w:type="paragraph" w:styleId="Sansinterligne">
    <w:name w:val="No Spacing"/>
    <w:uiPriority w:val="1"/>
    <w:qFormat/>
    <w:rsid w:val="000D210C"/>
    <w:pPr>
      <w:spacing w:after="240" w:line="240" w:lineRule="auto"/>
      <w:jc w:val="both"/>
    </w:pPr>
    <w:rPr>
      <w:sz w:val="24"/>
      <w:lang w:val="en-GB"/>
    </w:rPr>
  </w:style>
  <w:style w:type="paragraph" w:styleId="Sous-titre">
    <w:name w:val="Subtitle"/>
    <w:aliases w:val="Note bas de page"/>
    <w:basedOn w:val="Notedebasdepage"/>
    <w:next w:val="Normal"/>
    <w:link w:val="Sous-titreCar"/>
    <w:uiPriority w:val="11"/>
    <w:qFormat/>
    <w:rsid w:val="00EF178E"/>
    <w:rPr>
      <w:rFonts w:ascii="Calibri" w:hAnsi="Calibri" w:cs="Calibri"/>
      <w:sz w:val="18"/>
    </w:rPr>
  </w:style>
  <w:style w:type="character" w:customStyle="1" w:styleId="Sous-titreCar">
    <w:name w:val="Sous-titre Car"/>
    <w:aliases w:val="Note bas de page Car"/>
    <w:basedOn w:val="Policepardfaut"/>
    <w:link w:val="Sous-titre"/>
    <w:uiPriority w:val="11"/>
    <w:rsid w:val="00EF178E"/>
    <w:rPr>
      <w:rFonts w:ascii="Calibri" w:eastAsia="Times New Roman" w:hAnsi="Calibri" w:cs="Calibri"/>
      <w:sz w:val="18"/>
      <w:szCs w:val="20"/>
      <w:lang w:eastAsia="fr-FR"/>
    </w:rPr>
  </w:style>
  <w:style w:type="paragraph" w:styleId="Notedebasdepage">
    <w:name w:val="footnote text"/>
    <w:basedOn w:val="Normal"/>
    <w:link w:val="NotedebasdepageCar"/>
    <w:semiHidden/>
    <w:rsid w:val="00EF178E"/>
    <w:pPr>
      <w:spacing w:after="0" w:line="240" w:lineRule="auto"/>
    </w:pPr>
    <w:rPr>
      <w:rFonts w:ascii="Arial (W1)" w:eastAsia="Times New Roman" w:hAnsi="Arial (W1)" w:cs="Arial"/>
      <w:sz w:val="20"/>
      <w:szCs w:val="20"/>
      <w:lang w:val="fr-FR" w:eastAsia="fr-FR"/>
    </w:rPr>
  </w:style>
  <w:style w:type="character" w:customStyle="1" w:styleId="NotedebasdepageCar">
    <w:name w:val="Note de bas de page Car"/>
    <w:basedOn w:val="Policepardfaut"/>
    <w:link w:val="Notedebasdepage"/>
    <w:semiHidden/>
    <w:rsid w:val="00EF178E"/>
    <w:rPr>
      <w:rFonts w:ascii="Arial (W1)" w:eastAsia="Times New Roman" w:hAnsi="Arial (W1)" w:cs="Arial"/>
      <w:sz w:val="20"/>
      <w:szCs w:val="20"/>
      <w:lang w:eastAsia="fr-FR"/>
    </w:rPr>
  </w:style>
  <w:style w:type="character" w:styleId="lev">
    <w:name w:val="Strong"/>
    <w:aliases w:val="Flow chart"/>
    <w:basedOn w:val="Policepardfaut"/>
    <w:uiPriority w:val="22"/>
    <w:qFormat/>
    <w:rsid w:val="001F4B8E"/>
    <w:rPr>
      <w:bCs/>
      <w:color w:val="000000" w:themeColor="text1"/>
      <w:sz w:val="20"/>
    </w:rPr>
  </w:style>
  <w:style w:type="table" w:styleId="Grilledutableau">
    <w:name w:val="Table Grid"/>
    <w:basedOn w:val="TableauNormal"/>
    <w:uiPriority w:val="59"/>
    <w:rsid w:val="00990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A0122"/>
    <w:pPr>
      <w:ind w:left="720"/>
      <w:contextualSpacing/>
    </w:pPr>
  </w:style>
  <w:style w:type="paragraph" w:styleId="Bibliographie">
    <w:name w:val="Bibliography"/>
    <w:basedOn w:val="Normal"/>
    <w:next w:val="Normal"/>
    <w:uiPriority w:val="37"/>
    <w:unhideWhenUsed/>
    <w:rsid w:val="00E6542C"/>
    <w:pPr>
      <w:tabs>
        <w:tab w:val="left" w:pos="504"/>
      </w:tabs>
      <w:spacing w:after="240" w:line="240" w:lineRule="auto"/>
      <w:ind w:left="504" w:hanging="504"/>
    </w:pPr>
  </w:style>
  <w:style w:type="paragraph" w:styleId="En-tte">
    <w:name w:val="header"/>
    <w:basedOn w:val="Normal"/>
    <w:link w:val="En-tteCar"/>
    <w:uiPriority w:val="99"/>
    <w:unhideWhenUsed/>
    <w:rsid w:val="00F744DE"/>
    <w:pPr>
      <w:tabs>
        <w:tab w:val="center" w:pos="4536"/>
        <w:tab w:val="right" w:pos="9072"/>
      </w:tabs>
      <w:spacing w:after="0" w:line="240" w:lineRule="auto"/>
    </w:pPr>
  </w:style>
  <w:style w:type="character" w:customStyle="1" w:styleId="En-tteCar">
    <w:name w:val="En-tête Car"/>
    <w:basedOn w:val="Policepardfaut"/>
    <w:link w:val="En-tte"/>
    <w:uiPriority w:val="99"/>
    <w:rsid w:val="00F744DE"/>
    <w:rPr>
      <w:lang w:val="en-US"/>
    </w:rPr>
  </w:style>
  <w:style w:type="paragraph" w:styleId="Pieddepage">
    <w:name w:val="footer"/>
    <w:basedOn w:val="Normal"/>
    <w:link w:val="PieddepageCar"/>
    <w:uiPriority w:val="99"/>
    <w:unhideWhenUsed/>
    <w:rsid w:val="00F744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44DE"/>
    <w:rPr>
      <w:lang w:val="en-US"/>
    </w:rPr>
  </w:style>
  <w:style w:type="paragraph" w:styleId="Citationintense">
    <w:name w:val="Intense Quote"/>
    <w:aliases w:val="Tableau"/>
    <w:basedOn w:val="Normal"/>
    <w:next w:val="Normal"/>
    <w:link w:val="CitationintenseCar"/>
    <w:uiPriority w:val="30"/>
    <w:qFormat/>
    <w:rsid w:val="00F72387"/>
    <w:pPr>
      <w:spacing w:after="0" w:line="240" w:lineRule="auto"/>
      <w:jc w:val="left"/>
    </w:pPr>
    <w:rPr>
      <w:rFonts w:eastAsia="Times New Roman" w:cs="Times New Roman"/>
      <w:b/>
      <w:bCs/>
      <w:color w:val="000000"/>
      <w:sz w:val="20"/>
      <w:szCs w:val="20"/>
      <w:lang w:val="fr-FR" w:eastAsia="fr-FR"/>
    </w:rPr>
  </w:style>
  <w:style w:type="character" w:customStyle="1" w:styleId="CitationintenseCar">
    <w:name w:val="Citation intense Car"/>
    <w:aliases w:val="Tableau Car"/>
    <w:basedOn w:val="Policepardfaut"/>
    <w:link w:val="Citationintense"/>
    <w:uiPriority w:val="30"/>
    <w:rsid w:val="00F72387"/>
    <w:rPr>
      <w:rFonts w:eastAsia="Times New Roman" w:cs="Times New Roman"/>
      <w:b/>
      <w:bCs/>
      <w:color w:val="000000"/>
      <w:sz w:val="20"/>
      <w:szCs w:val="20"/>
      <w:lang w:eastAsia="fr-FR"/>
    </w:rPr>
  </w:style>
  <w:style w:type="character" w:styleId="Lienhypertexte">
    <w:name w:val="Hyperlink"/>
    <w:basedOn w:val="Policepardfaut"/>
    <w:uiPriority w:val="99"/>
    <w:unhideWhenUsed/>
    <w:rsid w:val="00C63492"/>
    <w:rPr>
      <w:color w:val="0000FF" w:themeColor="hyperlink"/>
      <w:u w:val="single"/>
    </w:rPr>
  </w:style>
  <w:style w:type="paragraph" w:styleId="Explorateurdedocuments">
    <w:name w:val="Document Map"/>
    <w:basedOn w:val="Normal"/>
    <w:link w:val="ExplorateurdedocumentsCar"/>
    <w:uiPriority w:val="99"/>
    <w:semiHidden/>
    <w:unhideWhenUsed/>
    <w:rsid w:val="00D22813"/>
    <w:pPr>
      <w:spacing w:after="0" w:line="240" w:lineRule="auto"/>
    </w:pPr>
    <w:rPr>
      <w:rFonts w:ascii="Lucida Grande" w:hAnsi="Lucida Grande" w:cs="Lucida Grande"/>
      <w:szCs w:val="24"/>
    </w:rPr>
  </w:style>
  <w:style w:type="character" w:customStyle="1" w:styleId="ExplorateurdedocumentsCar">
    <w:name w:val="Explorateur de documents Car"/>
    <w:basedOn w:val="Policepardfaut"/>
    <w:link w:val="Explorateurdedocuments"/>
    <w:uiPriority w:val="99"/>
    <w:semiHidden/>
    <w:rsid w:val="00D22813"/>
    <w:rPr>
      <w:rFonts w:ascii="Lucida Grande" w:hAnsi="Lucida Grande" w:cs="Lucida Grande"/>
      <w:sz w:val="24"/>
      <w:szCs w:val="24"/>
      <w:lang w:val="en-US"/>
    </w:rPr>
  </w:style>
  <w:style w:type="paragraph" w:styleId="Rvision">
    <w:name w:val="Revision"/>
    <w:hidden/>
    <w:uiPriority w:val="99"/>
    <w:semiHidden/>
    <w:rsid w:val="007A7580"/>
    <w:pPr>
      <w:spacing w:after="0" w:line="240" w:lineRule="auto"/>
    </w:pPr>
    <w:rPr>
      <w:lang w:val="en-US"/>
    </w:rPr>
  </w:style>
  <w:style w:type="character" w:styleId="Titredulivre">
    <w:name w:val="Book Title"/>
    <w:aliases w:val="Légende suppl"/>
    <w:uiPriority w:val="33"/>
    <w:qFormat/>
    <w:rsid w:val="000F045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38903">
      <w:bodyDiv w:val="1"/>
      <w:marLeft w:val="0"/>
      <w:marRight w:val="0"/>
      <w:marTop w:val="0"/>
      <w:marBottom w:val="0"/>
      <w:divBdr>
        <w:top w:val="none" w:sz="0" w:space="0" w:color="auto"/>
        <w:left w:val="none" w:sz="0" w:space="0" w:color="auto"/>
        <w:bottom w:val="none" w:sz="0" w:space="0" w:color="auto"/>
        <w:right w:val="none" w:sz="0" w:space="0" w:color="auto"/>
      </w:divBdr>
    </w:div>
    <w:div w:id="468400637">
      <w:bodyDiv w:val="1"/>
      <w:marLeft w:val="0"/>
      <w:marRight w:val="0"/>
      <w:marTop w:val="0"/>
      <w:marBottom w:val="0"/>
      <w:divBdr>
        <w:top w:val="none" w:sz="0" w:space="0" w:color="auto"/>
        <w:left w:val="none" w:sz="0" w:space="0" w:color="auto"/>
        <w:bottom w:val="none" w:sz="0" w:space="0" w:color="auto"/>
        <w:right w:val="none" w:sz="0" w:space="0" w:color="auto"/>
      </w:divBdr>
    </w:div>
    <w:div w:id="486023164">
      <w:bodyDiv w:val="1"/>
      <w:marLeft w:val="0"/>
      <w:marRight w:val="0"/>
      <w:marTop w:val="0"/>
      <w:marBottom w:val="0"/>
      <w:divBdr>
        <w:top w:val="none" w:sz="0" w:space="0" w:color="auto"/>
        <w:left w:val="none" w:sz="0" w:space="0" w:color="auto"/>
        <w:bottom w:val="none" w:sz="0" w:space="0" w:color="auto"/>
        <w:right w:val="none" w:sz="0" w:space="0" w:color="auto"/>
      </w:divBdr>
    </w:div>
    <w:div w:id="586234788">
      <w:bodyDiv w:val="1"/>
      <w:marLeft w:val="0"/>
      <w:marRight w:val="0"/>
      <w:marTop w:val="0"/>
      <w:marBottom w:val="0"/>
      <w:divBdr>
        <w:top w:val="none" w:sz="0" w:space="0" w:color="auto"/>
        <w:left w:val="none" w:sz="0" w:space="0" w:color="auto"/>
        <w:bottom w:val="none" w:sz="0" w:space="0" w:color="auto"/>
        <w:right w:val="none" w:sz="0" w:space="0" w:color="auto"/>
      </w:divBdr>
      <w:divsChild>
        <w:div w:id="469441545">
          <w:marLeft w:val="0"/>
          <w:marRight w:val="0"/>
          <w:marTop w:val="0"/>
          <w:marBottom w:val="0"/>
          <w:divBdr>
            <w:top w:val="none" w:sz="0" w:space="0" w:color="auto"/>
            <w:left w:val="none" w:sz="0" w:space="0" w:color="auto"/>
            <w:bottom w:val="none" w:sz="0" w:space="0" w:color="auto"/>
            <w:right w:val="none" w:sz="0" w:space="0" w:color="auto"/>
          </w:divBdr>
          <w:divsChild>
            <w:div w:id="1329361642">
              <w:marLeft w:val="0"/>
              <w:marRight w:val="0"/>
              <w:marTop w:val="0"/>
              <w:marBottom w:val="0"/>
              <w:divBdr>
                <w:top w:val="none" w:sz="0" w:space="0" w:color="auto"/>
                <w:left w:val="none" w:sz="0" w:space="0" w:color="auto"/>
                <w:bottom w:val="none" w:sz="0" w:space="0" w:color="auto"/>
                <w:right w:val="none" w:sz="0" w:space="0" w:color="auto"/>
              </w:divBdr>
              <w:divsChild>
                <w:div w:id="2096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5220">
      <w:bodyDiv w:val="1"/>
      <w:marLeft w:val="0"/>
      <w:marRight w:val="0"/>
      <w:marTop w:val="0"/>
      <w:marBottom w:val="0"/>
      <w:divBdr>
        <w:top w:val="none" w:sz="0" w:space="0" w:color="auto"/>
        <w:left w:val="none" w:sz="0" w:space="0" w:color="auto"/>
        <w:bottom w:val="none" w:sz="0" w:space="0" w:color="auto"/>
        <w:right w:val="none" w:sz="0" w:space="0" w:color="auto"/>
      </w:divBdr>
    </w:div>
    <w:div w:id="758795863">
      <w:bodyDiv w:val="1"/>
      <w:marLeft w:val="0"/>
      <w:marRight w:val="0"/>
      <w:marTop w:val="0"/>
      <w:marBottom w:val="0"/>
      <w:divBdr>
        <w:top w:val="none" w:sz="0" w:space="0" w:color="auto"/>
        <w:left w:val="none" w:sz="0" w:space="0" w:color="auto"/>
        <w:bottom w:val="none" w:sz="0" w:space="0" w:color="auto"/>
        <w:right w:val="none" w:sz="0" w:space="0" w:color="auto"/>
      </w:divBdr>
    </w:div>
    <w:div w:id="838664213">
      <w:bodyDiv w:val="1"/>
      <w:marLeft w:val="0"/>
      <w:marRight w:val="0"/>
      <w:marTop w:val="0"/>
      <w:marBottom w:val="0"/>
      <w:divBdr>
        <w:top w:val="none" w:sz="0" w:space="0" w:color="auto"/>
        <w:left w:val="none" w:sz="0" w:space="0" w:color="auto"/>
        <w:bottom w:val="none" w:sz="0" w:space="0" w:color="auto"/>
        <w:right w:val="none" w:sz="0" w:space="0" w:color="auto"/>
      </w:divBdr>
    </w:div>
    <w:div w:id="1090811988">
      <w:bodyDiv w:val="1"/>
      <w:marLeft w:val="0"/>
      <w:marRight w:val="0"/>
      <w:marTop w:val="0"/>
      <w:marBottom w:val="0"/>
      <w:divBdr>
        <w:top w:val="none" w:sz="0" w:space="0" w:color="auto"/>
        <w:left w:val="none" w:sz="0" w:space="0" w:color="auto"/>
        <w:bottom w:val="none" w:sz="0" w:space="0" w:color="auto"/>
        <w:right w:val="none" w:sz="0" w:space="0" w:color="auto"/>
      </w:divBdr>
    </w:div>
    <w:div w:id="1099184214">
      <w:bodyDiv w:val="1"/>
      <w:marLeft w:val="0"/>
      <w:marRight w:val="0"/>
      <w:marTop w:val="0"/>
      <w:marBottom w:val="0"/>
      <w:divBdr>
        <w:top w:val="none" w:sz="0" w:space="0" w:color="auto"/>
        <w:left w:val="none" w:sz="0" w:space="0" w:color="auto"/>
        <w:bottom w:val="none" w:sz="0" w:space="0" w:color="auto"/>
        <w:right w:val="none" w:sz="0" w:space="0" w:color="auto"/>
      </w:divBdr>
    </w:div>
    <w:div w:id="1143699333">
      <w:bodyDiv w:val="1"/>
      <w:marLeft w:val="0"/>
      <w:marRight w:val="0"/>
      <w:marTop w:val="0"/>
      <w:marBottom w:val="0"/>
      <w:divBdr>
        <w:top w:val="none" w:sz="0" w:space="0" w:color="auto"/>
        <w:left w:val="none" w:sz="0" w:space="0" w:color="auto"/>
        <w:bottom w:val="none" w:sz="0" w:space="0" w:color="auto"/>
        <w:right w:val="none" w:sz="0" w:space="0" w:color="auto"/>
      </w:divBdr>
    </w:div>
    <w:div w:id="1702899298">
      <w:bodyDiv w:val="1"/>
      <w:marLeft w:val="0"/>
      <w:marRight w:val="0"/>
      <w:marTop w:val="0"/>
      <w:marBottom w:val="0"/>
      <w:divBdr>
        <w:top w:val="none" w:sz="0" w:space="0" w:color="auto"/>
        <w:left w:val="none" w:sz="0" w:space="0" w:color="auto"/>
        <w:bottom w:val="none" w:sz="0" w:space="0" w:color="auto"/>
        <w:right w:val="none" w:sz="0" w:space="0" w:color="auto"/>
      </w:divBdr>
    </w:div>
    <w:div w:id="1709333580">
      <w:bodyDiv w:val="1"/>
      <w:marLeft w:val="0"/>
      <w:marRight w:val="0"/>
      <w:marTop w:val="0"/>
      <w:marBottom w:val="0"/>
      <w:divBdr>
        <w:top w:val="none" w:sz="0" w:space="0" w:color="auto"/>
        <w:left w:val="none" w:sz="0" w:space="0" w:color="auto"/>
        <w:bottom w:val="none" w:sz="0" w:space="0" w:color="auto"/>
        <w:right w:val="none" w:sz="0" w:space="0" w:color="auto"/>
      </w:divBdr>
      <w:divsChild>
        <w:div w:id="1642925296">
          <w:marLeft w:val="0"/>
          <w:marRight w:val="0"/>
          <w:marTop w:val="0"/>
          <w:marBottom w:val="0"/>
          <w:divBdr>
            <w:top w:val="none" w:sz="0" w:space="0" w:color="auto"/>
            <w:left w:val="none" w:sz="0" w:space="0" w:color="auto"/>
            <w:bottom w:val="none" w:sz="0" w:space="0" w:color="auto"/>
            <w:right w:val="none" w:sz="0" w:space="0" w:color="auto"/>
          </w:divBdr>
          <w:divsChild>
            <w:div w:id="1075585302">
              <w:marLeft w:val="0"/>
              <w:marRight w:val="0"/>
              <w:marTop w:val="0"/>
              <w:marBottom w:val="0"/>
              <w:divBdr>
                <w:top w:val="none" w:sz="0" w:space="0" w:color="auto"/>
                <w:left w:val="none" w:sz="0" w:space="0" w:color="auto"/>
                <w:bottom w:val="none" w:sz="0" w:space="0" w:color="auto"/>
                <w:right w:val="none" w:sz="0" w:space="0" w:color="auto"/>
              </w:divBdr>
              <w:divsChild>
                <w:div w:id="4355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18145">
      <w:bodyDiv w:val="1"/>
      <w:marLeft w:val="0"/>
      <w:marRight w:val="0"/>
      <w:marTop w:val="0"/>
      <w:marBottom w:val="0"/>
      <w:divBdr>
        <w:top w:val="none" w:sz="0" w:space="0" w:color="auto"/>
        <w:left w:val="none" w:sz="0" w:space="0" w:color="auto"/>
        <w:bottom w:val="none" w:sz="0" w:space="0" w:color="auto"/>
        <w:right w:val="none" w:sz="0" w:space="0" w:color="auto"/>
      </w:divBdr>
    </w:div>
    <w:div w:id="1736782722">
      <w:bodyDiv w:val="1"/>
      <w:marLeft w:val="0"/>
      <w:marRight w:val="0"/>
      <w:marTop w:val="0"/>
      <w:marBottom w:val="0"/>
      <w:divBdr>
        <w:top w:val="none" w:sz="0" w:space="0" w:color="auto"/>
        <w:left w:val="none" w:sz="0" w:space="0" w:color="auto"/>
        <w:bottom w:val="none" w:sz="0" w:space="0" w:color="auto"/>
        <w:right w:val="none" w:sz="0" w:space="0" w:color="auto"/>
      </w:divBdr>
    </w:div>
    <w:div w:id="1792700108">
      <w:bodyDiv w:val="1"/>
      <w:marLeft w:val="0"/>
      <w:marRight w:val="0"/>
      <w:marTop w:val="0"/>
      <w:marBottom w:val="0"/>
      <w:divBdr>
        <w:top w:val="none" w:sz="0" w:space="0" w:color="auto"/>
        <w:left w:val="none" w:sz="0" w:space="0" w:color="auto"/>
        <w:bottom w:val="none" w:sz="0" w:space="0" w:color="auto"/>
        <w:right w:val="none" w:sz="0" w:space="0" w:color="auto"/>
      </w:divBdr>
    </w:div>
    <w:div w:id="195894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4184E-AFF1-4F15-B880-A1FFAE13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12649</Words>
  <Characters>69570</Characters>
  <Application>Microsoft Office Word</Application>
  <DocSecurity>0</DocSecurity>
  <Lines>579</Lines>
  <Paragraphs>164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APHP</Company>
  <LinksUpToDate>false</LinksUpToDate>
  <CharactersWithSpaces>82055</CharactersWithSpaces>
  <SharedDoc>false</SharedDoc>
  <HLinks>
    <vt:vector size="6" baseType="variant">
      <vt:variant>
        <vt:i4>5505086</vt:i4>
      </vt:variant>
      <vt:variant>
        <vt:i4>0</vt:i4>
      </vt:variant>
      <vt:variant>
        <vt:i4>0</vt:i4>
      </vt:variant>
      <vt:variant>
        <vt:i4>5</vt:i4>
      </vt:variant>
      <vt:variant>
        <vt:lpwstr>mailto:alain.weill@cnamts.fr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LAANANI Moussa</dc:creator>
  <cp:lastModifiedBy>LAANANI MOUSSA</cp:lastModifiedBy>
  <cp:revision>3</cp:revision>
  <cp:lastPrinted>2019-07-03T14:37:00Z</cp:lastPrinted>
  <dcterms:created xsi:type="dcterms:W3CDTF">2019-12-19T15:30:00Z</dcterms:created>
  <dcterms:modified xsi:type="dcterms:W3CDTF">2019-12-20T18:12:00Z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id="qWrtd83x"/&gt;&lt;style id="http://www.zotero.org/styles/vancouver-superscript" locale="en-GB" hasBibliography="1" bibliographyStyleHasBeenSet="0"/&gt;&lt;prefs&gt;&lt;pref name="fieldType" value="Field"/&gt;&lt;pref na</vt:lpwstr>
  </property>
  <property fmtid="{D5CDD505-2E9C-101B-9397-08002B2CF9AE}" pid="3" name="ZOTERO_PREF_2">
    <vt:lpwstr>me="automaticJournalAbbreviations" value="true"/&gt;&lt;/prefs&gt;&lt;/data&gt;</vt:lpwstr>
  </property>
</Properties>
</file>