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086C" w:rsidRDefault="003F76B6">
      <w:pPr>
        <w:pStyle w:val="Standard"/>
        <w:jc w:val="both"/>
      </w:pPr>
      <w:bookmarkStart w:id="0" w:name="_GoBack"/>
      <w:bookmarkEnd w:id="0"/>
      <w:r>
        <w:rPr>
          <w:rFonts w:ascii="Calibri" w:hAnsi="Calibri"/>
          <w:b/>
          <w:color w:val="FF0000"/>
        </w:rPr>
        <w:t>SUPPLEMENTARY TABLE 3</w:t>
      </w:r>
      <w:r>
        <w:rPr>
          <w:rFonts w:ascii="Calibri" w:hAnsi="Calibri"/>
          <w:b/>
        </w:rPr>
        <w:t>.</w:t>
      </w:r>
      <w:r>
        <w:rPr>
          <w:rFonts w:ascii="Calibri" w:hAnsi="Calibri"/>
          <w:color w:val="004D75"/>
        </w:rPr>
        <w:t xml:space="preserve"> </w:t>
      </w:r>
      <w:r>
        <w:rPr>
          <w:rFonts w:ascii="Calibri" w:hAnsi="Calibri" w:cs="Calibri"/>
          <w:bCs/>
        </w:rPr>
        <w:t>Predictors of having sought healthcare for constipation among those who met Rome IV CIC criteria (n = 1,128).</w:t>
      </w:r>
    </w:p>
    <w:p w:rsidR="0086086C" w:rsidRDefault="0086086C">
      <w:pPr>
        <w:pStyle w:val="Standard"/>
        <w:tabs>
          <w:tab w:val="left" w:pos="270"/>
        </w:tabs>
        <w:spacing w:line="276" w:lineRule="auto"/>
        <w:rPr>
          <w:rFonts w:ascii="Calibri" w:hAnsi="Calibri" w:cs="Calibri"/>
        </w:rPr>
      </w:pPr>
    </w:p>
    <w:tbl>
      <w:tblPr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25"/>
        <w:gridCol w:w="2464"/>
        <w:gridCol w:w="2465"/>
      </w:tblGrid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lang w:eastAsia="en-US"/>
              </w:rPr>
              <w:t>Variable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lang w:eastAsia="en-US"/>
              </w:rPr>
              <w:t>Sought healthcare for constipation</w:t>
            </w:r>
          </w:p>
          <w:p w:rsidR="0086086C" w:rsidRDefault="003F76B6">
            <w:pPr>
              <w:pStyle w:val="Standard"/>
              <w:jc w:val="center"/>
            </w:pPr>
            <w:r>
              <w:rPr>
                <w:rFonts w:ascii="Calibri" w:hAnsi="Calibri" w:cs="Calibri"/>
                <w:b/>
                <w:lang w:eastAsia="en-US"/>
              </w:rPr>
              <w:t xml:space="preserve">(n = </w:t>
            </w:r>
            <w:r>
              <w:rPr>
                <w:rFonts w:ascii="Calibri" w:hAnsi="Calibri" w:cs="Calibri"/>
                <w:b/>
                <w:lang w:eastAsia="en-US"/>
              </w:rPr>
              <w:t>553)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jc w:val="center"/>
            </w:pPr>
            <w:r>
              <w:rPr>
                <w:rFonts w:ascii="Calibri" w:hAnsi="Calibri"/>
                <w:b/>
                <w:color w:val="000000"/>
                <w:lang w:eastAsia="en-US"/>
              </w:rPr>
              <w:t>OR [95% CI]</w:t>
            </w:r>
            <w:r>
              <w:rPr>
                <w:rFonts w:ascii="Calibri" w:hAnsi="Calibri"/>
                <w:b/>
                <w:bCs/>
                <w:color w:val="000000"/>
                <w:lang w:eastAsia="en-US"/>
              </w:rPr>
              <w:t xml:space="preserve"> </w:t>
            </w:r>
            <w:r>
              <w:rPr>
                <w:rFonts w:ascii="Calibri" w:hAnsi="Calibri" w:cs="Helvetica"/>
                <w:b/>
                <w:bCs/>
                <w:color w:val="262626"/>
                <w:lang w:eastAsia="en-US"/>
              </w:rPr>
              <w:t>*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Age (years)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–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1.00 [0.99–1.01]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Sex: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Female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326 (47.8%)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Male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227 (50.9%)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1.13 [0.85–1.49]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tabs>
                <w:tab w:val="left" w:pos="698"/>
              </w:tabs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Race/ethnicity: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Non-Hispanic white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418 (48.6%)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Non-Hispanic black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47 (52.8%)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1.27 [0.77–2.11]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Latino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44 (51.8%)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1.08 [0.63–1.83]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Non-Hispanic Asian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13 (34.2%)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0.73 [0.33–1.58]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Other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31 (55.4%)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2.34 [1.25–4.38]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Educational attainment: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Less than high school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33 (48.5%)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High school degree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105 (49.3%)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1.10</w:t>
            </w:r>
            <w:r>
              <w:rPr>
                <w:rFonts w:ascii="Calibri" w:hAnsi="Calibri"/>
                <w:color w:val="000000"/>
                <w:lang w:eastAsia="en-US"/>
              </w:rPr>
              <w:t xml:space="preserve"> [0.60–2.02]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Some college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155 (45.6%)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1.09 [0.60–1.97]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College degree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181 (49.7%)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1.16 [0.64–2.11]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Advanced graduate degree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79 (55.2%)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1.47 [0.75–2.90]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Marital status: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Never married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103 (40.4%)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 xml:space="preserve">Divorced,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separated, or widowed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102 (56.0%)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1.57 [0.98–2.50]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Married or in a long-term relationship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348 (50.4%)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1.16 [0.82–1.65]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Employment status: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Unemployed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238 (50.4%)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Employed or full-time student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315 (48.0%)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1.10 [0.81–1.49]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 xml:space="preserve">Total </w:t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household income, $: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  <w:t>0–50,000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228 (46.4%)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  <w:t>50,001–100,000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220 (52.5%)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1.38 [1.01–1.90]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  <w:t>100,001–200,000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76 (48.7%)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1.00 [0.64–1.55]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  <w:t>≥200,001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14 (51.9%)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1.51 [0.63–3.63]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ab/>
              <w:t>Prefer not to say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15 (42.9%)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1.30 [0.60–2.82]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U.S. region: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</w: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Northeast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105 (50.0%)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South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212 (50.6%)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1.21 [0.84–1.76]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val="fr-FR" w:eastAsia="en-US"/>
              </w:rPr>
              <w:tab/>
              <w:t>Midwest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124 (47.9%)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1.02 [0.68–1.52]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West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112 (46.7%)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0.90 [0.59–1.36]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Usual source of care: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93 (28.5%)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460 (57.4%)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2.75 [2.02–3.74]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Health insurance status: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Uninsured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26 (24.1%)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lastRenderedPageBreak/>
              <w:tab/>
              <w:t>Insured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527 (51.7%)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2.75 [1.64–4.59]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Has comorbidity that affects GI tract: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244 (38.5%)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309 (62.4%)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2.05 [1.55–2.70]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Has neurologic condition: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475 (46.8%)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78 (69.0%)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 xml:space="preserve">1.54 </w:t>
            </w:r>
            <w:r>
              <w:rPr>
                <w:rFonts w:ascii="Calibri" w:hAnsi="Calibri"/>
                <w:color w:val="000000"/>
                <w:lang w:eastAsia="en-US"/>
              </w:rPr>
              <w:t>[0.95–2.48]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>Has psychiatric condition: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86086C">
            <w:pPr>
              <w:pStyle w:val="Standard"/>
              <w:spacing w:line="254" w:lineRule="auto"/>
              <w:ind w:left="-63"/>
              <w:jc w:val="center"/>
              <w:rPr>
                <w:rFonts w:ascii="Calibri" w:hAnsi="Calibri"/>
                <w:color w:val="000000"/>
                <w:lang w:eastAsia="en-US"/>
              </w:rPr>
            </w:pP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No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272 (44.7%)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Reference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eastAsia="en-US"/>
              </w:rPr>
              <w:tab/>
              <w:t>Yes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281 (54.0%)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1.23 [0.93–1.62]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hAnsi="Calibri" w:cs="Calibri"/>
                <w:color w:val="000000"/>
                <w:lang w:eastAsia="en-US"/>
              </w:rPr>
              <w:t xml:space="preserve">Locus of control (1–5 scale) </w:t>
            </w:r>
            <w:r>
              <w:rPr>
                <w:rFonts w:ascii="Calibri" w:hAnsi="Calibri" w:cs="Helvetica"/>
                <w:color w:val="000000"/>
                <w:lang w:val="fr-FR" w:eastAsia="en-US"/>
              </w:rPr>
              <w:t>†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–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1.36 [1.14–1.61]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492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spacing w:line="254" w:lineRule="auto"/>
            </w:pPr>
            <w:r>
              <w:rPr>
                <w:rFonts w:ascii="Calibri" w:eastAsia="Times New Roman" w:hAnsi="Calibri" w:cs="Calibri"/>
                <w:color w:val="000000"/>
                <w:lang w:val="fr-FR" w:eastAsia="en-US"/>
              </w:rPr>
              <w:t xml:space="preserve">NIH PROMIS constipation score (T-score) </w:t>
            </w:r>
            <w:r>
              <w:rPr>
                <w:rFonts w:ascii="Calibri" w:hAnsi="Calibri" w:cs="Calibri"/>
                <w:color w:val="000000"/>
                <w:lang w:val="fr-FR" w:eastAsia="en-US"/>
              </w:rPr>
              <w:t>‡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eastAsia="en-US"/>
              </w:rPr>
              <w:t>–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6086C" w:rsidRDefault="003F76B6">
            <w:pPr>
              <w:pStyle w:val="Standard"/>
              <w:spacing w:line="254" w:lineRule="auto"/>
              <w:ind w:left="-63"/>
              <w:jc w:val="center"/>
            </w:pPr>
            <w:r>
              <w:rPr>
                <w:rFonts w:ascii="Calibri" w:hAnsi="Calibri"/>
                <w:color w:val="000000"/>
                <w:lang w:val="fr-FR" w:eastAsia="en-US"/>
              </w:rPr>
              <w:t>1.06 [1.03–1.09]</w:t>
            </w:r>
          </w:p>
        </w:tc>
      </w:tr>
      <w:tr w:rsidR="0086086C">
        <w:tblPrEx>
          <w:tblCellMar>
            <w:top w:w="0" w:type="dxa"/>
            <w:bottom w:w="0" w:type="dxa"/>
          </w:tblCellMar>
        </w:tblPrEx>
        <w:tc>
          <w:tcPr>
            <w:tcW w:w="9854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6086C" w:rsidRDefault="003F76B6">
            <w:pPr>
              <w:pStyle w:val="Standard"/>
              <w:tabs>
                <w:tab w:val="left" w:pos="289"/>
              </w:tabs>
              <w:ind w:left="-58"/>
              <w:jc w:val="both"/>
            </w:pPr>
            <w:r>
              <w:rPr>
                <w:rFonts w:ascii="Calibri" w:hAnsi="Calibri"/>
                <w:color w:val="000000"/>
                <w:lang w:eastAsia="en-US"/>
              </w:rPr>
              <w:t>Data are presented as n (% of row).</w:t>
            </w:r>
          </w:p>
          <w:p w:rsidR="0086086C" w:rsidRDefault="003F76B6">
            <w:pPr>
              <w:pStyle w:val="Standard"/>
              <w:tabs>
                <w:tab w:val="left" w:pos="289"/>
              </w:tabs>
              <w:ind w:left="-58"/>
              <w:jc w:val="both"/>
            </w:pPr>
            <w:r>
              <w:rPr>
                <w:rFonts w:ascii="Calibri" w:hAnsi="Calibri"/>
                <w:color w:val="000000"/>
                <w:lang w:eastAsia="en-US"/>
              </w:rPr>
              <w:t xml:space="preserve">CI, confidence interval; </w:t>
            </w:r>
            <w:r>
              <w:rPr>
                <w:rFonts w:ascii="Calibri" w:hAnsi="Calibri" w:cs="Calibri"/>
                <w:lang w:eastAsia="en-US"/>
              </w:rPr>
              <w:t xml:space="preserve">CIC, chronic idiopathic constipation; </w:t>
            </w:r>
            <w:r>
              <w:rPr>
                <w:rFonts w:ascii="Calibri" w:hAnsi="Calibri"/>
                <w:color w:val="000000"/>
                <w:lang w:eastAsia="en-US"/>
              </w:rPr>
              <w:t>GI, gastrointestinal; NIH PROMIS, National Institutes of Health Patient-Reported Outcomes Measurement Information System; OR, odds ratio.</w:t>
            </w:r>
          </w:p>
          <w:p w:rsidR="0086086C" w:rsidRDefault="003F76B6">
            <w:pPr>
              <w:pStyle w:val="Standard"/>
              <w:tabs>
                <w:tab w:val="left" w:pos="284"/>
              </w:tabs>
              <w:ind w:left="-63"/>
              <w:jc w:val="both"/>
            </w:pPr>
            <w:r>
              <w:rPr>
                <w:rFonts w:ascii="Calibri" w:hAnsi="Calibri"/>
                <w:color w:val="000000"/>
                <w:lang w:eastAsia="en-US"/>
              </w:rPr>
              <w:t>*</w:t>
            </w:r>
            <w:r>
              <w:rPr>
                <w:rFonts w:ascii="Calibri" w:hAnsi="Calibri"/>
                <w:color w:val="000000"/>
                <w:lang w:eastAsia="en-US"/>
              </w:rPr>
              <w:tab/>
              <w:t xml:space="preserve">The logistic regression model adjusted for all </w:t>
            </w:r>
            <w:r>
              <w:rPr>
                <w:rFonts w:ascii="Calibri" w:hAnsi="Calibri"/>
                <w:color w:val="000000"/>
                <w:lang w:eastAsia="en-US"/>
              </w:rPr>
              <w:t>covariates in the table.</w:t>
            </w:r>
          </w:p>
          <w:p w:rsidR="0086086C" w:rsidRDefault="003F76B6">
            <w:pPr>
              <w:pStyle w:val="Standard"/>
              <w:tabs>
                <w:tab w:val="left" w:pos="284"/>
              </w:tabs>
              <w:ind w:left="-63"/>
              <w:jc w:val="both"/>
            </w:pPr>
            <w:r>
              <w:rPr>
                <w:rFonts w:ascii="Calibri" w:hAnsi="Calibri" w:cs="Helvetica"/>
                <w:color w:val="000000"/>
                <w:lang w:eastAsia="en-US"/>
              </w:rPr>
              <w:t>†</w:t>
            </w:r>
            <w:r>
              <w:rPr>
                <w:rFonts w:ascii="Calibri" w:hAnsi="Calibri" w:cs="Helvetica"/>
                <w:color w:val="000000"/>
                <w:lang w:eastAsia="en-US"/>
              </w:rPr>
              <w:tab/>
            </w:r>
            <w:r>
              <w:rPr>
                <w:rFonts w:ascii="Calibri" w:hAnsi="Calibri"/>
                <w:color w:val="000000"/>
                <w:lang w:eastAsia="en-US"/>
              </w:rPr>
              <w:t>Higher score corresponds to lower locus of control.</w:t>
            </w:r>
          </w:p>
          <w:p w:rsidR="0086086C" w:rsidRDefault="003F76B6">
            <w:pPr>
              <w:pStyle w:val="Standard"/>
              <w:tabs>
                <w:tab w:val="left" w:pos="284"/>
              </w:tabs>
              <w:ind w:left="-63"/>
              <w:jc w:val="both"/>
            </w:pPr>
            <w:r>
              <w:rPr>
                <w:rFonts w:ascii="Calibri" w:hAnsi="Calibri"/>
                <w:color w:val="000000"/>
                <w:lang w:eastAsia="en-US"/>
              </w:rPr>
              <w:t>‡ </w:t>
            </w:r>
            <w:r>
              <w:rPr>
                <w:rFonts w:ascii="Calibri" w:hAnsi="Calibri"/>
                <w:color w:val="000000"/>
                <w:lang w:eastAsia="en-US"/>
              </w:rPr>
              <w:tab/>
            </w:r>
            <w:r>
              <w:rPr>
                <w:rFonts w:ascii="Calibri" w:hAnsi="Calibri" w:cs="Helvetica"/>
                <w:color w:val="000000"/>
                <w:lang w:eastAsia="en-US"/>
              </w:rPr>
              <w:t>Higher score corresponds to more severe symptoms.</w:t>
            </w:r>
          </w:p>
        </w:tc>
      </w:tr>
    </w:tbl>
    <w:p w:rsidR="0086086C" w:rsidRDefault="0086086C">
      <w:pPr>
        <w:pStyle w:val="Standard"/>
        <w:rPr>
          <w:rFonts w:ascii="Calibri" w:hAnsi="Calibri"/>
          <w:b/>
          <w:color w:val="FF0000"/>
        </w:rPr>
      </w:pPr>
    </w:p>
    <w:sectPr w:rsidR="0086086C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3F76B6">
      <w:r>
        <w:separator/>
      </w:r>
    </w:p>
  </w:endnote>
  <w:endnote w:type="continuationSeparator" w:id="0">
    <w:p w:rsidR="00000000" w:rsidRDefault="003F7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3F76B6">
      <w:r>
        <w:rPr>
          <w:color w:val="000000"/>
        </w:rPr>
        <w:separator/>
      </w:r>
    </w:p>
  </w:footnote>
  <w:footnote w:type="continuationSeparator" w:id="0">
    <w:p w:rsidR="00000000" w:rsidRDefault="003F7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86086C"/>
    <w:rsid w:val="003F76B6"/>
    <w:rsid w:val="00860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NSimSun" w:hAnsi="Liberation Serif" w:cs="Lucida Sans"/>
        <w:kern w:val="3"/>
        <w:sz w:val="24"/>
        <w:szCs w:val="24"/>
        <w:lang w:val="en-IN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Login Mail</dc:creator>
  <cp:lastModifiedBy>Login Mail</cp:lastModifiedBy>
  <cp:revision>2</cp:revision>
  <dcterms:created xsi:type="dcterms:W3CDTF">2020-03-14T05:37:00Z</dcterms:created>
  <dcterms:modified xsi:type="dcterms:W3CDTF">2020-03-14T05:37:00Z</dcterms:modified>
</cp:coreProperties>
</file>