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F0" w:rsidRDefault="000625F0" w:rsidP="0006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Appendix I.</w:t>
      </w:r>
    </w:p>
    <w:p w:rsidR="000625F0" w:rsidRPr="00500B3E" w:rsidRDefault="000625F0" w:rsidP="000625F0">
      <w:pPr>
        <w:pStyle w:val="CommentTex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Acceptable provider types: </w:t>
      </w:r>
      <w:r w:rsidRPr="00500B3E">
        <w:rPr>
          <w:rFonts w:ascii="Times New Roman" w:hAnsi="Times New Roman" w:cs="Times New Roman"/>
          <w:sz w:val="24"/>
          <w:szCs w:val="24"/>
        </w:rPr>
        <w:t xml:space="preserve">gastroenterologist, general hospital, internist/general internist, pharmacy, home </w:t>
      </w:r>
      <w:r>
        <w:rPr>
          <w:rFonts w:ascii="Times New Roman" w:hAnsi="Times New Roman" w:cs="Times New Roman"/>
          <w:sz w:val="24"/>
          <w:szCs w:val="24"/>
        </w:rPr>
        <w:t>intravenous (</w:t>
      </w:r>
      <w:r w:rsidRPr="00500B3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0B3E">
        <w:rPr>
          <w:rFonts w:ascii="Times New Roman" w:hAnsi="Times New Roman" w:cs="Times New Roman"/>
          <w:sz w:val="24"/>
          <w:szCs w:val="24"/>
        </w:rPr>
        <w:t xml:space="preserve"> therapy provider, home health agency, pediatric gastroenterologist, family practitioner, family practice/general practice, internal medicine specialist, general practitioner, rheumatologist, hospital non-par out of area hospital, unknown provider type, pediatrician, clinic/day care facilities, home health/home infusion, medical supply house, nurse practitioner, rehabilitation facility/nursing home, colon &amp; rectal surgeon, hospital non-par in area hospital, physician assistant, hospitalist, general surgeon, urgent care center, independent laboratory, urgent care specialist, family nurse practitioner</w:t>
      </w:r>
    </w:p>
    <w:p w:rsidR="000625F0" w:rsidRDefault="000625F0" w:rsidP="0006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5F0" w:rsidRDefault="000625F0" w:rsidP="0006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II.</w:t>
      </w:r>
    </w:p>
    <w:p w:rsidR="000625F0" w:rsidRDefault="000625F0" w:rsidP="0006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Corticosteroids</w:t>
      </w:r>
      <w:r w:rsidRPr="000740D9">
        <w:rPr>
          <w:rFonts w:ascii="Times New Roman" w:hAnsi="Times New Roman" w:cs="Times New Roman"/>
          <w:sz w:val="24"/>
          <w:szCs w:val="24"/>
        </w:rPr>
        <w:t xml:space="preserve">: </w:t>
      </w:r>
      <w:r w:rsidRPr="000740D9">
        <w:rPr>
          <w:rFonts w:ascii="Times New Roman" w:hAnsi="Times New Roman" w:cs="Times New Roman"/>
          <w:color w:val="000000" w:themeColor="text1"/>
          <w:sz w:val="24"/>
          <w:szCs w:val="24"/>
        </w:rPr>
        <w:t>prednisone, prednisolone, methylprednisolone sodium succinate, hydrocortisone sodium succinate, hydrocortisone, budesonide</w:t>
      </w:r>
    </w:p>
    <w:p w:rsidR="00DD73A4" w:rsidRDefault="00DD73A4"/>
    <w:sectPr w:rsidR="00DD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0"/>
    <w:rsid w:val="000625F0"/>
    <w:rsid w:val="00922D10"/>
    <w:rsid w:val="00D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83F90-4663-4631-8C83-4657A12F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62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A902B389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 Stanford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 Kim, Nozomi</dc:creator>
  <cp:keywords/>
  <dc:description/>
  <cp:lastModifiedBy>Giese Kim, Nozomi</cp:lastModifiedBy>
  <cp:revision>2</cp:revision>
  <dcterms:created xsi:type="dcterms:W3CDTF">2020-03-20T02:05:00Z</dcterms:created>
  <dcterms:modified xsi:type="dcterms:W3CDTF">2020-03-20T02:05:00Z</dcterms:modified>
</cp:coreProperties>
</file>