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38B47" w14:textId="7D9A270A" w:rsidR="00811768" w:rsidRPr="000640F8" w:rsidRDefault="00811768" w:rsidP="003134C0">
      <w:pPr>
        <w:spacing w:before="240" w:after="0" w:line="480" w:lineRule="auto"/>
        <w:jc w:val="both"/>
        <w:rPr>
          <w:rFonts w:ascii="Arial" w:eastAsia="Cambria" w:hAnsi="Arial" w:cs="Arial"/>
          <w:b/>
          <w:sz w:val="26"/>
          <w:szCs w:val="26"/>
        </w:rPr>
      </w:pPr>
      <w:r w:rsidRPr="000640F8">
        <w:rPr>
          <w:rFonts w:ascii="Arial" w:eastAsia="Cambria" w:hAnsi="Arial" w:cs="Arial"/>
          <w:b/>
          <w:sz w:val="26"/>
          <w:szCs w:val="26"/>
        </w:rPr>
        <w:t>Appendix</w:t>
      </w:r>
    </w:p>
    <w:p w14:paraId="03F32386" w14:textId="4570F5D3" w:rsidR="00811768" w:rsidRPr="000640F8" w:rsidRDefault="00811768" w:rsidP="00811768">
      <w:pPr>
        <w:spacing w:after="0" w:line="276" w:lineRule="auto"/>
        <w:jc w:val="both"/>
        <w:rPr>
          <w:rFonts w:ascii="Arial" w:eastAsia="Cambria" w:hAnsi="Arial" w:cs="Arial"/>
          <w:bCs/>
        </w:rPr>
      </w:pPr>
      <w:r w:rsidRPr="000640F8">
        <w:rPr>
          <w:rFonts w:ascii="Arial" w:eastAsia="Cambria" w:hAnsi="Arial" w:cs="Arial"/>
          <w:bCs/>
        </w:rPr>
        <w:t>Appendix to ‘</w:t>
      </w:r>
      <w:r>
        <w:rPr>
          <w:rFonts w:ascii="Arial" w:eastAsia="Cambria" w:hAnsi="Arial" w:cs="Arial"/>
          <w:bCs/>
        </w:rPr>
        <w:t>Probiotics for celiac disease</w:t>
      </w:r>
      <w:r w:rsidRPr="000640F8">
        <w:rPr>
          <w:rFonts w:ascii="Arial" w:eastAsia="Cambria" w:hAnsi="Arial" w:cs="Arial"/>
          <w:bCs/>
        </w:rPr>
        <w:t>: a systematic review and meta-analysis</w:t>
      </w:r>
      <w:r>
        <w:rPr>
          <w:rFonts w:ascii="Arial" w:eastAsia="Cambria" w:hAnsi="Arial" w:cs="Arial"/>
          <w:bCs/>
        </w:rPr>
        <w:t xml:space="preserve"> of randomized controlled </w:t>
      </w:r>
      <w:r w:rsidR="009B3412">
        <w:rPr>
          <w:rFonts w:ascii="Arial" w:eastAsia="Cambria" w:hAnsi="Arial" w:cs="Arial"/>
          <w:bCs/>
        </w:rPr>
        <w:t>trials</w:t>
      </w:r>
      <w:r w:rsidRPr="000640F8">
        <w:rPr>
          <w:rFonts w:ascii="Arial" w:eastAsia="Cambria" w:hAnsi="Arial" w:cs="Arial"/>
          <w:bCs/>
        </w:rPr>
        <w:t>.</w:t>
      </w:r>
      <w:r w:rsidR="009B3412">
        <w:rPr>
          <w:rFonts w:ascii="Arial" w:eastAsia="Cambria" w:hAnsi="Arial" w:cs="Arial"/>
          <w:bCs/>
        </w:rPr>
        <w:t>’</w:t>
      </w:r>
      <w:r w:rsidRPr="000640F8">
        <w:rPr>
          <w:rFonts w:ascii="Arial" w:eastAsia="Cambria" w:hAnsi="Arial" w:cs="Arial"/>
          <w:bCs/>
        </w:rPr>
        <w:t xml:space="preserve"> </w:t>
      </w:r>
    </w:p>
    <w:p w14:paraId="21A6818E" w14:textId="64671A05" w:rsidR="00811768" w:rsidRPr="000640F8" w:rsidRDefault="00811768" w:rsidP="00811768">
      <w:pPr>
        <w:spacing w:after="0" w:line="276" w:lineRule="auto"/>
        <w:jc w:val="both"/>
        <w:rPr>
          <w:rFonts w:ascii="Arial" w:eastAsia="Cambria" w:hAnsi="Arial" w:cs="Arial"/>
          <w:bCs/>
        </w:rPr>
      </w:pPr>
      <w:r w:rsidRPr="000640F8">
        <w:rPr>
          <w:rFonts w:ascii="Arial" w:eastAsia="Cambria" w:hAnsi="Arial" w:cs="Arial"/>
          <w:bCs/>
        </w:rPr>
        <w:t xml:space="preserve">This appendix provides supplemental information on this systematic review. It is divided into </w:t>
      </w:r>
      <w:r w:rsidR="007D4001">
        <w:rPr>
          <w:rFonts w:ascii="Arial" w:eastAsia="Cambria" w:hAnsi="Arial" w:cs="Arial"/>
          <w:bCs/>
        </w:rPr>
        <w:t>four</w:t>
      </w:r>
      <w:r w:rsidRPr="000640F8">
        <w:rPr>
          <w:rFonts w:ascii="Arial" w:eastAsia="Cambria" w:hAnsi="Arial" w:cs="Arial"/>
          <w:bCs/>
        </w:rPr>
        <w:t xml:space="preserve"> appendices (Appendix 1 – </w:t>
      </w:r>
      <w:r w:rsidR="00500A39">
        <w:rPr>
          <w:rFonts w:ascii="Arial" w:eastAsia="Cambria" w:hAnsi="Arial" w:cs="Arial"/>
          <w:bCs/>
        </w:rPr>
        <w:t>12</w:t>
      </w:r>
      <w:r w:rsidRPr="000640F8">
        <w:rPr>
          <w:rFonts w:ascii="Arial" w:eastAsia="Cambria" w:hAnsi="Arial" w:cs="Arial"/>
          <w:bCs/>
        </w:rPr>
        <w:t xml:space="preserve">). </w:t>
      </w:r>
    </w:p>
    <w:p w14:paraId="0BC4EF11" w14:textId="77777777" w:rsidR="00811768" w:rsidRPr="000640F8" w:rsidRDefault="00811768" w:rsidP="00811768">
      <w:pPr>
        <w:spacing w:after="0" w:line="480" w:lineRule="auto"/>
        <w:jc w:val="both"/>
        <w:rPr>
          <w:rFonts w:ascii="Arial" w:eastAsia="Cambria" w:hAnsi="Arial" w:cs="Arial"/>
          <w:b/>
        </w:rPr>
      </w:pPr>
    </w:p>
    <w:p w14:paraId="1D1427C9" w14:textId="77777777" w:rsidR="00811768" w:rsidRPr="000640F8" w:rsidRDefault="00811768" w:rsidP="00811768">
      <w:pPr>
        <w:spacing w:after="0" w:line="480" w:lineRule="auto"/>
        <w:jc w:val="both"/>
        <w:rPr>
          <w:rFonts w:ascii="Arial" w:eastAsia="Cambria" w:hAnsi="Arial" w:cs="Arial"/>
          <w:b/>
          <w:sz w:val="24"/>
          <w:szCs w:val="24"/>
        </w:rPr>
      </w:pPr>
      <w:r w:rsidRPr="000640F8">
        <w:rPr>
          <w:rFonts w:ascii="Arial" w:eastAsia="Cambria" w:hAnsi="Arial" w:cs="Arial"/>
          <w:b/>
          <w:sz w:val="24"/>
          <w:szCs w:val="24"/>
        </w:rPr>
        <w:t>Table of Contents</w:t>
      </w:r>
    </w:p>
    <w:tbl>
      <w:tblPr>
        <w:tblStyle w:val="TableGrid"/>
        <w:tblW w:w="0" w:type="auto"/>
        <w:tblLook w:val="04A0" w:firstRow="1" w:lastRow="0" w:firstColumn="1" w:lastColumn="0" w:noHBand="0" w:noVBand="1"/>
      </w:tblPr>
      <w:tblGrid>
        <w:gridCol w:w="1890"/>
        <w:gridCol w:w="8187"/>
      </w:tblGrid>
      <w:tr w:rsidR="00811768" w:rsidRPr="000640F8" w14:paraId="6BD96A0A" w14:textId="77777777" w:rsidTr="00D9188B">
        <w:trPr>
          <w:trHeight w:val="697"/>
        </w:trPr>
        <w:tc>
          <w:tcPr>
            <w:tcW w:w="1890" w:type="dxa"/>
            <w:tcBorders>
              <w:top w:val="single" w:sz="4" w:space="0" w:color="FFFFFF" w:themeColor="background1"/>
              <w:left w:val="single" w:sz="4" w:space="0" w:color="FFFFFF" w:themeColor="background1"/>
              <w:right w:val="single" w:sz="4" w:space="0" w:color="FFFFFF" w:themeColor="background1"/>
            </w:tcBorders>
          </w:tcPr>
          <w:p w14:paraId="2946FDDF" w14:textId="77777777" w:rsidR="00811768" w:rsidRPr="000640F8" w:rsidRDefault="00811768" w:rsidP="000F01E7">
            <w:pPr>
              <w:spacing w:before="60" w:after="60" w:line="276" w:lineRule="auto"/>
              <w:jc w:val="both"/>
              <w:rPr>
                <w:rFonts w:ascii="Arial" w:eastAsia="Cambria" w:hAnsi="Arial" w:cs="Arial"/>
                <w:bCs/>
              </w:rPr>
            </w:pPr>
            <w:r w:rsidRPr="000640F8">
              <w:rPr>
                <w:rFonts w:ascii="Arial" w:eastAsia="Cambria" w:hAnsi="Arial" w:cs="Arial"/>
                <w:bCs/>
              </w:rPr>
              <w:t>Appendix 1</w:t>
            </w:r>
          </w:p>
        </w:tc>
        <w:tc>
          <w:tcPr>
            <w:tcW w:w="8187" w:type="dxa"/>
            <w:tcBorders>
              <w:top w:val="single" w:sz="4" w:space="0" w:color="FFFFFF" w:themeColor="background1"/>
              <w:left w:val="single" w:sz="4" w:space="0" w:color="FFFFFF" w:themeColor="background1"/>
              <w:right w:val="single" w:sz="4" w:space="0" w:color="FFFFFF" w:themeColor="background1"/>
            </w:tcBorders>
          </w:tcPr>
          <w:p w14:paraId="2386222A" w14:textId="777D97E5" w:rsidR="00811768" w:rsidRPr="000640F8" w:rsidRDefault="00811768" w:rsidP="000F01E7">
            <w:pPr>
              <w:spacing w:before="60" w:after="60" w:line="276" w:lineRule="auto"/>
              <w:jc w:val="both"/>
              <w:rPr>
                <w:rFonts w:ascii="Arial" w:eastAsia="Cambria" w:hAnsi="Arial" w:cs="Arial"/>
                <w:bCs/>
              </w:rPr>
            </w:pPr>
            <w:r w:rsidRPr="000640F8">
              <w:rPr>
                <w:rFonts w:ascii="Arial" w:eastAsia="Cambria" w:hAnsi="Arial" w:cs="Arial"/>
                <w:bCs/>
              </w:rPr>
              <w:t xml:space="preserve">MEDLINE search strategy for article selection (from 1 Jan 1970 to </w:t>
            </w:r>
            <w:r w:rsidR="00C45E46">
              <w:rPr>
                <w:rFonts w:ascii="Arial" w:eastAsia="Cambria" w:hAnsi="Arial" w:cs="Arial"/>
                <w:bCs/>
              </w:rPr>
              <w:t xml:space="preserve">5 </w:t>
            </w:r>
            <w:r w:rsidR="00962FB2">
              <w:rPr>
                <w:rFonts w:ascii="Arial" w:eastAsia="Cambria" w:hAnsi="Arial" w:cs="Arial"/>
                <w:bCs/>
              </w:rPr>
              <w:t>February</w:t>
            </w:r>
            <w:r w:rsidRPr="000640F8">
              <w:rPr>
                <w:rFonts w:ascii="Arial" w:eastAsia="Cambria" w:hAnsi="Arial" w:cs="Arial"/>
                <w:bCs/>
              </w:rPr>
              <w:t xml:space="preserve"> 2019).</w:t>
            </w:r>
          </w:p>
        </w:tc>
      </w:tr>
      <w:tr w:rsidR="00962FB2" w:rsidRPr="000640F8" w14:paraId="2B9215FC" w14:textId="77777777" w:rsidTr="00D9188B">
        <w:trPr>
          <w:trHeight w:val="408"/>
        </w:trPr>
        <w:tc>
          <w:tcPr>
            <w:tcW w:w="1890" w:type="dxa"/>
            <w:tcBorders>
              <w:left w:val="single" w:sz="4" w:space="0" w:color="FFFFFF" w:themeColor="background1"/>
              <w:right w:val="single" w:sz="4" w:space="0" w:color="FFFFFF" w:themeColor="background1"/>
            </w:tcBorders>
          </w:tcPr>
          <w:p w14:paraId="0EC5F819" w14:textId="77777777" w:rsidR="00962FB2" w:rsidRPr="000640F8" w:rsidRDefault="00962FB2" w:rsidP="00962FB2">
            <w:pPr>
              <w:spacing w:before="60" w:after="60" w:line="276" w:lineRule="auto"/>
              <w:jc w:val="both"/>
              <w:rPr>
                <w:rFonts w:ascii="Arial" w:eastAsia="Cambria" w:hAnsi="Arial" w:cs="Arial"/>
                <w:bCs/>
              </w:rPr>
            </w:pPr>
            <w:r w:rsidRPr="000640F8">
              <w:rPr>
                <w:rFonts w:ascii="Arial" w:eastAsia="Cambria" w:hAnsi="Arial" w:cs="Arial"/>
                <w:bCs/>
              </w:rPr>
              <w:t>Appendix 2</w:t>
            </w:r>
          </w:p>
        </w:tc>
        <w:tc>
          <w:tcPr>
            <w:tcW w:w="8187" w:type="dxa"/>
            <w:tcBorders>
              <w:left w:val="single" w:sz="4" w:space="0" w:color="FFFFFF" w:themeColor="background1"/>
              <w:right w:val="single" w:sz="4" w:space="0" w:color="FFFFFF" w:themeColor="background1"/>
            </w:tcBorders>
          </w:tcPr>
          <w:p w14:paraId="5BCB914D" w14:textId="25F45466" w:rsidR="00962FB2" w:rsidRPr="000640F8" w:rsidRDefault="002A779F" w:rsidP="00962FB2">
            <w:pPr>
              <w:spacing w:before="60" w:after="60" w:line="276" w:lineRule="auto"/>
              <w:jc w:val="both"/>
              <w:rPr>
                <w:rFonts w:ascii="Arial" w:eastAsia="Cambria" w:hAnsi="Arial" w:cs="Arial"/>
                <w:bCs/>
              </w:rPr>
            </w:pPr>
            <w:r w:rsidRPr="002A779F">
              <w:rPr>
                <w:rFonts w:ascii="Arial" w:eastAsia="Cambria" w:hAnsi="Arial" w:cs="Arial"/>
                <w:bCs/>
              </w:rPr>
              <w:t>Excluded studies and reasons for exclusion.</w:t>
            </w:r>
          </w:p>
        </w:tc>
      </w:tr>
      <w:tr w:rsidR="00962FB2" w:rsidRPr="000640F8" w14:paraId="4C2BADA7" w14:textId="77777777" w:rsidTr="00D9188B">
        <w:trPr>
          <w:trHeight w:val="408"/>
        </w:trPr>
        <w:tc>
          <w:tcPr>
            <w:tcW w:w="1890" w:type="dxa"/>
            <w:tcBorders>
              <w:left w:val="single" w:sz="4" w:space="0" w:color="FFFFFF" w:themeColor="background1"/>
              <w:right w:val="single" w:sz="4" w:space="0" w:color="FFFFFF" w:themeColor="background1"/>
            </w:tcBorders>
          </w:tcPr>
          <w:p w14:paraId="1E622450" w14:textId="77777777" w:rsidR="00962FB2" w:rsidRPr="000640F8" w:rsidRDefault="00962FB2" w:rsidP="00962FB2">
            <w:pPr>
              <w:spacing w:before="60" w:after="60" w:line="276" w:lineRule="auto"/>
              <w:jc w:val="both"/>
              <w:rPr>
                <w:rFonts w:ascii="Arial" w:eastAsia="Cambria" w:hAnsi="Arial" w:cs="Arial"/>
                <w:bCs/>
              </w:rPr>
            </w:pPr>
            <w:r w:rsidRPr="000640F8">
              <w:rPr>
                <w:rFonts w:ascii="Arial" w:eastAsia="Cambria" w:hAnsi="Arial" w:cs="Arial"/>
                <w:bCs/>
              </w:rPr>
              <w:t>Appendix 3</w:t>
            </w:r>
          </w:p>
        </w:tc>
        <w:tc>
          <w:tcPr>
            <w:tcW w:w="8187" w:type="dxa"/>
            <w:tcBorders>
              <w:left w:val="single" w:sz="4" w:space="0" w:color="FFFFFF" w:themeColor="background1"/>
              <w:right w:val="single" w:sz="4" w:space="0" w:color="FFFFFF" w:themeColor="background1"/>
            </w:tcBorders>
          </w:tcPr>
          <w:p w14:paraId="3617DAA5" w14:textId="2546FFE1" w:rsidR="00962FB2" w:rsidRPr="000640F8" w:rsidRDefault="002A779F" w:rsidP="00962FB2">
            <w:pPr>
              <w:spacing w:before="60" w:after="60" w:line="276" w:lineRule="auto"/>
              <w:jc w:val="both"/>
              <w:rPr>
                <w:rFonts w:ascii="Arial" w:eastAsia="Cambria" w:hAnsi="Arial" w:cs="Arial"/>
                <w:bCs/>
              </w:rPr>
            </w:pPr>
            <w:r w:rsidRPr="002A779F">
              <w:rPr>
                <w:rFonts w:ascii="Arial" w:eastAsia="Cambria" w:hAnsi="Arial" w:cs="Arial"/>
                <w:bCs/>
              </w:rPr>
              <w:t xml:space="preserve">Summary of </w:t>
            </w:r>
            <w:r w:rsidR="00F979D8">
              <w:rPr>
                <w:rFonts w:ascii="Arial" w:eastAsia="Cambria" w:hAnsi="Arial" w:cs="Arial"/>
                <w:bCs/>
              </w:rPr>
              <w:t>s</w:t>
            </w:r>
            <w:r w:rsidRPr="002A779F">
              <w:rPr>
                <w:rFonts w:ascii="Arial" w:eastAsia="Cambria" w:hAnsi="Arial" w:cs="Arial"/>
                <w:bCs/>
              </w:rPr>
              <w:t xml:space="preserve">tudies </w:t>
            </w:r>
            <w:r w:rsidR="00F979D8">
              <w:rPr>
                <w:rFonts w:ascii="Arial" w:eastAsia="Cambria" w:hAnsi="Arial" w:cs="Arial"/>
                <w:bCs/>
              </w:rPr>
              <w:t>e</w:t>
            </w:r>
            <w:r w:rsidRPr="002A779F">
              <w:rPr>
                <w:rFonts w:ascii="Arial" w:eastAsia="Cambria" w:hAnsi="Arial" w:cs="Arial"/>
                <w:bCs/>
              </w:rPr>
              <w:t xml:space="preserve">valuating the </w:t>
            </w:r>
            <w:r w:rsidR="00F979D8">
              <w:rPr>
                <w:rFonts w:ascii="Arial" w:eastAsia="Cambria" w:hAnsi="Arial" w:cs="Arial"/>
                <w:bCs/>
              </w:rPr>
              <w:t>e</w:t>
            </w:r>
            <w:r w:rsidRPr="002A779F">
              <w:rPr>
                <w:rFonts w:ascii="Arial" w:eastAsia="Cambria" w:hAnsi="Arial" w:cs="Arial"/>
                <w:bCs/>
              </w:rPr>
              <w:t xml:space="preserve">ffects of </w:t>
            </w:r>
            <w:r w:rsidR="00F979D8">
              <w:rPr>
                <w:rFonts w:ascii="Arial" w:eastAsia="Cambria" w:hAnsi="Arial" w:cs="Arial"/>
                <w:bCs/>
              </w:rPr>
              <w:t>p</w:t>
            </w:r>
            <w:r w:rsidRPr="002A779F">
              <w:rPr>
                <w:rFonts w:ascii="Arial" w:eastAsia="Cambria" w:hAnsi="Arial" w:cs="Arial"/>
                <w:bCs/>
              </w:rPr>
              <w:t>robiotics in CD.</w:t>
            </w:r>
          </w:p>
        </w:tc>
      </w:tr>
      <w:tr w:rsidR="00962FB2" w:rsidRPr="000640F8" w14:paraId="43677737" w14:textId="77777777" w:rsidTr="00D9188B">
        <w:trPr>
          <w:trHeight w:val="709"/>
        </w:trPr>
        <w:tc>
          <w:tcPr>
            <w:tcW w:w="1890" w:type="dxa"/>
            <w:tcBorders>
              <w:left w:val="single" w:sz="4" w:space="0" w:color="FFFFFF" w:themeColor="background1"/>
              <w:right w:val="single" w:sz="4" w:space="0" w:color="FFFFFF" w:themeColor="background1"/>
            </w:tcBorders>
          </w:tcPr>
          <w:p w14:paraId="42B1C4F9" w14:textId="77777777" w:rsidR="00962FB2" w:rsidRPr="000640F8" w:rsidRDefault="00962FB2" w:rsidP="00962FB2">
            <w:pPr>
              <w:spacing w:before="60" w:after="60" w:line="276" w:lineRule="auto"/>
              <w:jc w:val="both"/>
              <w:rPr>
                <w:rFonts w:ascii="Arial" w:eastAsia="Cambria" w:hAnsi="Arial" w:cs="Arial"/>
                <w:bCs/>
              </w:rPr>
            </w:pPr>
            <w:r w:rsidRPr="000640F8">
              <w:rPr>
                <w:rFonts w:ascii="Arial" w:eastAsia="Cambria" w:hAnsi="Arial" w:cs="Arial"/>
                <w:bCs/>
              </w:rPr>
              <w:t>Appendix 4</w:t>
            </w:r>
          </w:p>
        </w:tc>
        <w:tc>
          <w:tcPr>
            <w:tcW w:w="8187" w:type="dxa"/>
            <w:tcBorders>
              <w:left w:val="single" w:sz="4" w:space="0" w:color="FFFFFF" w:themeColor="background1"/>
              <w:right w:val="single" w:sz="4" w:space="0" w:color="FFFFFF" w:themeColor="background1"/>
            </w:tcBorders>
          </w:tcPr>
          <w:p w14:paraId="38DE4E1D" w14:textId="3FB6B4FB" w:rsidR="00962FB2" w:rsidRPr="000640F8" w:rsidRDefault="00962FB2" w:rsidP="00962FB2">
            <w:pPr>
              <w:spacing w:before="60" w:after="60" w:line="276" w:lineRule="auto"/>
              <w:jc w:val="both"/>
              <w:rPr>
                <w:rFonts w:ascii="Arial" w:eastAsia="Cambria" w:hAnsi="Arial" w:cs="Arial"/>
                <w:bCs/>
              </w:rPr>
            </w:pPr>
            <w:r w:rsidRPr="00962FB2">
              <w:rPr>
                <w:rFonts w:ascii="Arial" w:eastAsia="Cambria" w:hAnsi="Arial" w:cs="Arial"/>
                <w:bCs/>
              </w:rPr>
              <w:t xml:space="preserve">Effect of probiotics vs. placebo on GI symptoms, sub-grouped by </w:t>
            </w:r>
            <w:r w:rsidR="001649F9" w:rsidRPr="006C6325">
              <w:rPr>
                <w:rFonts w:ascii="Arial" w:eastAsia="Cambria" w:hAnsi="Arial" w:cs="Arial"/>
                <w:bCs/>
              </w:rPr>
              <w:t>presence of IBS diagnosis</w:t>
            </w:r>
            <w:r w:rsidRPr="00962FB2">
              <w:rPr>
                <w:rFonts w:ascii="Arial" w:eastAsia="Cambria" w:hAnsi="Arial" w:cs="Arial"/>
                <w:bCs/>
              </w:rPr>
              <w:t>.</w:t>
            </w:r>
          </w:p>
        </w:tc>
      </w:tr>
      <w:tr w:rsidR="006C6325" w:rsidRPr="000640F8" w14:paraId="658ED788" w14:textId="77777777" w:rsidTr="00D9188B">
        <w:trPr>
          <w:trHeight w:val="709"/>
        </w:trPr>
        <w:tc>
          <w:tcPr>
            <w:tcW w:w="1890" w:type="dxa"/>
            <w:tcBorders>
              <w:left w:val="single" w:sz="4" w:space="0" w:color="FFFFFF" w:themeColor="background1"/>
              <w:right w:val="single" w:sz="4" w:space="0" w:color="FFFFFF" w:themeColor="background1"/>
            </w:tcBorders>
          </w:tcPr>
          <w:p w14:paraId="7EB70AF3" w14:textId="20FFDD4D" w:rsidR="006C6325" w:rsidRPr="000640F8" w:rsidRDefault="006C6325" w:rsidP="00962FB2">
            <w:pPr>
              <w:spacing w:before="60" w:after="60" w:line="276" w:lineRule="auto"/>
              <w:jc w:val="both"/>
              <w:rPr>
                <w:rFonts w:ascii="Arial" w:eastAsia="Cambria" w:hAnsi="Arial" w:cs="Arial"/>
                <w:bCs/>
              </w:rPr>
            </w:pPr>
            <w:r>
              <w:rPr>
                <w:rFonts w:ascii="Arial" w:eastAsia="Cambria" w:hAnsi="Arial" w:cs="Arial"/>
                <w:bCs/>
              </w:rPr>
              <w:t>Appendix 5</w:t>
            </w:r>
          </w:p>
        </w:tc>
        <w:tc>
          <w:tcPr>
            <w:tcW w:w="8187" w:type="dxa"/>
            <w:tcBorders>
              <w:left w:val="single" w:sz="4" w:space="0" w:color="FFFFFF" w:themeColor="background1"/>
              <w:right w:val="single" w:sz="4" w:space="0" w:color="FFFFFF" w:themeColor="background1"/>
            </w:tcBorders>
          </w:tcPr>
          <w:p w14:paraId="4F2BFCD2" w14:textId="6FA4EEB3" w:rsidR="006C6325" w:rsidRPr="00962FB2" w:rsidRDefault="006C6325" w:rsidP="00962FB2">
            <w:pPr>
              <w:spacing w:before="60" w:after="60" w:line="276" w:lineRule="auto"/>
              <w:jc w:val="both"/>
              <w:rPr>
                <w:rFonts w:ascii="Arial" w:eastAsia="Cambria" w:hAnsi="Arial" w:cs="Arial"/>
                <w:bCs/>
              </w:rPr>
            </w:pPr>
            <w:r w:rsidRPr="006C6325">
              <w:rPr>
                <w:rFonts w:ascii="Arial" w:eastAsia="Cambria" w:hAnsi="Arial" w:cs="Arial"/>
                <w:bCs/>
              </w:rPr>
              <w:t>Effect of probiotics vs. placebo on GI symptoms, sub-grouped by</w:t>
            </w:r>
            <w:r w:rsidR="001649F9">
              <w:rPr>
                <w:rFonts w:ascii="Arial" w:eastAsia="Cambria" w:hAnsi="Arial" w:cs="Arial"/>
                <w:bCs/>
              </w:rPr>
              <w:t xml:space="preserve"> GFD adherence</w:t>
            </w:r>
            <w:r w:rsidRPr="006C6325">
              <w:rPr>
                <w:rFonts w:ascii="Arial" w:eastAsia="Cambria" w:hAnsi="Arial" w:cs="Arial"/>
                <w:bCs/>
              </w:rPr>
              <w:t>.</w:t>
            </w:r>
          </w:p>
        </w:tc>
      </w:tr>
      <w:tr w:rsidR="001F190F" w:rsidRPr="000640F8" w14:paraId="65D96F21" w14:textId="77777777" w:rsidTr="00D9188B">
        <w:trPr>
          <w:trHeight w:val="709"/>
        </w:trPr>
        <w:tc>
          <w:tcPr>
            <w:tcW w:w="1890" w:type="dxa"/>
            <w:tcBorders>
              <w:left w:val="single" w:sz="4" w:space="0" w:color="FFFFFF" w:themeColor="background1"/>
              <w:right w:val="single" w:sz="4" w:space="0" w:color="FFFFFF" w:themeColor="background1"/>
            </w:tcBorders>
          </w:tcPr>
          <w:p w14:paraId="29FBA8C7" w14:textId="40F8D991" w:rsidR="001F190F" w:rsidRPr="000640F8" w:rsidRDefault="001F190F" w:rsidP="00962FB2">
            <w:pPr>
              <w:spacing w:before="60" w:after="60" w:line="276" w:lineRule="auto"/>
              <w:jc w:val="both"/>
              <w:rPr>
                <w:rFonts w:ascii="Arial" w:eastAsia="Cambria" w:hAnsi="Arial" w:cs="Arial"/>
                <w:bCs/>
              </w:rPr>
            </w:pPr>
            <w:r>
              <w:rPr>
                <w:rFonts w:ascii="Arial" w:eastAsia="Cambria" w:hAnsi="Arial" w:cs="Arial"/>
                <w:bCs/>
              </w:rPr>
              <w:t xml:space="preserve">Appendix </w:t>
            </w:r>
            <w:r w:rsidR="006C6325">
              <w:rPr>
                <w:rFonts w:ascii="Arial" w:eastAsia="Cambria" w:hAnsi="Arial" w:cs="Arial"/>
                <w:bCs/>
              </w:rPr>
              <w:t>6</w:t>
            </w:r>
          </w:p>
        </w:tc>
        <w:tc>
          <w:tcPr>
            <w:tcW w:w="8187" w:type="dxa"/>
            <w:tcBorders>
              <w:left w:val="single" w:sz="4" w:space="0" w:color="FFFFFF" w:themeColor="background1"/>
              <w:right w:val="single" w:sz="4" w:space="0" w:color="FFFFFF" w:themeColor="background1"/>
            </w:tcBorders>
          </w:tcPr>
          <w:p w14:paraId="3686A0F4" w14:textId="11889AFD" w:rsidR="001F190F" w:rsidRPr="00962FB2" w:rsidRDefault="001F190F" w:rsidP="00962FB2">
            <w:pPr>
              <w:spacing w:before="60" w:after="60" w:line="276" w:lineRule="auto"/>
              <w:jc w:val="both"/>
              <w:rPr>
                <w:rFonts w:ascii="Arial" w:eastAsia="Cambria" w:hAnsi="Arial" w:cs="Arial"/>
                <w:bCs/>
              </w:rPr>
            </w:pPr>
            <w:r>
              <w:rPr>
                <w:rFonts w:ascii="Arial" w:eastAsia="Cambria" w:hAnsi="Arial" w:cs="Arial"/>
                <w:bCs/>
              </w:rPr>
              <w:t xml:space="preserve">Effect of probiotics vs. placebo on faecal </w:t>
            </w:r>
            <w:r w:rsidRPr="00EE7E83">
              <w:rPr>
                <w:rFonts w:ascii="Arial" w:eastAsia="Cambria" w:hAnsi="Arial" w:cs="Arial"/>
                <w:bCs/>
                <w:i/>
                <w:iCs/>
              </w:rPr>
              <w:t>Bifidobacterium</w:t>
            </w:r>
            <w:r>
              <w:rPr>
                <w:rFonts w:ascii="Arial" w:eastAsia="Cambria" w:hAnsi="Arial" w:cs="Arial"/>
                <w:bCs/>
              </w:rPr>
              <w:t xml:space="preserve"> counts, sub-grouped by geographical location. </w:t>
            </w:r>
          </w:p>
        </w:tc>
      </w:tr>
      <w:tr w:rsidR="00AB3807" w:rsidRPr="000640F8" w14:paraId="3584058B" w14:textId="77777777" w:rsidTr="00D9188B">
        <w:trPr>
          <w:trHeight w:val="986"/>
        </w:trPr>
        <w:tc>
          <w:tcPr>
            <w:tcW w:w="1890" w:type="dxa"/>
            <w:tcBorders>
              <w:left w:val="single" w:sz="4" w:space="0" w:color="FFFFFF" w:themeColor="background1"/>
              <w:right w:val="single" w:sz="4" w:space="0" w:color="FFFFFF" w:themeColor="background1"/>
            </w:tcBorders>
          </w:tcPr>
          <w:p w14:paraId="50B61E76" w14:textId="3A59C8F9" w:rsidR="00AB3807" w:rsidRPr="000640F8" w:rsidRDefault="00AB3807" w:rsidP="00962FB2">
            <w:pPr>
              <w:spacing w:before="60" w:after="60" w:line="276" w:lineRule="auto"/>
              <w:jc w:val="both"/>
              <w:rPr>
                <w:rFonts w:ascii="Arial" w:eastAsia="Cambria" w:hAnsi="Arial" w:cs="Arial"/>
                <w:bCs/>
              </w:rPr>
            </w:pPr>
            <w:r>
              <w:rPr>
                <w:rFonts w:ascii="Arial" w:eastAsia="Cambria" w:hAnsi="Arial" w:cs="Arial"/>
                <w:bCs/>
              </w:rPr>
              <w:t xml:space="preserve">Appendix </w:t>
            </w:r>
            <w:r w:rsidR="006C6325">
              <w:rPr>
                <w:rFonts w:ascii="Arial" w:eastAsia="Cambria" w:hAnsi="Arial" w:cs="Arial"/>
                <w:bCs/>
              </w:rPr>
              <w:t>7</w:t>
            </w:r>
          </w:p>
        </w:tc>
        <w:tc>
          <w:tcPr>
            <w:tcW w:w="8187" w:type="dxa"/>
            <w:tcBorders>
              <w:left w:val="single" w:sz="4" w:space="0" w:color="FFFFFF" w:themeColor="background1"/>
              <w:right w:val="single" w:sz="4" w:space="0" w:color="FFFFFF" w:themeColor="background1"/>
            </w:tcBorders>
          </w:tcPr>
          <w:p w14:paraId="75BB8256" w14:textId="1759B7C7" w:rsidR="00AB3807" w:rsidRPr="00962FB2" w:rsidRDefault="00AB3807" w:rsidP="00962FB2">
            <w:pPr>
              <w:spacing w:before="60" w:after="60" w:line="276" w:lineRule="auto"/>
              <w:jc w:val="both"/>
              <w:rPr>
                <w:rFonts w:ascii="Arial" w:eastAsia="Cambria" w:hAnsi="Arial" w:cs="Arial"/>
                <w:bCs/>
              </w:rPr>
            </w:pPr>
            <w:r w:rsidRPr="00AB3807">
              <w:rPr>
                <w:rFonts w:ascii="Arial" w:eastAsia="Cambria" w:hAnsi="Arial" w:cs="Arial"/>
                <w:bCs/>
              </w:rPr>
              <w:t xml:space="preserve">Effect of probiotics vs. placebo on faecal </w:t>
            </w:r>
            <w:r w:rsidRPr="00EE7E83">
              <w:rPr>
                <w:rFonts w:ascii="Arial" w:eastAsia="Cambria" w:hAnsi="Arial" w:cs="Arial"/>
                <w:bCs/>
                <w:i/>
                <w:iCs/>
              </w:rPr>
              <w:t>Lactobacillus</w:t>
            </w:r>
            <w:r w:rsidRPr="00AB3807">
              <w:rPr>
                <w:rFonts w:ascii="Arial" w:eastAsia="Cambria" w:hAnsi="Arial" w:cs="Arial"/>
                <w:bCs/>
              </w:rPr>
              <w:t xml:space="preserve"> counts, sub-grouped by probiotic type, length of GFD adherence, and age group.</w:t>
            </w:r>
          </w:p>
        </w:tc>
      </w:tr>
      <w:tr w:rsidR="001F190F" w:rsidRPr="000640F8" w14:paraId="229407B0" w14:textId="77777777" w:rsidTr="00D9188B">
        <w:trPr>
          <w:trHeight w:val="986"/>
        </w:trPr>
        <w:tc>
          <w:tcPr>
            <w:tcW w:w="1890" w:type="dxa"/>
            <w:tcBorders>
              <w:left w:val="single" w:sz="4" w:space="0" w:color="FFFFFF" w:themeColor="background1"/>
              <w:right w:val="single" w:sz="4" w:space="0" w:color="FFFFFF" w:themeColor="background1"/>
            </w:tcBorders>
          </w:tcPr>
          <w:p w14:paraId="1C92C9F7" w14:textId="7CD0ABB0" w:rsidR="001F190F" w:rsidRDefault="001F190F" w:rsidP="00962FB2">
            <w:pPr>
              <w:spacing w:before="60" w:after="60" w:line="276" w:lineRule="auto"/>
              <w:jc w:val="both"/>
              <w:rPr>
                <w:rFonts w:ascii="Arial" w:eastAsia="Cambria" w:hAnsi="Arial" w:cs="Arial"/>
                <w:bCs/>
              </w:rPr>
            </w:pPr>
            <w:r>
              <w:rPr>
                <w:rFonts w:ascii="Arial" w:eastAsia="Cambria" w:hAnsi="Arial" w:cs="Arial"/>
                <w:bCs/>
              </w:rPr>
              <w:t xml:space="preserve">Appendix </w:t>
            </w:r>
            <w:r w:rsidR="006C6325">
              <w:rPr>
                <w:rFonts w:ascii="Arial" w:eastAsia="Cambria" w:hAnsi="Arial" w:cs="Arial"/>
                <w:bCs/>
              </w:rPr>
              <w:t>8</w:t>
            </w:r>
          </w:p>
        </w:tc>
        <w:tc>
          <w:tcPr>
            <w:tcW w:w="8187" w:type="dxa"/>
            <w:tcBorders>
              <w:left w:val="single" w:sz="4" w:space="0" w:color="FFFFFF" w:themeColor="background1"/>
              <w:right w:val="single" w:sz="4" w:space="0" w:color="FFFFFF" w:themeColor="background1"/>
            </w:tcBorders>
          </w:tcPr>
          <w:p w14:paraId="465AC067" w14:textId="4DEED852" w:rsidR="001F190F" w:rsidRPr="00AB3807" w:rsidRDefault="00EE7E83" w:rsidP="00962FB2">
            <w:pPr>
              <w:spacing w:before="60" w:after="60" w:line="276" w:lineRule="auto"/>
              <w:jc w:val="both"/>
              <w:rPr>
                <w:rFonts w:ascii="Arial" w:eastAsia="Cambria" w:hAnsi="Arial" w:cs="Arial"/>
                <w:bCs/>
              </w:rPr>
            </w:pPr>
            <w:r>
              <w:rPr>
                <w:rFonts w:ascii="Arial" w:eastAsia="Cambria" w:hAnsi="Arial" w:cs="Arial"/>
                <w:bCs/>
              </w:rPr>
              <w:t xml:space="preserve">Effect of probiotics vs. placebo on faecal </w:t>
            </w:r>
            <w:r w:rsidRPr="00EE7E83">
              <w:rPr>
                <w:rFonts w:ascii="Arial" w:eastAsia="Cambria" w:hAnsi="Arial" w:cs="Arial"/>
                <w:bCs/>
                <w:i/>
                <w:iCs/>
              </w:rPr>
              <w:t>Lactobacillus</w:t>
            </w:r>
            <w:r>
              <w:rPr>
                <w:rFonts w:ascii="Arial" w:eastAsia="Cambria" w:hAnsi="Arial" w:cs="Arial"/>
                <w:bCs/>
              </w:rPr>
              <w:t xml:space="preserve"> counts, sub-grouped by geographical location.</w:t>
            </w:r>
          </w:p>
        </w:tc>
      </w:tr>
      <w:tr w:rsidR="005E31A3" w:rsidRPr="000640F8" w14:paraId="53C1CDF2" w14:textId="77777777" w:rsidTr="00D9188B">
        <w:trPr>
          <w:trHeight w:val="986"/>
        </w:trPr>
        <w:tc>
          <w:tcPr>
            <w:tcW w:w="1890" w:type="dxa"/>
            <w:tcBorders>
              <w:left w:val="single" w:sz="4" w:space="0" w:color="FFFFFF" w:themeColor="background1"/>
              <w:right w:val="single" w:sz="4" w:space="0" w:color="FFFFFF" w:themeColor="background1"/>
            </w:tcBorders>
          </w:tcPr>
          <w:p w14:paraId="4BACE59F" w14:textId="0C809DF0" w:rsidR="005E31A3" w:rsidRDefault="005E31A3" w:rsidP="00962FB2">
            <w:pPr>
              <w:spacing w:before="60" w:after="60" w:line="276" w:lineRule="auto"/>
              <w:jc w:val="both"/>
              <w:rPr>
                <w:rFonts w:ascii="Arial" w:eastAsia="Cambria" w:hAnsi="Arial" w:cs="Arial"/>
                <w:bCs/>
              </w:rPr>
            </w:pPr>
            <w:r>
              <w:rPr>
                <w:rFonts w:ascii="Arial" w:eastAsia="Cambria" w:hAnsi="Arial" w:cs="Arial"/>
                <w:bCs/>
              </w:rPr>
              <w:t xml:space="preserve">Appendix </w:t>
            </w:r>
            <w:r w:rsidR="006C6325">
              <w:rPr>
                <w:rFonts w:ascii="Arial" w:eastAsia="Cambria" w:hAnsi="Arial" w:cs="Arial"/>
                <w:bCs/>
              </w:rPr>
              <w:t>9</w:t>
            </w:r>
          </w:p>
        </w:tc>
        <w:tc>
          <w:tcPr>
            <w:tcW w:w="8187" w:type="dxa"/>
            <w:tcBorders>
              <w:left w:val="single" w:sz="4" w:space="0" w:color="FFFFFF" w:themeColor="background1"/>
              <w:right w:val="single" w:sz="4" w:space="0" w:color="FFFFFF" w:themeColor="background1"/>
            </w:tcBorders>
          </w:tcPr>
          <w:p w14:paraId="42F1DD41" w14:textId="2698A4F6" w:rsidR="005E31A3" w:rsidRDefault="005E31A3" w:rsidP="00962FB2">
            <w:pPr>
              <w:spacing w:before="60" w:after="60" w:line="276" w:lineRule="auto"/>
              <w:jc w:val="both"/>
              <w:rPr>
                <w:rFonts w:ascii="Arial" w:eastAsia="Cambria" w:hAnsi="Arial" w:cs="Arial"/>
                <w:bCs/>
              </w:rPr>
            </w:pPr>
            <w:r>
              <w:rPr>
                <w:rFonts w:ascii="Arial" w:eastAsia="Cambria" w:hAnsi="Arial" w:cs="Arial"/>
                <w:bCs/>
              </w:rPr>
              <w:t xml:space="preserve">Effect of probiotics vs. placebo on number of adverse events, sub-grouped by </w:t>
            </w:r>
            <w:r w:rsidR="00C24A9B">
              <w:rPr>
                <w:rFonts w:ascii="Arial" w:eastAsia="Cambria" w:hAnsi="Arial" w:cs="Arial"/>
                <w:bCs/>
              </w:rPr>
              <w:t>age group.</w:t>
            </w:r>
          </w:p>
        </w:tc>
      </w:tr>
      <w:tr w:rsidR="00C24A9B" w:rsidRPr="000640F8" w14:paraId="6747F2C9" w14:textId="77777777" w:rsidTr="00D9188B">
        <w:trPr>
          <w:trHeight w:val="986"/>
        </w:trPr>
        <w:tc>
          <w:tcPr>
            <w:tcW w:w="1890" w:type="dxa"/>
            <w:tcBorders>
              <w:left w:val="single" w:sz="4" w:space="0" w:color="FFFFFF" w:themeColor="background1"/>
              <w:right w:val="single" w:sz="4" w:space="0" w:color="FFFFFF" w:themeColor="background1"/>
            </w:tcBorders>
          </w:tcPr>
          <w:p w14:paraId="0642BA8C" w14:textId="2D35B32C" w:rsidR="00C24A9B" w:rsidRDefault="00C24A9B" w:rsidP="00962FB2">
            <w:pPr>
              <w:spacing w:before="60" w:after="60" w:line="276" w:lineRule="auto"/>
              <w:jc w:val="both"/>
              <w:rPr>
                <w:rFonts w:ascii="Arial" w:eastAsia="Cambria" w:hAnsi="Arial" w:cs="Arial"/>
                <w:bCs/>
              </w:rPr>
            </w:pPr>
            <w:r>
              <w:rPr>
                <w:rFonts w:ascii="Arial" w:eastAsia="Cambria" w:hAnsi="Arial" w:cs="Arial"/>
                <w:bCs/>
              </w:rPr>
              <w:t xml:space="preserve">Appendix </w:t>
            </w:r>
            <w:r w:rsidR="006C6325">
              <w:rPr>
                <w:rFonts w:ascii="Arial" w:eastAsia="Cambria" w:hAnsi="Arial" w:cs="Arial"/>
                <w:bCs/>
              </w:rPr>
              <w:t>10</w:t>
            </w:r>
          </w:p>
        </w:tc>
        <w:tc>
          <w:tcPr>
            <w:tcW w:w="8187" w:type="dxa"/>
            <w:tcBorders>
              <w:left w:val="single" w:sz="4" w:space="0" w:color="FFFFFF" w:themeColor="background1"/>
              <w:right w:val="single" w:sz="4" w:space="0" w:color="FFFFFF" w:themeColor="background1"/>
            </w:tcBorders>
          </w:tcPr>
          <w:p w14:paraId="48FB2F07" w14:textId="03316E3D" w:rsidR="00C24A9B" w:rsidRDefault="00C24A9B" w:rsidP="00962FB2">
            <w:pPr>
              <w:spacing w:before="60" w:after="60" w:line="276" w:lineRule="auto"/>
              <w:jc w:val="both"/>
              <w:rPr>
                <w:rFonts w:ascii="Arial" w:eastAsia="Cambria" w:hAnsi="Arial" w:cs="Arial"/>
                <w:bCs/>
              </w:rPr>
            </w:pPr>
            <w:r>
              <w:rPr>
                <w:rFonts w:ascii="Arial" w:eastAsia="Cambria" w:hAnsi="Arial" w:cs="Arial"/>
                <w:bCs/>
              </w:rPr>
              <w:t>Effect of probiotics vs. placebo on number of adverse events, sub-grouped by GFD adherence.</w:t>
            </w:r>
          </w:p>
        </w:tc>
      </w:tr>
      <w:tr w:rsidR="00C24A9B" w:rsidRPr="000640F8" w14:paraId="3B52C9F0" w14:textId="77777777" w:rsidTr="00D9188B">
        <w:trPr>
          <w:trHeight w:val="986"/>
        </w:trPr>
        <w:tc>
          <w:tcPr>
            <w:tcW w:w="1890" w:type="dxa"/>
            <w:tcBorders>
              <w:left w:val="single" w:sz="4" w:space="0" w:color="FFFFFF" w:themeColor="background1"/>
              <w:right w:val="single" w:sz="4" w:space="0" w:color="FFFFFF" w:themeColor="background1"/>
            </w:tcBorders>
          </w:tcPr>
          <w:p w14:paraId="21EAA8E7" w14:textId="05EE4158" w:rsidR="00C24A9B" w:rsidRDefault="00C24A9B" w:rsidP="00962FB2">
            <w:pPr>
              <w:spacing w:before="60" w:after="60" w:line="276" w:lineRule="auto"/>
              <w:jc w:val="both"/>
              <w:rPr>
                <w:rFonts w:ascii="Arial" w:eastAsia="Cambria" w:hAnsi="Arial" w:cs="Arial"/>
                <w:bCs/>
              </w:rPr>
            </w:pPr>
            <w:r>
              <w:rPr>
                <w:rFonts w:ascii="Arial" w:eastAsia="Cambria" w:hAnsi="Arial" w:cs="Arial"/>
                <w:bCs/>
              </w:rPr>
              <w:t>Appendix 1</w:t>
            </w:r>
            <w:r w:rsidR="006C6325">
              <w:rPr>
                <w:rFonts w:ascii="Arial" w:eastAsia="Cambria" w:hAnsi="Arial" w:cs="Arial"/>
                <w:bCs/>
              </w:rPr>
              <w:t>1</w:t>
            </w:r>
          </w:p>
        </w:tc>
        <w:tc>
          <w:tcPr>
            <w:tcW w:w="8187" w:type="dxa"/>
            <w:tcBorders>
              <w:left w:val="single" w:sz="4" w:space="0" w:color="FFFFFF" w:themeColor="background1"/>
              <w:right w:val="single" w:sz="4" w:space="0" w:color="FFFFFF" w:themeColor="background1"/>
            </w:tcBorders>
          </w:tcPr>
          <w:p w14:paraId="425E6B9A" w14:textId="33513B68" w:rsidR="00C24A9B" w:rsidRDefault="00C24A9B" w:rsidP="00962FB2">
            <w:pPr>
              <w:spacing w:before="60" w:after="60" w:line="276" w:lineRule="auto"/>
              <w:jc w:val="both"/>
              <w:rPr>
                <w:rFonts w:ascii="Arial" w:eastAsia="Cambria" w:hAnsi="Arial" w:cs="Arial"/>
                <w:bCs/>
              </w:rPr>
            </w:pPr>
            <w:r>
              <w:rPr>
                <w:rFonts w:ascii="Arial" w:eastAsia="Cambria" w:hAnsi="Arial" w:cs="Arial"/>
                <w:bCs/>
              </w:rPr>
              <w:t>Effect of probiotics vs. placebo on number of adverse events, sub-grouped by probiotic type.</w:t>
            </w:r>
          </w:p>
        </w:tc>
      </w:tr>
      <w:tr w:rsidR="00C24A9B" w:rsidRPr="000640F8" w14:paraId="61420B00" w14:textId="77777777" w:rsidTr="00D9188B">
        <w:trPr>
          <w:trHeight w:val="986"/>
        </w:trPr>
        <w:tc>
          <w:tcPr>
            <w:tcW w:w="1890" w:type="dxa"/>
            <w:tcBorders>
              <w:left w:val="single" w:sz="4" w:space="0" w:color="FFFFFF" w:themeColor="background1"/>
              <w:right w:val="single" w:sz="4" w:space="0" w:color="FFFFFF" w:themeColor="background1"/>
            </w:tcBorders>
          </w:tcPr>
          <w:p w14:paraId="21FDC092" w14:textId="5959690B" w:rsidR="00C24A9B" w:rsidRDefault="00C24A9B" w:rsidP="00962FB2">
            <w:pPr>
              <w:spacing w:before="60" w:after="60" w:line="276" w:lineRule="auto"/>
              <w:jc w:val="both"/>
              <w:rPr>
                <w:rFonts w:ascii="Arial" w:eastAsia="Cambria" w:hAnsi="Arial" w:cs="Arial"/>
                <w:bCs/>
              </w:rPr>
            </w:pPr>
            <w:r>
              <w:rPr>
                <w:rFonts w:ascii="Arial" w:eastAsia="Cambria" w:hAnsi="Arial" w:cs="Arial"/>
                <w:bCs/>
              </w:rPr>
              <w:t>Appendix 1</w:t>
            </w:r>
            <w:r w:rsidR="006C6325">
              <w:rPr>
                <w:rFonts w:ascii="Arial" w:eastAsia="Cambria" w:hAnsi="Arial" w:cs="Arial"/>
                <w:bCs/>
              </w:rPr>
              <w:t>2</w:t>
            </w:r>
          </w:p>
        </w:tc>
        <w:tc>
          <w:tcPr>
            <w:tcW w:w="8187" w:type="dxa"/>
            <w:tcBorders>
              <w:left w:val="single" w:sz="4" w:space="0" w:color="FFFFFF" w:themeColor="background1"/>
              <w:right w:val="single" w:sz="4" w:space="0" w:color="FFFFFF" w:themeColor="background1"/>
            </w:tcBorders>
          </w:tcPr>
          <w:p w14:paraId="1ED15F4F" w14:textId="288540B1" w:rsidR="00C24A9B" w:rsidRDefault="00C24A9B" w:rsidP="00962FB2">
            <w:pPr>
              <w:spacing w:before="60" w:after="60" w:line="276" w:lineRule="auto"/>
              <w:jc w:val="both"/>
              <w:rPr>
                <w:rFonts w:ascii="Arial" w:eastAsia="Cambria" w:hAnsi="Arial" w:cs="Arial"/>
                <w:bCs/>
              </w:rPr>
            </w:pPr>
            <w:r>
              <w:rPr>
                <w:rFonts w:ascii="Arial" w:eastAsia="Cambria" w:hAnsi="Arial" w:cs="Arial"/>
                <w:bCs/>
              </w:rPr>
              <w:t>Effect of probiotics vs. placebo on number of adverse events, sub-grouped by geographical location.</w:t>
            </w:r>
          </w:p>
        </w:tc>
      </w:tr>
    </w:tbl>
    <w:p w14:paraId="6A4B3715" w14:textId="77777777" w:rsidR="00811768" w:rsidRDefault="00811768" w:rsidP="00D76DF6">
      <w:pPr>
        <w:rPr>
          <w:rFonts w:ascii="Arial" w:hAnsi="Arial" w:cs="Arial"/>
          <w:b/>
          <w:bCs/>
          <w:sz w:val="20"/>
          <w:szCs w:val="20"/>
        </w:rPr>
      </w:pPr>
    </w:p>
    <w:p w14:paraId="4701FA73" w14:textId="77777777" w:rsidR="007D4001" w:rsidRDefault="007D4001">
      <w:pPr>
        <w:rPr>
          <w:rFonts w:ascii="Arial" w:hAnsi="Arial" w:cs="Arial"/>
          <w:b/>
          <w:bCs/>
          <w:sz w:val="20"/>
          <w:szCs w:val="20"/>
        </w:rPr>
      </w:pPr>
      <w:r>
        <w:rPr>
          <w:rFonts w:ascii="Arial" w:hAnsi="Arial" w:cs="Arial"/>
          <w:b/>
          <w:bCs/>
          <w:sz w:val="20"/>
          <w:szCs w:val="20"/>
        </w:rPr>
        <w:br w:type="page"/>
      </w:r>
    </w:p>
    <w:p w14:paraId="59EFD106" w14:textId="7FBA069F" w:rsidR="00D76DF6" w:rsidRPr="00962FB2" w:rsidRDefault="007D4001" w:rsidP="00D76DF6">
      <w:pPr>
        <w:pStyle w:val="Default"/>
        <w:rPr>
          <w:rFonts w:ascii="Arial" w:hAnsi="Arial" w:cs="Arial"/>
          <w:b/>
          <w:bCs/>
          <w:color w:val="auto"/>
          <w:lang w:val="en-CA"/>
        </w:rPr>
      </w:pPr>
      <w:r w:rsidRPr="00962FB2">
        <w:rPr>
          <w:rFonts w:ascii="Arial" w:hAnsi="Arial" w:cs="Arial"/>
          <w:b/>
          <w:bCs/>
          <w:color w:val="auto"/>
          <w:lang w:val="en-CA"/>
        </w:rPr>
        <w:lastRenderedPageBreak/>
        <w:t>Appendix 1.</w:t>
      </w:r>
      <w:r w:rsidR="00D76DF6" w:rsidRPr="00962FB2">
        <w:rPr>
          <w:rFonts w:ascii="Arial" w:hAnsi="Arial" w:cs="Arial"/>
          <w:b/>
          <w:bCs/>
          <w:color w:val="auto"/>
          <w:lang w:val="en-CA"/>
        </w:rPr>
        <w:t xml:space="preserve"> </w:t>
      </w:r>
      <w:r w:rsidR="002A779F" w:rsidRPr="002A779F">
        <w:rPr>
          <w:rFonts w:ascii="Arial" w:hAnsi="Arial" w:cs="Arial"/>
          <w:b/>
          <w:bCs/>
          <w:color w:val="auto"/>
          <w:lang w:val="en-CA"/>
        </w:rPr>
        <w:t xml:space="preserve">MEDLINE search strategy for article selection (from 1 Jan 1970 to </w:t>
      </w:r>
      <w:r w:rsidR="00A43AA4">
        <w:rPr>
          <w:rFonts w:ascii="Arial" w:hAnsi="Arial" w:cs="Arial"/>
          <w:b/>
          <w:bCs/>
          <w:color w:val="auto"/>
          <w:lang w:val="en-CA"/>
        </w:rPr>
        <w:t xml:space="preserve">5 </w:t>
      </w:r>
      <w:r w:rsidR="002A779F" w:rsidRPr="002A779F">
        <w:rPr>
          <w:rFonts w:ascii="Arial" w:hAnsi="Arial" w:cs="Arial"/>
          <w:b/>
          <w:bCs/>
          <w:color w:val="auto"/>
          <w:lang w:val="en-CA"/>
        </w:rPr>
        <w:t>February 2019).</w:t>
      </w:r>
    </w:p>
    <w:p w14:paraId="6032AA2B" w14:textId="77777777" w:rsidR="00D76DF6" w:rsidRPr="004F1045" w:rsidRDefault="00D76DF6" w:rsidP="00D76DF6">
      <w:pPr>
        <w:pStyle w:val="Default"/>
        <w:rPr>
          <w:rFonts w:ascii="Arial" w:hAnsi="Arial" w:cs="Arial"/>
          <w:b/>
          <w:bCs/>
          <w:color w:val="auto"/>
          <w:sz w:val="20"/>
          <w:szCs w:val="20"/>
          <w:lang w:val="en-CA"/>
        </w:rPr>
      </w:pP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5"/>
        <w:gridCol w:w="8895"/>
      </w:tblGrid>
      <w:tr w:rsidR="00D76DF6" w:rsidRPr="004F1045" w14:paraId="28219CFF" w14:textId="77777777" w:rsidTr="004E1C9A">
        <w:trPr>
          <w:trHeight w:val="400"/>
        </w:trPr>
        <w:tc>
          <w:tcPr>
            <w:tcW w:w="465"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12B72F68" w14:textId="77777777" w:rsidR="00D76DF6" w:rsidRPr="004F1045" w:rsidRDefault="00D76DF6" w:rsidP="004E1C9A">
            <w:pPr>
              <w:spacing w:after="0" w:line="240" w:lineRule="auto"/>
              <w:rPr>
                <w:rFonts w:ascii="Arial" w:hAnsi="Arial" w:cs="Arial"/>
                <w:sz w:val="20"/>
                <w:szCs w:val="20"/>
              </w:rPr>
            </w:pPr>
            <w:r w:rsidRPr="004F1045">
              <w:rPr>
                <w:rFonts w:ascii="Arial" w:eastAsia="Arial Unicode MS" w:hAnsi="Arial" w:cs="Arial"/>
                <w:sz w:val="20"/>
                <w:szCs w:val="20"/>
              </w:rPr>
              <w:t>1</w:t>
            </w:r>
          </w:p>
        </w:tc>
        <w:tc>
          <w:tcPr>
            <w:tcW w:w="8895"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18A25EF5" w14:textId="77777777" w:rsidR="00D76DF6" w:rsidRPr="004F1045" w:rsidRDefault="00D76DF6" w:rsidP="004E1C9A">
            <w:pPr>
              <w:pStyle w:val="TableStyle2"/>
              <w:rPr>
                <w:rFonts w:ascii="Arial" w:hAnsi="Arial" w:cs="Arial"/>
                <w:color w:val="auto"/>
              </w:rPr>
            </w:pPr>
            <w:r w:rsidRPr="004F1045">
              <w:rPr>
                <w:rFonts w:ascii="Arial" w:hAnsi="Arial" w:cs="Arial"/>
                <w:color w:val="auto"/>
              </w:rPr>
              <w:t>Celiac Disease/</w:t>
            </w:r>
          </w:p>
        </w:tc>
      </w:tr>
      <w:tr w:rsidR="00D76DF6" w:rsidRPr="004F1045" w14:paraId="57DE77DD" w14:textId="77777777" w:rsidTr="004E1C9A">
        <w:trPr>
          <w:trHeight w:val="400"/>
        </w:trPr>
        <w:tc>
          <w:tcPr>
            <w:tcW w:w="465"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vAlign w:val="center"/>
          </w:tcPr>
          <w:p w14:paraId="2C909AC2" w14:textId="77777777" w:rsidR="00D76DF6" w:rsidRPr="004F1045" w:rsidRDefault="00D76DF6" w:rsidP="004E1C9A">
            <w:pPr>
              <w:spacing w:after="0" w:line="240" w:lineRule="auto"/>
              <w:rPr>
                <w:rFonts w:ascii="Arial" w:hAnsi="Arial" w:cs="Arial"/>
                <w:sz w:val="20"/>
                <w:szCs w:val="20"/>
              </w:rPr>
            </w:pPr>
            <w:r w:rsidRPr="004F1045">
              <w:rPr>
                <w:rFonts w:ascii="Arial" w:eastAsia="Arial Unicode MS" w:hAnsi="Arial" w:cs="Arial"/>
                <w:sz w:val="20"/>
                <w:szCs w:val="20"/>
              </w:rPr>
              <w:t>2</w:t>
            </w:r>
          </w:p>
        </w:tc>
        <w:tc>
          <w:tcPr>
            <w:tcW w:w="8895"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vAlign w:val="center"/>
          </w:tcPr>
          <w:p w14:paraId="428DE030" w14:textId="77777777" w:rsidR="00D76DF6" w:rsidRPr="004F1045" w:rsidRDefault="00D76DF6" w:rsidP="004E1C9A">
            <w:pPr>
              <w:pStyle w:val="TableStyle2"/>
              <w:rPr>
                <w:rFonts w:ascii="Arial" w:hAnsi="Arial" w:cs="Arial"/>
                <w:color w:val="auto"/>
              </w:rPr>
            </w:pPr>
            <w:r w:rsidRPr="004F1045">
              <w:rPr>
                <w:rFonts w:ascii="Arial" w:hAnsi="Arial" w:cs="Arial"/>
                <w:color w:val="auto"/>
              </w:rPr>
              <w:t>c?eliac.mp.</w:t>
            </w:r>
          </w:p>
        </w:tc>
      </w:tr>
      <w:tr w:rsidR="00D76DF6" w:rsidRPr="004F1045" w14:paraId="3AEE6E0D" w14:textId="77777777" w:rsidTr="004E1C9A">
        <w:trPr>
          <w:trHeight w:val="400"/>
        </w:trPr>
        <w:tc>
          <w:tcPr>
            <w:tcW w:w="465"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0CA93EBE" w14:textId="77777777" w:rsidR="00D76DF6" w:rsidRPr="004F1045" w:rsidRDefault="00D76DF6" w:rsidP="004E1C9A">
            <w:pPr>
              <w:spacing w:after="0" w:line="240" w:lineRule="auto"/>
              <w:rPr>
                <w:rFonts w:ascii="Arial" w:hAnsi="Arial" w:cs="Arial"/>
                <w:sz w:val="20"/>
                <w:szCs w:val="20"/>
              </w:rPr>
            </w:pPr>
            <w:r w:rsidRPr="004F1045">
              <w:rPr>
                <w:rFonts w:ascii="Arial" w:eastAsia="Arial Unicode MS" w:hAnsi="Arial" w:cs="Arial"/>
                <w:sz w:val="20"/>
                <w:szCs w:val="20"/>
              </w:rPr>
              <w:t>3</w:t>
            </w:r>
          </w:p>
        </w:tc>
        <w:tc>
          <w:tcPr>
            <w:tcW w:w="8895"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53D8B040" w14:textId="77777777" w:rsidR="00D76DF6" w:rsidRPr="004F1045" w:rsidRDefault="00D76DF6" w:rsidP="004E1C9A">
            <w:pPr>
              <w:pStyle w:val="TableStyle2"/>
              <w:rPr>
                <w:rFonts w:ascii="Arial" w:hAnsi="Arial" w:cs="Arial"/>
                <w:color w:val="auto"/>
              </w:rPr>
            </w:pPr>
            <w:r w:rsidRPr="004F1045">
              <w:rPr>
                <w:rFonts w:ascii="Arial" w:hAnsi="Arial" w:cs="Arial"/>
                <w:color w:val="auto"/>
              </w:rPr>
              <w:t xml:space="preserve">(gluten adj2 </w:t>
            </w:r>
            <w:proofErr w:type="spellStart"/>
            <w:r w:rsidRPr="004F1045">
              <w:rPr>
                <w:rFonts w:ascii="Arial" w:hAnsi="Arial" w:cs="Arial"/>
                <w:color w:val="auto"/>
              </w:rPr>
              <w:t>enteropath</w:t>
            </w:r>
            <w:proofErr w:type="spellEnd"/>
            <w:r w:rsidRPr="004F1045">
              <w:rPr>
                <w:rFonts w:ascii="Arial" w:hAnsi="Arial" w:cs="Arial"/>
                <w:color w:val="auto"/>
              </w:rPr>
              <w:t>*).</w:t>
            </w:r>
            <w:proofErr w:type="spellStart"/>
            <w:r w:rsidRPr="004F1045">
              <w:rPr>
                <w:rFonts w:ascii="Arial" w:hAnsi="Arial" w:cs="Arial"/>
                <w:color w:val="auto"/>
              </w:rPr>
              <w:t>mp</w:t>
            </w:r>
            <w:proofErr w:type="spellEnd"/>
            <w:r w:rsidRPr="004F1045">
              <w:rPr>
                <w:rFonts w:ascii="Arial" w:hAnsi="Arial" w:cs="Arial"/>
                <w:color w:val="auto"/>
              </w:rPr>
              <w:t>.</w:t>
            </w:r>
          </w:p>
        </w:tc>
      </w:tr>
      <w:tr w:rsidR="00D76DF6" w:rsidRPr="004F1045" w14:paraId="0D364C22" w14:textId="77777777" w:rsidTr="004E1C9A">
        <w:trPr>
          <w:trHeight w:val="400"/>
        </w:trPr>
        <w:tc>
          <w:tcPr>
            <w:tcW w:w="465"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vAlign w:val="center"/>
          </w:tcPr>
          <w:p w14:paraId="6800CAA7" w14:textId="77777777" w:rsidR="00D76DF6" w:rsidRPr="004F1045" w:rsidRDefault="00D76DF6" w:rsidP="004E1C9A">
            <w:pPr>
              <w:spacing w:after="0" w:line="240" w:lineRule="auto"/>
              <w:rPr>
                <w:rFonts w:ascii="Arial" w:hAnsi="Arial" w:cs="Arial"/>
                <w:sz w:val="20"/>
                <w:szCs w:val="20"/>
              </w:rPr>
            </w:pPr>
            <w:r w:rsidRPr="004F1045">
              <w:rPr>
                <w:rFonts w:ascii="Arial" w:eastAsia="Arial Unicode MS" w:hAnsi="Arial" w:cs="Arial"/>
                <w:sz w:val="20"/>
                <w:szCs w:val="20"/>
              </w:rPr>
              <w:t>4</w:t>
            </w:r>
          </w:p>
        </w:tc>
        <w:tc>
          <w:tcPr>
            <w:tcW w:w="8895"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vAlign w:val="center"/>
          </w:tcPr>
          <w:p w14:paraId="016B5205" w14:textId="77777777" w:rsidR="00D76DF6" w:rsidRPr="004F1045" w:rsidRDefault="00D76DF6" w:rsidP="004E1C9A">
            <w:pPr>
              <w:pStyle w:val="TableStyle2"/>
              <w:rPr>
                <w:rFonts w:ascii="Arial" w:hAnsi="Arial" w:cs="Arial"/>
                <w:color w:val="auto"/>
              </w:rPr>
            </w:pPr>
            <w:proofErr w:type="spellStart"/>
            <w:r w:rsidRPr="004F1045">
              <w:rPr>
                <w:rFonts w:ascii="Arial" w:hAnsi="Arial" w:cs="Arial"/>
                <w:color w:val="auto"/>
              </w:rPr>
              <w:t>nontropical</w:t>
            </w:r>
            <w:proofErr w:type="spellEnd"/>
            <w:r w:rsidRPr="004F1045">
              <w:rPr>
                <w:rFonts w:ascii="Arial" w:hAnsi="Arial" w:cs="Arial"/>
                <w:color w:val="auto"/>
              </w:rPr>
              <w:t xml:space="preserve"> sprue.mp.</w:t>
            </w:r>
          </w:p>
        </w:tc>
      </w:tr>
      <w:tr w:rsidR="00D76DF6" w:rsidRPr="004F1045" w14:paraId="0FAF4A7A" w14:textId="77777777" w:rsidTr="004E1C9A">
        <w:trPr>
          <w:trHeight w:val="400"/>
        </w:trPr>
        <w:tc>
          <w:tcPr>
            <w:tcW w:w="465"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77135E4F" w14:textId="77777777" w:rsidR="00D76DF6" w:rsidRPr="004F1045" w:rsidRDefault="00D76DF6" w:rsidP="004E1C9A">
            <w:pPr>
              <w:spacing w:after="0" w:line="240" w:lineRule="auto"/>
              <w:rPr>
                <w:rFonts w:ascii="Arial" w:hAnsi="Arial" w:cs="Arial"/>
                <w:sz w:val="20"/>
                <w:szCs w:val="20"/>
              </w:rPr>
            </w:pPr>
            <w:r w:rsidRPr="004F1045">
              <w:rPr>
                <w:rFonts w:ascii="Arial" w:eastAsia="Arial Unicode MS" w:hAnsi="Arial" w:cs="Arial"/>
                <w:sz w:val="20"/>
                <w:szCs w:val="20"/>
              </w:rPr>
              <w:t>5</w:t>
            </w:r>
          </w:p>
        </w:tc>
        <w:tc>
          <w:tcPr>
            <w:tcW w:w="8895"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3D15FD9D" w14:textId="77777777" w:rsidR="00D76DF6" w:rsidRPr="004F1045" w:rsidRDefault="00D76DF6" w:rsidP="004E1C9A">
            <w:pPr>
              <w:pStyle w:val="TableStyle2"/>
              <w:rPr>
                <w:rFonts w:ascii="Arial" w:hAnsi="Arial" w:cs="Arial"/>
                <w:color w:val="auto"/>
              </w:rPr>
            </w:pPr>
            <w:r w:rsidRPr="004F1045">
              <w:rPr>
                <w:rFonts w:ascii="Arial" w:hAnsi="Arial" w:cs="Arial"/>
                <w:color w:val="auto"/>
              </w:rPr>
              <w:t>gluten enteropathy.mp.</w:t>
            </w:r>
          </w:p>
        </w:tc>
      </w:tr>
      <w:tr w:rsidR="00D76DF6" w:rsidRPr="004F1045" w14:paraId="14532E9A" w14:textId="77777777" w:rsidTr="004E1C9A">
        <w:trPr>
          <w:trHeight w:val="400"/>
        </w:trPr>
        <w:tc>
          <w:tcPr>
            <w:tcW w:w="465"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vAlign w:val="center"/>
          </w:tcPr>
          <w:p w14:paraId="52C8E703" w14:textId="77777777" w:rsidR="00D76DF6" w:rsidRPr="004F1045" w:rsidRDefault="00D76DF6" w:rsidP="004E1C9A">
            <w:pPr>
              <w:spacing w:after="0" w:line="240" w:lineRule="auto"/>
              <w:rPr>
                <w:rFonts w:ascii="Arial" w:hAnsi="Arial" w:cs="Arial"/>
                <w:sz w:val="20"/>
                <w:szCs w:val="20"/>
              </w:rPr>
            </w:pPr>
            <w:r w:rsidRPr="004F1045">
              <w:rPr>
                <w:rFonts w:ascii="Arial" w:eastAsia="Arial Unicode MS" w:hAnsi="Arial" w:cs="Arial"/>
                <w:sz w:val="20"/>
                <w:szCs w:val="20"/>
              </w:rPr>
              <w:t>6</w:t>
            </w:r>
          </w:p>
        </w:tc>
        <w:tc>
          <w:tcPr>
            <w:tcW w:w="8895"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vAlign w:val="center"/>
          </w:tcPr>
          <w:p w14:paraId="00533CE1" w14:textId="77777777" w:rsidR="00D76DF6" w:rsidRPr="004F1045" w:rsidRDefault="00D76DF6" w:rsidP="004E1C9A">
            <w:pPr>
              <w:pStyle w:val="TableStyle2"/>
              <w:rPr>
                <w:rFonts w:ascii="Arial" w:hAnsi="Arial" w:cs="Arial"/>
                <w:color w:val="auto"/>
              </w:rPr>
            </w:pPr>
            <w:r w:rsidRPr="004F1045">
              <w:rPr>
                <w:rFonts w:ascii="Arial" w:hAnsi="Arial" w:cs="Arial"/>
                <w:color w:val="auto"/>
              </w:rPr>
              <w:t>gluten enteropathies.mp.</w:t>
            </w:r>
          </w:p>
        </w:tc>
      </w:tr>
      <w:tr w:rsidR="00D76DF6" w:rsidRPr="004F1045" w14:paraId="5C246F93" w14:textId="77777777" w:rsidTr="004E1C9A">
        <w:trPr>
          <w:trHeight w:val="1133"/>
        </w:trPr>
        <w:tc>
          <w:tcPr>
            <w:tcW w:w="465"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562F7986" w14:textId="77777777" w:rsidR="00D76DF6" w:rsidRPr="004F1045" w:rsidRDefault="00D76DF6" w:rsidP="004E1C9A">
            <w:pPr>
              <w:spacing w:after="0" w:line="240" w:lineRule="auto"/>
              <w:rPr>
                <w:rFonts w:ascii="Arial" w:hAnsi="Arial" w:cs="Arial"/>
                <w:sz w:val="20"/>
                <w:szCs w:val="20"/>
              </w:rPr>
            </w:pPr>
            <w:r w:rsidRPr="004F1045">
              <w:rPr>
                <w:rFonts w:ascii="Arial" w:eastAsia="Arial Unicode MS" w:hAnsi="Arial" w:cs="Arial"/>
                <w:sz w:val="20"/>
                <w:szCs w:val="20"/>
              </w:rPr>
              <w:t>7</w:t>
            </w:r>
          </w:p>
        </w:tc>
        <w:tc>
          <w:tcPr>
            <w:tcW w:w="8895"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7655FEFF" w14:textId="77777777" w:rsidR="00D76DF6" w:rsidRPr="004F1045" w:rsidRDefault="00D76DF6" w:rsidP="004E1C9A">
            <w:pPr>
              <w:pStyle w:val="TableStyle2"/>
              <w:rPr>
                <w:rFonts w:ascii="Arial" w:hAnsi="Arial" w:cs="Arial"/>
                <w:color w:val="auto"/>
              </w:rPr>
            </w:pPr>
            <w:r w:rsidRPr="004F1045">
              <w:rPr>
                <w:rFonts w:ascii="Arial" w:hAnsi="Arial" w:cs="Arial"/>
                <w:color w:val="auto"/>
              </w:rPr>
              <w:t>(gluten adj2 sensitive).</w:t>
            </w:r>
            <w:proofErr w:type="spellStart"/>
            <w:r w:rsidRPr="004F1045">
              <w:rPr>
                <w:rFonts w:ascii="Arial" w:hAnsi="Arial" w:cs="Arial"/>
                <w:color w:val="auto"/>
              </w:rPr>
              <w:t>mp</w:t>
            </w:r>
            <w:proofErr w:type="spellEnd"/>
            <w:r w:rsidRPr="004F1045">
              <w:rPr>
                <w:rFonts w:ascii="Arial" w:hAnsi="Arial" w:cs="Arial"/>
                <w:color w:val="auto"/>
              </w:rPr>
              <w:t>. [</w:t>
            </w:r>
            <w:proofErr w:type="spellStart"/>
            <w:r w:rsidRPr="004F1045">
              <w:rPr>
                <w:rFonts w:ascii="Arial" w:hAnsi="Arial" w:cs="Arial"/>
                <w:color w:val="auto"/>
              </w:rPr>
              <w:t>mp</w:t>
            </w:r>
            <w:proofErr w:type="spellEnd"/>
            <w:r w:rsidRPr="004F1045">
              <w:rPr>
                <w:rFonts w:ascii="Arial" w:hAnsi="Arial" w:cs="Arial"/>
                <w:color w:val="auto"/>
              </w:rPr>
              <w:t>=title, abstract, original title, name of substance word, subject heading word, floating sub-heading word, keyword heading word, organism supplementary concept word, protocol supplementary concept word, rare disease supplementary concept word, unique identifier, synonyms]</w:t>
            </w:r>
          </w:p>
        </w:tc>
      </w:tr>
      <w:tr w:rsidR="00D76DF6" w:rsidRPr="004F1045" w14:paraId="326A03D8" w14:textId="77777777" w:rsidTr="004E1C9A">
        <w:trPr>
          <w:trHeight w:val="400"/>
        </w:trPr>
        <w:tc>
          <w:tcPr>
            <w:tcW w:w="465"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vAlign w:val="center"/>
          </w:tcPr>
          <w:p w14:paraId="7CD94CD1" w14:textId="77777777" w:rsidR="00D76DF6" w:rsidRPr="004F1045" w:rsidRDefault="00D76DF6" w:rsidP="004E1C9A">
            <w:pPr>
              <w:spacing w:after="0" w:line="240" w:lineRule="auto"/>
              <w:rPr>
                <w:rFonts w:ascii="Arial" w:hAnsi="Arial" w:cs="Arial"/>
                <w:sz w:val="20"/>
                <w:szCs w:val="20"/>
              </w:rPr>
            </w:pPr>
            <w:r w:rsidRPr="004F1045">
              <w:rPr>
                <w:rFonts w:ascii="Arial" w:eastAsia="Arial Unicode MS" w:hAnsi="Arial" w:cs="Arial"/>
                <w:sz w:val="20"/>
                <w:szCs w:val="20"/>
              </w:rPr>
              <w:t>8</w:t>
            </w:r>
          </w:p>
        </w:tc>
        <w:tc>
          <w:tcPr>
            <w:tcW w:w="8895"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vAlign w:val="center"/>
          </w:tcPr>
          <w:p w14:paraId="3764D5C7" w14:textId="77777777" w:rsidR="00D76DF6" w:rsidRPr="004F1045" w:rsidRDefault="00D76DF6" w:rsidP="004E1C9A">
            <w:pPr>
              <w:pStyle w:val="TableStyle2"/>
              <w:rPr>
                <w:rFonts w:ascii="Arial" w:hAnsi="Arial" w:cs="Arial"/>
                <w:color w:val="auto"/>
              </w:rPr>
            </w:pPr>
            <w:r w:rsidRPr="004F1045">
              <w:rPr>
                <w:rFonts w:ascii="Arial" w:hAnsi="Arial" w:cs="Arial"/>
                <w:color w:val="auto"/>
              </w:rPr>
              <w:t>gluten sensitive enteropathy.mp.</w:t>
            </w:r>
          </w:p>
        </w:tc>
      </w:tr>
      <w:tr w:rsidR="00D76DF6" w:rsidRPr="004F1045" w14:paraId="7E91341E" w14:textId="77777777" w:rsidTr="004E1C9A">
        <w:trPr>
          <w:trHeight w:val="400"/>
        </w:trPr>
        <w:tc>
          <w:tcPr>
            <w:tcW w:w="465"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28223310" w14:textId="77777777" w:rsidR="00D76DF6" w:rsidRPr="004F1045" w:rsidRDefault="00D76DF6" w:rsidP="004E1C9A">
            <w:pPr>
              <w:spacing w:after="0" w:line="240" w:lineRule="auto"/>
              <w:rPr>
                <w:rFonts w:ascii="Arial" w:hAnsi="Arial" w:cs="Arial"/>
                <w:sz w:val="20"/>
                <w:szCs w:val="20"/>
              </w:rPr>
            </w:pPr>
            <w:r w:rsidRPr="004F1045">
              <w:rPr>
                <w:rFonts w:ascii="Arial" w:eastAsia="Arial Unicode MS" w:hAnsi="Arial" w:cs="Arial"/>
                <w:sz w:val="20"/>
                <w:szCs w:val="20"/>
              </w:rPr>
              <w:t>9</w:t>
            </w:r>
          </w:p>
        </w:tc>
        <w:tc>
          <w:tcPr>
            <w:tcW w:w="8895"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430DAC21" w14:textId="77777777" w:rsidR="00D76DF6" w:rsidRPr="004F1045" w:rsidRDefault="00D76DF6" w:rsidP="004E1C9A">
            <w:pPr>
              <w:pStyle w:val="TableStyle2"/>
              <w:rPr>
                <w:rFonts w:ascii="Arial" w:hAnsi="Arial" w:cs="Arial"/>
                <w:color w:val="auto"/>
              </w:rPr>
            </w:pPr>
            <w:r w:rsidRPr="004F1045">
              <w:rPr>
                <w:rFonts w:ascii="Arial" w:hAnsi="Arial" w:cs="Arial"/>
                <w:color w:val="auto"/>
              </w:rPr>
              <w:t>gluten sensitive enteropathies.mp.</w:t>
            </w:r>
          </w:p>
        </w:tc>
      </w:tr>
      <w:tr w:rsidR="00D76DF6" w:rsidRPr="004F1045" w14:paraId="0F79BD4A" w14:textId="77777777" w:rsidTr="004E1C9A">
        <w:trPr>
          <w:trHeight w:val="1133"/>
        </w:trPr>
        <w:tc>
          <w:tcPr>
            <w:tcW w:w="465"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vAlign w:val="center"/>
          </w:tcPr>
          <w:p w14:paraId="238963B4" w14:textId="77777777" w:rsidR="00D76DF6" w:rsidRPr="004F1045" w:rsidRDefault="00D76DF6" w:rsidP="004E1C9A">
            <w:pPr>
              <w:spacing w:after="0" w:line="240" w:lineRule="auto"/>
              <w:rPr>
                <w:rFonts w:ascii="Arial" w:hAnsi="Arial" w:cs="Arial"/>
                <w:sz w:val="20"/>
                <w:szCs w:val="20"/>
              </w:rPr>
            </w:pPr>
            <w:r w:rsidRPr="004F1045">
              <w:rPr>
                <w:rFonts w:ascii="Arial" w:eastAsia="Arial Unicode MS" w:hAnsi="Arial" w:cs="Arial"/>
                <w:sz w:val="20"/>
                <w:szCs w:val="20"/>
              </w:rPr>
              <w:t>10</w:t>
            </w:r>
          </w:p>
        </w:tc>
        <w:tc>
          <w:tcPr>
            <w:tcW w:w="8895"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vAlign w:val="center"/>
          </w:tcPr>
          <w:p w14:paraId="68C2AD28" w14:textId="77777777" w:rsidR="00D76DF6" w:rsidRPr="004F1045" w:rsidRDefault="00D76DF6" w:rsidP="004E1C9A">
            <w:pPr>
              <w:pStyle w:val="TableStyle2"/>
              <w:rPr>
                <w:rFonts w:ascii="Arial" w:hAnsi="Arial" w:cs="Arial"/>
                <w:color w:val="auto"/>
              </w:rPr>
            </w:pPr>
            <w:r w:rsidRPr="004F1045">
              <w:rPr>
                <w:rFonts w:ascii="Arial" w:hAnsi="Arial" w:cs="Arial"/>
                <w:color w:val="auto"/>
              </w:rPr>
              <w:t>(Celiac adj3 sprue).</w:t>
            </w:r>
            <w:proofErr w:type="spellStart"/>
            <w:r w:rsidRPr="004F1045">
              <w:rPr>
                <w:rFonts w:ascii="Arial" w:hAnsi="Arial" w:cs="Arial"/>
                <w:color w:val="auto"/>
              </w:rPr>
              <w:t>mp</w:t>
            </w:r>
            <w:proofErr w:type="spellEnd"/>
            <w:r w:rsidRPr="004F1045">
              <w:rPr>
                <w:rFonts w:ascii="Arial" w:hAnsi="Arial" w:cs="Arial"/>
                <w:color w:val="auto"/>
              </w:rPr>
              <w:t>. [</w:t>
            </w:r>
            <w:proofErr w:type="spellStart"/>
            <w:r w:rsidRPr="004F1045">
              <w:rPr>
                <w:rFonts w:ascii="Arial" w:hAnsi="Arial" w:cs="Arial"/>
                <w:color w:val="auto"/>
              </w:rPr>
              <w:t>mp</w:t>
            </w:r>
            <w:proofErr w:type="spellEnd"/>
            <w:r w:rsidRPr="004F1045">
              <w:rPr>
                <w:rFonts w:ascii="Arial" w:hAnsi="Arial" w:cs="Arial"/>
                <w:color w:val="auto"/>
              </w:rPr>
              <w:t>=title, abstract, original title, name of substance word, subject heading word, floating sub-heading word, keyword heading word, organism supplementary concept word, protocol supplementary concept word, rare disease supplementary concept word, unique identifier, synonyms]</w:t>
            </w:r>
          </w:p>
        </w:tc>
      </w:tr>
      <w:tr w:rsidR="00D76DF6" w:rsidRPr="004F1045" w14:paraId="67D2BAB2" w14:textId="77777777" w:rsidTr="004E1C9A">
        <w:trPr>
          <w:trHeight w:val="400"/>
        </w:trPr>
        <w:tc>
          <w:tcPr>
            <w:tcW w:w="465"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4C5F669F" w14:textId="77777777" w:rsidR="00D76DF6" w:rsidRPr="004F1045" w:rsidRDefault="00D76DF6" w:rsidP="004E1C9A">
            <w:pPr>
              <w:spacing w:after="0" w:line="240" w:lineRule="auto"/>
              <w:rPr>
                <w:rFonts w:ascii="Arial" w:hAnsi="Arial" w:cs="Arial"/>
                <w:sz w:val="20"/>
                <w:szCs w:val="20"/>
              </w:rPr>
            </w:pPr>
            <w:r w:rsidRPr="004F1045">
              <w:rPr>
                <w:rFonts w:ascii="Arial" w:eastAsia="Arial Unicode MS" w:hAnsi="Arial" w:cs="Arial"/>
                <w:sz w:val="20"/>
                <w:szCs w:val="20"/>
              </w:rPr>
              <w:t>11</w:t>
            </w:r>
          </w:p>
        </w:tc>
        <w:tc>
          <w:tcPr>
            <w:tcW w:w="8895"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02F0B815" w14:textId="77777777" w:rsidR="00D76DF6" w:rsidRPr="004F1045" w:rsidRDefault="00D76DF6" w:rsidP="004E1C9A">
            <w:pPr>
              <w:pStyle w:val="TableStyle2"/>
              <w:rPr>
                <w:rFonts w:ascii="Arial" w:hAnsi="Arial" w:cs="Arial"/>
                <w:color w:val="auto"/>
              </w:rPr>
            </w:pPr>
            <w:r w:rsidRPr="004F1045">
              <w:rPr>
                <w:rFonts w:ascii="Arial" w:hAnsi="Arial" w:cs="Arial"/>
                <w:color w:val="auto"/>
              </w:rPr>
              <w:t>(</w:t>
            </w:r>
            <w:proofErr w:type="spellStart"/>
            <w:r w:rsidRPr="004F1045">
              <w:rPr>
                <w:rFonts w:ascii="Arial" w:hAnsi="Arial" w:cs="Arial"/>
                <w:color w:val="auto"/>
              </w:rPr>
              <w:t>nontropical</w:t>
            </w:r>
            <w:proofErr w:type="spellEnd"/>
            <w:r w:rsidRPr="004F1045">
              <w:rPr>
                <w:rFonts w:ascii="Arial" w:hAnsi="Arial" w:cs="Arial"/>
                <w:color w:val="auto"/>
              </w:rPr>
              <w:t xml:space="preserve"> adj3 sprue).</w:t>
            </w:r>
            <w:proofErr w:type="spellStart"/>
            <w:r w:rsidRPr="004F1045">
              <w:rPr>
                <w:rFonts w:ascii="Arial" w:hAnsi="Arial" w:cs="Arial"/>
                <w:color w:val="auto"/>
              </w:rPr>
              <w:t>mp</w:t>
            </w:r>
            <w:proofErr w:type="spellEnd"/>
            <w:r w:rsidRPr="004F1045">
              <w:rPr>
                <w:rFonts w:ascii="Arial" w:hAnsi="Arial" w:cs="Arial"/>
                <w:color w:val="auto"/>
              </w:rPr>
              <w:t>.</w:t>
            </w:r>
          </w:p>
        </w:tc>
      </w:tr>
      <w:tr w:rsidR="00D76DF6" w:rsidRPr="004F1045" w14:paraId="5E835B61" w14:textId="77777777" w:rsidTr="004E1C9A">
        <w:trPr>
          <w:trHeight w:val="400"/>
        </w:trPr>
        <w:tc>
          <w:tcPr>
            <w:tcW w:w="465"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vAlign w:val="center"/>
          </w:tcPr>
          <w:p w14:paraId="1A5119EF" w14:textId="77777777" w:rsidR="00D76DF6" w:rsidRPr="004F1045" w:rsidRDefault="00D76DF6" w:rsidP="004E1C9A">
            <w:pPr>
              <w:spacing w:after="0" w:line="240" w:lineRule="auto"/>
              <w:rPr>
                <w:rFonts w:ascii="Arial" w:hAnsi="Arial" w:cs="Arial"/>
                <w:sz w:val="20"/>
                <w:szCs w:val="20"/>
              </w:rPr>
            </w:pPr>
            <w:r w:rsidRPr="004F1045">
              <w:rPr>
                <w:rFonts w:ascii="Arial" w:eastAsia="Arial Unicode MS" w:hAnsi="Arial" w:cs="Arial"/>
                <w:sz w:val="20"/>
                <w:szCs w:val="20"/>
              </w:rPr>
              <w:t>12</w:t>
            </w:r>
          </w:p>
        </w:tc>
        <w:tc>
          <w:tcPr>
            <w:tcW w:w="8895"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vAlign w:val="center"/>
          </w:tcPr>
          <w:p w14:paraId="345C9315" w14:textId="77777777" w:rsidR="00D76DF6" w:rsidRPr="004F1045" w:rsidRDefault="00D76DF6" w:rsidP="004E1C9A">
            <w:pPr>
              <w:pStyle w:val="TableStyle2"/>
              <w:rPr>
                <w:rFonts w:ascii="Arial" w:hAnsi="Arial" w:cs="Arial"/>
                <w:color w:val="auto"/>
              </w:rPr>
            </w:pPr>
            <w:r w:rsidRPr="004F1045">
              <w:rPr>
                <w:rFonts w:ascii="Arial" w:hAnsi="Arial" w:cs="Arial"/>
                <w:color w:val="auto"/>
              </w:rPr>
              <w:t>exp Diet, Gluten-Free/</w:t>
            </w:r>
          </w:p>
        </w:tc>
      </w:tr>
      <w:tr w:rsidR="00D76DF6" w:rsidRPr="004F1045" w14:paraId="03959E03" w14:textId="77777777" w:rsidTr="004E1C9A">
        <w:trPr>
          <w:trHeight w:val="400"/>
        </w:trPr>
        <w:tc>
          <w:tcPr>
            <w:tcW w:w="465"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70556E67" w14:textId="77777777" w:rsidR="00D76DF6" w:rsidRPr="004F1045" w:rsidRDefault="00D76DF6" w:rsidP="004E1C9A">
            <w:pPr>
              <w:spacing w:after="0" w:line="240" w:lineRule="auto"/>
              <w:rPr>
                <w:rFonts w:ascii="Arial" w:hAnsi="Arial" w:cs="Arial"/>
                <w:sz w:val="20"/>
                <w:szCs w:val="20"/>
              </w:rPr>
            </w:pPr>
            <w:r w:rsidRPr="004F1045">
              <w:rPr>
                <w:rFonts w:ascii="Arial" w:eastAsia="Arial Unicode MS" w:hAnsi="Arial" w:cs="Arial"/>
                <w:sz w:val="20"/>
                <w:szCs w:val="20"/>
              </w:rPr>
              <w:t>13</w:t>
            </w:r>
          </w:p>
        </w:tc>
        <w:tc>
          <w:tcPr>
            <w:tcW w:w="8895"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18796147" w14:textId="77777777" w:rsidR="00D76DF6" w:rsidRPr="004F1045" w:rsidRDefault="00D76DF6" w:rsidP="004E1C9A">
            <w:pPr>
              <w:pStyle w:val="TableStyle2"/>
              <w:rPr>
                <w:rFonts w:ascii="Arial" w:hAnsi="Arial" w:cs="Arial"/>
                <w:color w:val="auto"/>
              </w:rPr>
            </w:pPr>
            <w:r w:rsidRPr="004F1045">
              <w:rPr>
                <w:rFonts w:ascii="Arial" w:hAnsi="Arial" w:cs="Arial"/>
                <w:color w:val="auto"/>
              </w:rPr>
              <w:t>gluten free diet.mp.</w:t>
            </w:r>
          </w:p>
        </w:tc>
      </w:tr>
      <w:tr w:rsidR="00D76DF6" w:rsidRPr="004F1045" w14:paraId="618EC34E" w14:textId="77777777" w:rsidTr="004E1C9A">
        <w:trPr>
          <w:trHeight w:val="400"/>
        </w:trPr>
        <w:tc>
          <w:tcPr>
            <w:tcW w:w="465"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vAlign w:val="center"/>
          </w:tcPr>
          <w:p w14:paraId="1DDB9BEE" w14:textId="77777777" w:rsidR="00D76DF6" w:rsidRPr="004F1045" w:rsidRDefault="00D76DF6" w:rsidP="004E1C9A">
            <w:pPr>
              <w:spacing w:after="0" w:line="240" w:lineRule="auto"/>
              <w:rPr>
                <w:rFonts w:ascii="Arial" w:hAnsi="Arial" w:cs="Arial"/>
                <w:sz w:val="20"/>
                <w:szCs w:val="20"/>
              </w:rPr>
            </w:pPr>
            <w:r w:rsidRPr="004F1045">
              <w:rPr>
                <w:rFonts w:ascii="Arial" w:eastAsia="Arial Unicode MS" w:hAnsi="Arial" w:cs="Arial"/>
                <w:sz w:val="20"/>
                <w:szCs w:val="20"/>
              </w:rPr>
              <w:t>14</w:t>
            </w:r>
          </w:p>
        </w:tc>
        <w:tc>
          <w:tcPr>
            <w:tcW w:w="8895"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vAlign w:val="center"/>
          </w:tcPr>
          <w:p w14:paraId="0CF9ADD7" w14:textId="77777777" w:rsidR="00D76DF6" w:rsidRPr="004F1045" w:rsidRDefault="00D76DF6" w:rsidP="004E1C9A">
            <w:pPr>
              <w:pStyle w:val="TableStyle2"/>
              <w:rPr>
                <w:rFonts w:ascii="Arial" w:hAnsi="Arial" w:cs="Arial"/>
                <w:color w:val="auto"/>
              </w:rPr>
            </w:pPr>
            <w:r w:rsidRPr="004F1045">
              <w:rPr>
                <w:rFonts w:ascii="Arial" w:hAnsi="Arial" w:cs="Arial"/>
                <w:color w:val="auto"/>
              </w:rPr>
              <w:t>Gliadin*.</w:t>
            </w:r>
            <w:proofErr w:type="spellStart"/>
            <w:r w:rsidRPr="004F1045">
              <w:rPr>
                <w:rFonts w:ascii="Arial" w:hAnsi="Arial" w:cs="Arial"/>
                <w:color w:val="auto"/>
              </w:rPr>
              <w:t>mp</w:t>
            </w:r>
            <w:proofErr w:type="spellEnd"/>
            <w:r w:rsidRPr="004F1045">
              <w:rPr>
                <w:rFonts w:ascii="Arial" w:hAnsi="Arial" w:cs="Arial"/>
                <w:color w:val="auto"/>
              </w:rPr>
              <w:t>.</w:t>
            </w:r>
          </w:p>
        </w:tc>
      </w:tr>
      <w:tr w:rsidR="00D76DF6" w:rsidRPr="004F1045" w14:paraId="12492711" w14:textId="77777777" w:rsidTr="004E1C9A">
        <w:trPr>
          <w:trHeight w:val="400"/>
        </w:trPr>
        <w:tc>
          <w:tcPr>
            <w:tcW w:w="465"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3CE77C00" w14:textId="77777777" w:rsidR="00D76DF6" w:rsidRPr="004F1045" w:rsidRDefault="00D76DF6" w:rsidP="004E1C9A">
            <w:pPr>
              <w:spacing w:after="0" w:line="240" w:lineRule="auto"/>
              <w:rPr>
                <w:rFonts w:ascii="Arial" w:hAnsi="Arial" w:cs="Arial"/>
                <w:sz w:val="20"/>
                <w:szCs w:val="20"/>
              </w:rPr>
            </w:pPr>
            <w:r w:rsidRPr="004F1045">
              <w:rPr>
                <w:rFonts w:ascii="Arial" w:eastAsia="Arial Unicode MS" w:hAnsi="Arial" w:cs="Arial"/>
                <w:sz w:val="20"/>
                <w:szCs w:val="20"/>
              </w:rPr>
              <w:t>15</w:t>
            </w:r>
          </w:p>
        </w:tc>
        <w:tc>
          <w:tcPr>
            <w:tcW w:w="8895"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178CDEB9" w14:textId="77777777" w:rsidR="00D76DF6" w:rsidRPr="004F1045" w:rsidRDefault="00D76DF6" w:rsidP="004E1C9A">
            <w:pPr>
              <w:pStyle w:val="TableStyle2"/>
              <w:rPr>
                <w:rFonts w:ascii="Arial" w:hAnsi="Arial" w:cs="Arial"/>
                <w:color w:val="auto"/>
              </w:rPr>
            </w:pPr>
            <w:r w:rsidRPr="004F1045">
              <w:rPr>
                <w:rFonts w:ascii="Arial" w:hAnsi="Arial" w:cs="Arial"/>
                <w:color w:val="auto"/>
              </w:rPr>
              <w:t>exp Glutens/</w:t>
            </w:r>
          </w:p>
        </w:tc>
      </w:tr>
      <w:tr w:rsidR="00D76DF6" w:rsidRPr="004F1045" w14:paraId="6385882B" w14:textId="77777777" w:rsidTr="004E1C9A">
        <w:trPr>
          <w:trHeight w:val="400"/>
        </w:trPr>
        <w:tc>
          <w:tcPr>
            <w:tcW w:w="465"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vAlign w:val="center"/>
          </w:tcPr>
          <w:p w14:paraId="1B6C7212" w14:textId="77777777" w:rsidR="00D76DF6" w:rsidRPr="004F1045" w:rsidRDefault="00D76DF6" w:rsidP="004E1C9A">
            <w:pPr>
              <w:spacing w:after="0" w:line="240" w:lineRule="auto"/>
              <w:rPr>
                <w:rFonts w:ascii="Arial" w:hAnsi="Arial" w:cs="Arial"/>
                <w:sz w:val="20"/>
                <w:szCs w:val="20"/>
              </w:rPr>
            </w:pPr>
            <w:r w:rsidRPr="004F1045">
              <w:rPr>
                <w:rFonts w:ascii="Arial" w:eastAsia="Arial Unicode MS" w:hAnsi="Arial" w:cs="Arial"/>
                <w:sz w:val="20"/>
                <w:szCs w:val="20"/>
              </w:rPr>
              <w:t>16</w:t>
            </w:r>
          </w:p>
        </w:tc>
        <w:tc>
          <w:tcPr>
            <w:tcW w:w="8895"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vAlign w:val="center"/>
          </w:tcPr>
          <w:p w14:paraId="2A60ED8A" w14:textId="77777777" w:rsidR="00D76DF6" w:rsidRPr="004F1045" w:rsidRDefault="00D76DF6" w:rsidP="004E1C9A">
            <w:pPr>
              <w:pStyle w:val="TableStyle2"/>
              <w:rPr>
                <w:rFonts w:ascii="Arial" w:hAnsi="Arial" w:cs="Arial"/>
                <w:color w:val="auto"/>
              </w:rPr>
            </w:pPr>
            <w:r w:rsidRPr="004F1045">
              <w:rPr>
                <w:rFonts w:ascii="Arial" w:hAnsi="Arial" w:cs="Arial"/>
                <w:color w:val="auto"/>
              </w:rPr>
              <w:t>gluten*.</w:t>
            </w:r>
            <w:proofErr w:type="spellStart"/>
            <w:r w:rsidRPr="004F1045">
              <w:rPr>
                <w:rFonts w:ascii="Arial" w:hAnsi="Arial" w:cs="Arial"/>
                <w:color w:val="auto"/>
              </w:rPr>
              <w:t>mp</w:t>
            </w:r>
            <w:proofErr w:type="spellEnd"/>
            <w:r w:rsidRPr="004F1045">
              <w:rPr>
                <w:rFonts w:ascii="Arial" w:hAnsi="Arial" w:cs="Arial"/>
                <w:color w:val="auto"/>
              </w:rPr>
              <w:t>.</w:t>
            </w:r>
          </w:p>
        </w:tc>
      </w:tr>
      <w:tr w:rsidR="00D76DF6" w:rsidRPr="004F1045" w14:paraId="431B3559" w14:textId="77777777" w:rsidTr="004E1C9A">
        <w:trPr>
          <w:trHeight w:val="400"/>
        </w:trPr>
        <w:tc>
          <w:tcPr>
            <w:tcW w:w="465"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14C5CCF0" w14:textId="77777777" w:rsidR="00D76DF6" w:rsidRPr="004F1045" w:rsidRDefault="00D76DF6" w:rsidP="004E1C9A">
            <w:pPr>
              <w:spacing w:after="0" w:line="240" w:lineRule="auto"/>
              <w:rPr>
                <w:rFonts w:ascii="Arial" w:hAnsi="Arial" w:cs="Arial"/>
                <w:sz w:val="20"/>
                <w:szCs w:val="20"/>
              </w:rPr>
            </w:pPr>
            <w:r w:rsidRPr="004F1045">
              <w:rPr>
                <w:rFonts w:ascii="Arial" w:eastAsia="Arial Unicode MS" w:hAnsi="Arial" w:cs="Arial"/>
                <w:sz w:val="20"/>
                <w:szCs w:val="20"/>
              </w:rPr>
              <w:t>17</w:t>
            </w:r>
          </w:p>
        </w:tc>
        <w:tc>
          <w:tcPr>
            <w:tcW w:w="8895"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0353DB92" w14:textId="77777777" w:rsidR="00D76DF6" w:rsidRPr="004F1045" w:rsidRDefault="00D76DF6" w:rsidP="004E1C9A">
            <w:pPr>
              <w:pStyle w:val="TableStyle2"/>
              <w:rPr>
                <w:rFonts w:ascii="Arial" w:hAnsi="Arial" w:cs="Arial"/>
                <w:color w:val="auto"/>
              </w:rPr>
            </w:pPr>
            <w:r w:rsidRPr="004F1045">
              <w:rPr>
                <w:rFonts w:ascii="Arial" w:hAnsi="Arial" w:cs="Arial"/>
                <w:color w:val="auto"/>
              </w:rPr>
              <w:t>or/1-16</w:t>
            </w:r>
          </w:p>
        </w:tc>
      </w:tr>
      <w:tr w:rsidR="00D76DF6" w:rsidRPr="004F1045" w14:paraId="63A515BB" w14:textId="77777777" w:rsidTr="004E1C9A">
        <w:trPr>
          <w:trHeight w:val="400"/>
        </w:trPr>
        <w:tc>
          <w:tcPr>
            <w:tcW w:w="465"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vAlign w:val="center"/>
          </w:tcPr>
          <w:p w14:paraId="05DA71DA" w14:textId="77777777" w:rsidR="00D76DF6" w:rsidRPr="004F1045" w:rsidRDefault="00D76DF6" w:rsidP="004E1C9A">
            <w:pPr>
              <w:spacing w:after="0" w:line="240" w:lineRule="auto"/>
              <w:rPr>
                <w:rFonts w:ascii="Arial" w:hAnsi="Arial" w:cs="Arial"/>
                <w:sz w:val="20"/>
                <w:szCs w:val="20"/>
              </w:rPr>
            </w:pPr>
            <w:r w:rsidRPr="004F1045">
              <w:rPr>
                <w:rFonts w:ascii="Arial" w:eastAsia="Arial Unicode MS" w:hAnsi="Arial" w:cs="Arial"/>
                <w:sz w:val="20"/>
                <w:szCs w:val="20"/>
              </w:rPr>
              <w:t>18</w:t>
            </w:r>
          </w:p>
        </w:tc>
        <w:tc>
          <w:tcPr>
            <w:tcW w:w="8895"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vAlign w:val="center"/>
          </w:tcPr>
          <w:p w14:paraId="284E6C7F" w14:textId="77777777" w:rsidR="00D76DF6" w:rsidRPr="004F1045" w:rsidRDefault="00D76DF6" w:rsidP="004E1C9A">
            <w:pPr>
              <w:pStyle w:val="TableStyle2"/>
              <w:rPr>
                <w:rFonts w:ascii="Arial" w:hAnsi="Arial" w:cs="Arial"/>
                <w:color w:val="auto"/>
              </w:rPr>
            </w:pPr>
            <w:r w:rsidRPr="004F1045">
              <w:rPr>
                <w:rFonts w:ascii="Arial" w:hAnsi="Arial" w:cs="Arial"/>
                <w:color w:val="auto"/>
              </w:rPr>
              <w:t>exp Probiotics/</w:t>
            </w:r>
          </w:p>
        </w:tc>
      </w:tr>
      <w:tr w:rsidR="00D76DF6" w:rsidRPr="004F1045" w14:paraId="4A15AB2E" w14:textId="77777777" w:rsidTr="004E1C9A">
        <w:trPr>
          <w:trHeight w:val="400"/>
        </w:trPr>
        <w:tc>
          <w:tcPr>
            <w:tcW w:w="465"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4F3F9FB8" w14:textId="77777777" w:rsidR="00D76DF6" w:rsidRPr="004F1045" w:rsidRDefault="00D76DF6" w:rsidP="004E1C9A">
            <w:pPr>
              <w:spacing w:after="0" w:line="240" w:lineRule="auto"/>
              <w:rPr>
                <w:rFonts w:ascii="Arial" w:hAnsi="Arial" w:cs="Arial"/>
                <w:sz w:val="20"/>
                <w:szCs w:val="20"/>
              </w:rPr>
            </w:pPr>
            <w:r w:rsidRPr="004F1045">
              <w:rPr>
                <w:rFonts w:ascii="Arial" w:eastAsia="Arial Unicode MS" w:hAnsi="Arial" w:cs="Arial"/>
                <w:sz w:val="20"/>
                <w:szCs w:val="20"/>
              </w:rPr>
              <w:t>19</w:t>
            </w:r>
          </w:p>
        </w:tc>
        <w:tc>
          <w:tcPr>
            <w:tcW w:w="8895"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56DF2830" w14:textId="77777777" w:rsidR="00D76DF6" w:rsidRPr="004F1045" w:rsidRDefault="00D76DF6" w:rsidP="004E1C9A">
            <w:pPr>
              <w:pStyle w:val="TableStyle2"/>
              <w:rPr>
                <w:rFonts w:ascii="Arial" w:hAnsi="Arial" w:cs="Arial"/>
                <w:color w:val="auto"/>
              </w:rPr>
            </w:pPr>
            <w:r w:rsidRPr="004F1045">
              <w:rPr>
                <w:rFonts w:ascii="Arial" w:hAnsi="Arial" w:cs="Arial"/>
                <w:color w:val="auto"/>
              </w:rPr>
              <w:t>probiotic*.</w:t>
            </w:r>
            <w:proofErr w:type="spellStart"/>
            <w:r w:rsidRPr="004F1045">
              <w:rPr>
                <w:rFonts w:ascii="Arial" w:hAnsi="Arial" w:cs="Arial"/>
                <w:color w:val="auto"/>
              </w:rPr>
              <w:t>mp</w:t>
            </w:r>
            <w:proofErr w:type="spellEnd"/>
            <w:r w:rsidRPr="004F1045">
              <w:rPr>
                <w:rFonts w:ascii="Arial" w:hAnsi="Arial" w:cs="Arial"/>
                <w:color w:val="auto"/>
              </w:rPr>
              <w:t>.</w:t>
            </w:r>
          </w:p>
        </w:tc>
      </w:tr>
      <w:tr w:rsidR="00D76DF6" w:rsidRPr="004F1045" w14:paraId="774584AB" w14:textId="77777777" w:rsidTr="004E1C9A">
        <w:trPr>
          <w:trHeight w:val="573"/>
        </w:trPr>
        <w:tc>
          <w:tcPr>
            <w:tcW w:w="465"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vAlign w:val="center"/>
          </w:tcPr>
          <w:p w14:paraId="3C54D336" w14:textId="77777777" w:rsidR="00D76DF6" w:rsidRPr="004F1045" w:rsidRDefault="00D76DF6" w:rsidP="004E1C9A">
            <w:pPr>
              <w:spacing w:after="0" w:line="240" w:lineRule="auto"/>
              <w:rPr>
                <w:rFonts w:ascii="Arial" w:hAnsi="Arial" w:cs="Arial"/>
                <w:sz w:val="20"/>
                <w:szCs w:val="20"/>
              </w:rPr>
            </w:pPr>
            <w:r w:rsidRPr="004F1045">
              <w:rPr>
                <w:rFonts w:ascii="Arial" w:eastAsia="Arial Unicode MS" w:hAnsi="Arial" w:cs="Arial"/>
                <w:sz w:val="20"/>
                <w:szCs w:val="20"/>
              </w:rPr>
              <w:t>20</w:t>
            </w:r>
          </w:p>
        </w:tc>
        <w:tc>
          <w:tcPr>
            <w:tcW w:w="8895"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vAlign w:val="center"/>
          </w:tcPr>
          <w:p w14:paraId="1D378DBE" w14:textId="77777777" w:rsidR="00D76DF6" w:rsidRPr="004F1045" w:rsidRDefault="00D76DF6" w:rsidP="004E1C9A">
            <w:pPr>
              <w:pStyle w:val="TableStyle2"/>
              <w:rPr>
                <w:rFonts w:ascii="Arial" w:hAnsi="Arial" w:cs="Arial"/>
                <w:color w:val="auto"/>
              </w:rPr>
            </w:pPr>
            <w:r w:rsidRPr="004F1045">
              <w:rPr>
                <w:rFonts w:ascii="Arial" w:hAnsi="Arial" w:cs="Arial"/>
                <w:color w:val="auto"/>
              </w:rPr>
              <w:t>exp symbiosis/ or exp microbiota/ or exp GI microbiome/ or exp microbial consortia/ or exp mycobiome/</w:t>
            </w:r>
          </w:p>
        </w:tc>
      </w:tr>
      <w:tr w:rsidR="00D76DF6" w:rsidRPr="004F1045" w14:paraId="665C4B31" w14:textId="77777777" w:rsidTr="004E1C9A">
        <w:trPr>
          <w:trHeight w:val="400"/>
        </w:trPr>
        <w:tc>
          <w:tcPr>
            <w:tcW w:w="465"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40FF7B5F" w14:textId="77777777" w:rsidR="00D76DF6" w:rsidRPr="004F1045" w:rsidRDefault="00D76DF6" w:rsidP="004E1C9A">
            <w:pPr>
              <w:spacing w:after="0" w:line="240" w:lineRule="auto"/>
              <w:rPr>
                <w:rFonts w:ascii="Arial" w:hAnsi="Arial" w:cs="Arial"/>
                <w:sz w:val="20"/>
                <w:szCs w:val="20"/>
              </w:rPr>
            </w:pPr>
            <w:r w:rsidRPr="004F1045">
              <w:rPr>
                <w:rFonts w:ascii="Arial" w:eastAsia="Arial Unicode MS" w:hAnsi="Arial" w:cs="Arial"/>
                <w:sz w:val="20"/>
                <w:szCs w:val="20"/>
              </w:rPr>
              <w:t>21</w:t>
            </w:r>
          </w:p>
        </w:tc>
        <w:tc>
          <w:tcPr>
            <w:tcW w:w="8895"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242CD10B" w14:textId="77777777" w:rsidR="00D76DF6" w:rsidRPr="004F1045" w:rsidRDefault="00D76DF6" w:rsidP="004E1C9A">
            <w:pPr>
              <w:pStyle w:val="TableStyle2"/>
              <w:rPr>
                <w:rFonts w:ascii="Arial" w:hAnsi="Arial" w:cs="Arial"/>
                <w:color w:val="auto"/>
              </w:rPr>
            </w:pPr>
            <w:r w:rsidRPr="004F1045">
              <w:rPr>
                <w:rFonts w:ascii="Arial" w:hAnsi="Arial" w:cs="Arial"/>
                <w:color w:val="auto"/>
              </w:rPr>
              <w:t>microbiome.mp.</w:t>
            </w:r>
          </w:p>
        </w:tc>
      </w:tr>
      <w:tr w:rsidR="00D76DF6" w:rsidRPr="004F1045" w14:paraId="7E8BE0BC" w14:textId="77777777" w:rsidTr="004E1C9A">
        <w:trPr>
          <w:trHeight w:val="400"/>
        </w:trPr>
        <w:tc>
          <w:tcPr>
            <w:tcW w:w="465"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vAlign w:val="center"/>
          </w:tcPr>
          <w:p w14:paraId="7DBD797A" w14:textId="77777777" w:rsidR="00D76DF6" w:rsidRPr="004F1045" w:rsidRDefault="00D76DF6" w:rsidP="004E1C9A">
            <w:pPr>
              <w:spacing w:after="0" w:line="240" w:lineRule="auto"/>
              <w:rPr>
                <w:rFonts w:ascii="Arial" w:hAnsi="Arial" w:cs="Arial"/>
                <w:sz w:val="20"/>
                <w:szCs w:val="20"/>
              </w:rPr>
            </w:pPr>
            <w:r w:rsidRPr="004F1045">
              <w:rPr>
                <w:rFonts w:ascii="Arial" w:eastAsia="Arial Unicode MS" w:hAnsi="Arial" w:cs="Arial"/>
                <w:sz w:val="20"/>
                <w:szCs w:val="20"/>
              </w:rPr>
              <w:t>22</w:t>
            </w:r>
          </w:p>
        </w:tc>
        <w:tc>
          <w:tcPr>
            <w:tcW w:w="8895"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vAlign w:val="center"/>
          </w:tcPr>
          <w:p w14:paraId="68EA45FD" w14:textId="77777777" w:rsidR="00D76DF6" w:rsidRPr="004F1045" w:rsidRDefault="00D76DF6" w:rsidP="004E1C9A">
            <w:pPr>
              <w:pStyle w:val="TableStyle2"/>
              <w:rPr>
                <w:rFonts w:ascii="Arial" w:hAnsi="Arial" w:cs="Arial"/>
                <w:color w:val="auto"/>
              </w:rPr>
            </w:pPr>
            <w:r w:rsidRPr="004F1045">
              <w:rPr>
                <w:rFonts w:ascii="Arial" w:hAnsi="Arial" w:cs="Arial"/>
                <w:color w:val="auto"/>
              </w:rPr>
              <w:t>bacterial microbiome.mp.</w:t>
            </w:r>
          </w:p>
        </w:tc>
      </w:tr>
      <w:tr w:rsidR="00D76DF6" w:rsidRPr="004F1045" w14:paraId="77164388" w14:textId="77777777" w:rsidTr="004E1C9A">
        <w:trPr>
          <w:trHeight w:val="400"/>
        </w:trPr>
        <w:tc>
          <w:tcPr>
            <w:tcW w:w="465"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573986BB" w14:textId="77777777" w:rsidR="00D76DF6" w:rsidRPr="004F1045" w:rsidRDefault="00D76DF6" w:rsidP="004E1C9A">
            <w:pPr>
              <w:spacing w:after="0" w:line="240" w:lineRule="auto"/>
              <w:rPr>
                <w:rFonts w:ascii="Arial" w:hAnsi="Arial" w:cs="Arial"/>
                <w:sz w:val="20"/>
                <w:szCs w:val="20"/>
              </w:rPr>
            </w:pPr>
            <w:r w:rsidRPr="004F1045">
              <w:rPr>
                <w:rFonts w:ascii="Arial" w:eastAsia="Arial Unicode MS" w:hAnsi="Arial" w:cs="Arial"/>
                <w:sz w:val="20"/>
                <w:szCs w:val="20"/>
              </w:rPr>
              <w:t>23</w:t>
            </w:r>
          </w:p>
        </w:tc>
        <w:tc>
          <w:tcPr>
            <w:tcW w:w="8895"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54F28647" w14:textId="77777777" w:rsidR="00D76DF6" w:rsidRPr="004F1045" w:rsidRDefault="00D76DF6" w:rsidP="004E1C9A">
            <w:pPr>
              <w:pStyle w:val="TableStyle2"/>
              <w:rPr>
                <w:rFonts w:ascii="Arial" w:hAnsi="Arial" w:cs="Arial"/>
                <w:color w:val="auto"/>
              </w:rPr>
            </w:pPr>
            <w:r w:rsidRPr="004F1045">
              <w:rPr>
                <w:rFonts w:ascii="Arial" w:hAnsi="Arial" w:cs="Arial"/>
                <w:color w:val="auto"/>
              </w:rPr>
              <w:t>microbiota.mp.</w:t>
            </w:r>
          </w:p>
        </w:tc>
      </w:tr>
      <w:tr w:rsidR="00D76DF6" w:rsidRPr="004F1045" w14:paraId="26537652" w14:textId="77777777" w:rsidTr="004E1C9A">
        <w:trPr>
          <w:trHeight w:val="400"/>
        </w:trPr>
        <w:tc>
          <w:tcPr>
            <w:tcW w:w="465"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vAlign w:val="center"/>
          </w:tcPr>
          <w:p w14:paraId="2C29AE45" w14:textId="77777777" w:rsidR="00D76DF6" w:rsidRPr="004F1045" w:rsidRDefault="00D76DF6" w:rsidP="004E1C9A">
            <w:pPr>
              <w:spacing w:after="0" w:line="240" w:lineRule="auto"/>
              <w:rPr>
                <w:rFonts w:ascii="Arial" w:hAnsi="Arial" w:cs="Arial"/>
                <w:sz w:val="20"/>
                <w:szCs w:val="20"/>
              </w:rPr>
            </w:pPr>
            <w:r w:rsidRPr="004F1045">
              <w:rPr>
                <w:rFonts w:ascii="Arial" w:eastAsia="Arial Unicode MS" w:hAnsi="Arial" w:cs="Arial"/>
                <w:sz w:val="20"/>
                <w:szCs w:val="20"/>
              </w:rPr>
              <w:t>24</w:t>
            </w:r>
          </w:p>
        </w:tc>
        <w:tc>
          <w:tcPr>
            <w:tcW w:w="8895"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vAlign w:val="center"/>
          </w:tcPr>
          <w:p w14:paraId="560F5C44" w14:textId="77777777" w:rsidR="00D76DF6" w:rsidRPr="004F1045" w:rsidRDefault="00D76DF6" w:rsidP="004E1C9A">
            <w:pPr>
              <w:pStyle w:val="TableStyle2"/>
              <w:rPr>
                <w:rFonts w:ascii="Arial" w:hAnsi="Arial" w:cs="Arial"/>
                <w:color w:val="auto"/>
              </w:rPr>
            </w:pPr>
            <w:r w:rsidRPr="004F1045">
              <w:rPr>
                <w:rFonts w:ascii="Arial" w:hAnsi="Arial" w:cs="Arial"/>
                <w:color w:val="auto"/>
              </w:rPr>
              <w:t>mycobiome.mp.</w:t>
            </w:r>
          </w:p>
        </w:tc>
      </w:tr>
      <w:tr w:rsidR="00D76DF6" w:rsidRPr="004F1045" w14:paraId="791733DA" w14:textId="77777777" w:rsidTr="004E1C9A">
        <w:trPr>
          <w:trHeight w:val="400"/>
        </w:trPr>
        <w:tc>
          <w:tcPr>
            <w:tcW w:w="465"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6AEEE48E" w14:textId="77777777" w:rsidR="00D76DF6" w:rsidRPr="004F1045" w:rsidRDefault="00D76DF6" w:rsidP="004E1C9A">
            <w:pPr>
              <w:spacing w:after="0" w:line="240" w:lineRule="auto"/>
              <w:rPr>
                <w:rFonts w:ascii="Arial" w:hAnsi="Arial" w:cs="Arial"/>
                <w:sz w:val="20"/>
                <w:szCs w:val="20"/>
              </w:rPr>
            </w:pPr>
            <w:r w:rsidRPr="004F1045">
              <w:rPr>
                <w:rFonts w:ascii="Arial" w:eastAsia="Arial Unicode MS" w:hAnsi="Arial" w:cs="Arial"/>
                <w:sz w:val="20"/>
                <w:szCs w:val="20"/>
              </w:rPr>
              <w:t>25</w:t>
            </w:r>
          </w:p>
        </w:tc>
        <w:tc>
          <w:tcPr>
            <w:tcW w:w="8895"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69C30156" w14:textId="77777777" w:rsidR="00D76DF6" w:rsidRPr="004F1045" w:rsidRDefault="00D76DF6" w:rsidP="004E1C9A">
            <w:pPr>
              <w:pStyle w:val="TableStyle2"/>
              <w:rPr>
                <w:rFonts w:ascii="Arial" w:hAnsi="Arial" w:cs="Arial"/>
                <w:color w:val="auto"/>
              </w:rPr>
            </w:pPr>
            <w:r w:rsidRPr="004F1045">
              <w:rPr>
                <w:rFonts w:ascii="Arial" w:hAnsi="Arial" w:cs="Arial"/>
                <w:color w:val="auto"/>
              </w:rPr>
              <w:t>symbiosis.mp.</w:t>
            </w:r>
          </w:p>
        </w:tc>
      </w:tr>
      <w:tr w:rsidR="00D76DF6" w:rsidRPr="004F1045" w14:paraId="29E1AB81" w14:textId="77777777" w:rsidTr="004E1C9A">
        <w:trPr>
          <w:trHeight w:val="400"/>
        </w:trPr>
        <w:tc>
          <w:tcPr>
            <w:tcW w:w="465"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vAlign w:val="center"/>
          </w:tcPr>
          <w:p w14:paraId="0A2D3CD1" w14:textId="77777777" w:rsidR="00D76DF6" w:rsidRPr="004F1045" w:rsidRDefault="00D76DF6" w:rsidP="004E1C9A">
            <w:pPr>
              <w:spacing w:after="0" w:line="240" w:lineRule="auto"/>
              <w:rPr>
                <w:rFonts w:ascii="Arial" w:hAnsi="Arial" w:cs="Arial"/>
                <w:sz w:val="20"/>
                <w:szCs w:val="20"/>
              </w:rPr>
            </w:pPr>
            <w:r w:rsidRPr="004F1045">
              <w:rPr>
                <w:rFonts w:ascii="Arial" w:eastAsia="Arial Unicode MS" w:hAnsi="Arial" w:cs="Arial"/>
                <w:sz w:val="20"/>
                <w:szCs w:val="20"/>
              </w:rPr>
              <w:t>26</w:t>
            </w:r>
          </w:p>
        </w:tc>
        <w:tc>
          <w:tcPr>
            <w:tcW w:w="8895"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vAlign w:val="center"/>
          </w:tcPr>
          <w:p w14:paraId="0482D2E7" w14:textId="77777777" w:rsidR="00D76DF6" w:rsidRPr="004F1045" w:rsidRDefault="00D76DF6" w:rsidP="004E1C9A">
            <w:pPr>
              <w:pStyle w:val="TableStyle2"/>
              <w:rPr>
                <w:rFonts w:ascii="Arial" w:hAnsi="Arial" w:cs="Arial"/>
                <w:color w:val="auto"/>
              </w:rPr>
            </w:pPr>
            <w:r w:rsidRPr="004F1045">
              <w:rPr>
                <w:rFonts w:ascii="Arial" w:hAnsi="Arial" w:cs="Arial"/>
                <w:color w:val="auto"/>
              </w:rPr>
              <w:t>endosymbiosis.mp.</w:t>
            </w:r>
          </w:p>
        </w:tc>
      </w:tr>
      <w:tr w:rsidR="00D76DF6" w:rsidRPr="004F1045" w14:paraId="7E52882A" w14:textId="77777777" w:rsidTr="004E1C9A">
        <w:trPr>
          <w:trHeight w:val="400"/>
        </w:trPr>
        <w:tc>
          <w:tcPr>
            <w:tcW w:w="465"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517D478F" w14:textId="77777777" w:rsidR="00D76DF6" w:rsidRPr="004F1045" w:rsidRDefault="00D76DF6" w:rsidP="004E1C9A">
            <w:pPr>
              <w:spacing w:after="0" w:line="240" w:lineRule="auto"/>
              <w:rPr>
                <w:rFonts w:ascii="Arial" w:hAnsi="Arial" w:cs="Arial"/>
                <w:sz w:val="20"/>
                <w:szCs w:val="20"/>
              </w:rPr>
            </w:pPr>
            <w:r w:rsidRPr="004F1045">
              <w:rPr>
                <w:rFonts w:ascii="Arial" w:eastAsia="Arial Unicode MS" w:hAnsi="Arial" w:cs="Arial"/>
                <w:sz w:val="20"/>
                <w:szCs w:val="20"/>
              </w:rPr>
              <w:lastRenderedPageBreak/>
              <w:t>27</w:t>
            </w:r>
          </w:p>
        </w:tc>
        <w:tc>
          <w:tcPr>
            <w:tcW w:w="8895"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4E2F0EAB" w14:textId="77777777" w:rsidR="00D76DF6" w:rsidRPr="004F1045" w:rsidRDefault="00D76DF6" w:rsidP="004E1C9A">
            <w:pPr>
              <w:pStyle w:val="TableStyle2"/>
              <w:rPr>
                <w:rFonts w:ascii="Arial" w:hAnsi="Arial" w:cs="Arial"/>
                <w:color w:val="auto"/>
              </w:rPr>
            </w:pPr>
            <w:r w:rsidRPr="004F1045">
              <w:rPr>
                <w:rFonts w:ascii="Arial" w:hAnsi="Arial" w:cs="Arial"/>
                <w:color w:val="auto"/>
              </w:rPr>
              <w:t>microbial consortium.mp.</w:t>
            </w:r>
          </w:p>
        </w:tc>
      </w:tr>
      <w:tr w:rsidR="00D76DF6" w:rsidRPr="004F1045" w14:paraId="2709660F" w14:textId="77777777" w:rsidTr="004E1C9A">
        <w:trPr>
          <w:trHeight w:val="400"/>
        </w:trPr>
        <w:tc>
          <w:tcPr>
            <w:tcW w:w="465"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vAlign w:val="center"/>
          </w:tcPr>
          <w:p w14:paraId="3F3EAF7D" w14:textId="77777777" w:rsidR="00D76DF6" w:rsidRPr="004F1045" w:rsidRDefault="00D76DF6" w:rsidP="004E1C9A">
            <w:pPr>
              <w:spacing w:after="0" w:line="240" w:lineRule="auto"/>
              <w:rPr>
                <w:rFonts w:ascii="Arial" w:hAnsi="Arial" w:cs="Arial"/>
                <w:sz w:val="20"/>
                <w:szCs w:val="20"/>
              </w:rPr>
            </w:pPr>
            <w:r w:rsidRPr="004F1045">
              <w:rPr>
                <w:rFonts w:ascii="Arial" w:eastAsia="Arial Unicode MS" w:hAnsi="Arial" w:cs="Arial"/>
                <w:sz w:val="20"/>
                <w:szCs w:val="20"/>
              </w:rPr>
              <w:t>28</w:t>
            </w:r>
          </w:p>
        </w:tc>
        <w:tc>
          <w:tcPr>
            <w:tcW w:w="8895"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vAlign w:val="center"/>
          </w:tcPr>
          <w:p w14:paraId="62DF2E8B" w14:textId="77777777" w:rsidR="00D76DF6" w:rsidRPr="004F1045" w:rsidRDefault="00D76DF6" w:rsidP="004E1C9A">
            <w:pPr>
              <w:pStyle w:val="TableStyle2"/>
              <w:rPr>
                <w:rFonts w:ascii="Arial" w:hAnsi="Arial" w:cs="Arial"/>
                <w:color w:val="auto"/>
              </w:rPr>
            </w:pPr>
            <w:r w:rsidRPr="004F1045">
              <w:rPr>
                <w:rFonts w:ascii="Arial" w:hAnsi="Arial" w:cs="Arial"/>
                <w:color w:val="auto"/>
              </w:rPr>
              <w:t>microflora.mp.</w:t>
            </w:r>
          </w:p>
        </w:tc>
      </w:tr>
      <w:tr w:rsidR="00D76DF6" w:rsidRPr="004F1045" w14:paraId="767C95F1" w14:textId="77777777" w:rsidTr="004E1C9A">
        <w:trPr>
          <w:trHeight w:val="400"/>
        </w:trPr>
        <w:tc>
          <w:tcPr>
            <w:tcW w:w="465"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2E9D25F1" w14:textId="77777777" w:rsidR="00D76DF6" w:rsidRPr="004F1045" w:rsidRDefault="00D76DF6" w:rsidP="004E1C9A">
            <w:pPr>
              <w:spacing w:after="0" w:line="240" w:lineRule="auto"/>
              <w:rPr>
                <w:rFonts w:ascii="Arial" w:hAnsi="Arial" w:cs="Arial"/>
                <w:sz w:val="20"/>
                <w:szCs w:val="20"/>
              </w:rPr>
            </w:pPr>
            <w:r w:rsidRPr="004F1045">
              <w:rPr>
                <w:rFonts w:ascii="Arial" w:eastAsia="Arial Unicode MS" w:hAnsi="Arial" w:cs="Arial"/>
                <w:sz w:val="20"/>
                <w:szCs w:val="20"/>
              </w:rPr>
              <w:t>29</w:t>
            </w:r>
          </w:p>
        </w:tc>
        <w:tc>
          <w:tcPr>
            <w:tcW w:w="8895"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5DC555E2" w14:textId="77777777" w:rsidR="00D76DF6" w:rsidRPr="004F1045" w:rsidRDefault="00D76DF6" w:rsidP="004E1C9A">
            <w:pPr>
              <w:pStyle w:val="TableStyle2"/>
              <w:rPr>
                <w:rFonts w:ascii="Arial" w:hAnsi="Arial" w:cs="Arial"/>
                <w:color w:val="auto"/>
              </w:rPr>
            </w:pPr>
            <w:r w:rsidRPr="004F1045">
              <w:rPr>
                <w:rFonts w:ascii="Arial" w:hAnsi="Arial" w:cs="Arial"/>
                <w:color w:val="auto"/>
              </w:rPr>
              <w:t>bacterial flora.mp.</w:t>
            </w:r>
          </w:p>
        </w:tc>
      </w:tr>
      <w:tr w:rsidR="00D76DF6" w:rsidRPr="004F1045" w14:paraId="54D4B7F0" w14:textId="77777777" w:rsidTr="004E1C9A">
        <w:trPr>
          <w:trHeight w:val="400"/>
        </w:trPr>
        <w:tc>
          <w:tcPr>
            <w:tcW w:w="465"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vAlign w:val="center"/>
          </w:tcPr>
          <w:p w14:paraId="24912C66" w14:textId="77777777" w:rsidR="00D76DF6" w:rsidRPr="004F1045" w:rsidRDefault="00D76DF6" w:rsidP="004E1C9A">
            <w:pPr>
              <w:spacing w:after="0" w:line="240" w:lineRule="auto"/>
              <w:rPr>
                <w:rFonts w:ascii="Arial" w:hAnsi="Arial" w:cs="Arial"/>
                <w:sz w:val="20"/>
                <w:szCs w:val="20"/>
              </w:rPr>
            </w:pPr>
            <w:r w:rsidRPr="004F1045">
              <w:rPr>
                <w:rFonts w:ascii="Arial" w:eastAsia="Arial Unicode MS" w:hAnsi="Arial" w:cs="Arial"/>
                <w:sz w:val="20"/>
                <w:szCs w:val="20"/>
              </w:rPr>
              <w:t>30</w:t>
            </w:r>
          </w:p>
        </w:tc>
        <w:tc>
          <w:tcPr>
            <w:tcW w:w="8895"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vAlign w:val="center"/>
          </w:tcPr>
          <w:p w14:paraId="7061039E" w14:textId="77777777" w:rsidR="00D76DF6" w:rsidRPr="004F1045" w:rsidRDefault="00D76DF6" w:rsidP="004E1C9A">
            <w:pPr>
              <w:pStyle w:val="TableStyle2"/>
              <w:rPr>
                <w:rFonts w:ascii="Arial" w:hAnsi="Arial" w:cs="Arial"/>
                <w:color w:val="auto"/>
              </w:rPr>
            </w:pPr>
            <w:r w:rsidRPr="004F1045">
              <w:rPr>
                <w:rFonts w:ascii="Arial" w:hAnsi="Arial" w:cs="Arial"/>
                <w:color w:val="auto"/>
              </w:rPr>
              <w:t>intestine flora.mp.</w:t>
            </w:r>
          </w:p>
        </w:tc>
      </w:tr>
      <w:tr w:rsidR="00D76DF6" w:rsidRPr="004F1045" w14:paraId="2A074446" w14:textId="77777777" w:rsidTr="004E1C9A">
        <w:trPr>
          <w:trHeight w:val="1413"/>
        </w:trPr>
        <w:tc>
          <w:tcPr>
            <w:tcW w:w="465"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7FA14F9F" w14:textId="77777777" w:rsidR="00D76DF6" w:rsidRPr="004F1045" w:rsidRDefault="00D76DF6" w:rsidP="004E1C9A">
            <w:pPr>
              <w:spacing w:after="0" w:line="240" w:lineRule="auto"/>
              <w:rPr>
                <w:rFonts w:ascii="Arial" w:hAnsi="Arial" w:cs="Arial"/>
                <w:sz w:val="20"/>
                <w:szCs w:val="20"/>
              </w:rPr>
            </w:pPr>
            <w:r w:rsidRPr="004F1045">
              <w:rPr>
                <w:rFonts w:ascii="Arial" w:eastAsia="Arial Unicode MS" w:hAnsi="Arial" w:cs="Arial"/>
                <w:sz w:val="20"/>
                <w:szCs w:val="20"/>
              </w:rPr>
              <w:t>31</w:t>
            </w:r>
          </w:p>
        </w:tc>
        <w:tc>
          <w:tcPr>
            <w:tcW w:w="8895"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6A787401" w14:textId="77777777" w:rsidR="00D76DF6" w:rsidRPr="004F1045" w:rsidRDefault="00D76DF6" w:rsidP="004E1C9A">
            <w:pPr>
              <w:pStyle w:val="TableStyle2"/>
              <w:rPr>
                <w:rFonts w:ascii="Arial" w:hAnsi="Arial" w:cs="Arial"/>
                <w:color w:val="auto"/>
              </w:rPr>
            </w:pPr>
            <w:r w:rsidRPr="004F1045">
              <w:rPr>
                <w:rFonts w:ascii="Arial" w:hAnsi="Arial" w:cs="Arial"/>
                <w:color w:val="auto"/>
              </w:rPr>
              <w:t>(probiotic* adj3 commensal).</w:t>
            </w:r>
            <w:proofErr w:type="spellStart"/>
            <w:r w:rsidRPr="004F1045">
              <w:rPr>
                <w:rFonts w:ascii="Arial" w:hAnsi="Arial" w:cs="Arial"/>
                <w:color w:val="auto"/>
              </w:rPr>
              <w:t>mp</w:t>
            </w:r>
            <w:proofErr w:type="spellEnd"/>
            <w:r w:rsidRPr="004F1045">
              <w:rPr>
                <w:rFonts w:ascii="Arial" w:hAnsi="Arial" w:cs="Arial"/>
                <w:color w:val="auto"/>
              </w:rPr>
              <w:t>. [</w:t>
            </w:r>
            <w:proofErr w:type="spellStart"/>
            <w:r w:rsidRPr="004F1045">
              <w:rPr>
                <w:rFonts w:ascii="Arial" w:hAnsi="Arial" w:cs="Arial"/>
                <w:color w:val="auto"/>
              </w:rPr>
              <w:t>mp</w:t>
            </w:r>
            <w:proofErr w:type="spellEnd"/>
            <w:r w:rsidRPr="004F1045">
              <w:rPr>
                <w:rFonts w:ascii="Arial" w:hAnsi="Arial" w:cs="Arial"/>
                <w:color w:val="auto"/>
              </w:rPr>
              <w:t>=title, abstract, original title, name of substance word, subject heading word, floating sub-heading word, keyword heading word, organism supplementary concept word, protocol supplementary concept word, rare disease supplementary concept word, unique identifier, synonyms]</w:t>
            </w:r>
          </w:p>
        </w:tc>
      </w:tr>
      <w:tr w:rsidR="00D76DF6" w:rsidRPr="004F1045" w14:paraId="070BA77B" w14:textId="77777777" w:rsidTr="004E1C9A">
        <w:trPr>
          <w:trHeight w:val="1413"/>
        </w:trPr>
        <w:tc>
          <w:tcPr>
            <w:tcW w:w="465"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vAlign w:val="center"/>
          </w:tcPr>
          <w:p w14:paraId="73D2F935" w14:textId="77777777" w:rsidR="00D76DF6" w:rsidRPr="004F1045" w:rsidRDefault="00D76DF6" w:rsidP="004E1C9A">
            <w:pPr>
              <w:spacing w:after="0" w:line="240" w:lineRule="auto"/>
              <w:rPr>
                <w:rFonts w:ascii="Arial" w:hAnsi="Arial" w:cs="Arial"/>
                <w:sz w:val="20"/>
                <w:szCs w:val="20"/>
              </w:rPr>
            </w:pPr>
            <w:r w:rsidRPr="004F1045">
              <w:rPr>
                <w:rFonts w:ascii="Arial" w:eastAsia="Arial Unicode MS" w:hAnsi="Arial" w:cs="Arial"/>
                <w:sz w:val="20"/>
                <w:szCs w:val="20"/>
              </w:rPr>
              <w:t>32</w:t>
            </w:r>
          </w:p>
        </w:tc>
        <w:tc>
          <w:tcPr>
            <w:tcW w:w="8895"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vAlign w:val="center"/>
          </w:tcPr>
          <w:p w14:paraId="7FAF66E7" w14:textId="77777777" w:rsidR="00D76DF6" w:rsidRPr="004F1045" w:rsidRDefault="00D76DF6" w:rsidP="004E1C9A">
            <w:pPr>
              <w:pStyle w:val="TableStyle2"/>
              <w:rPr>
                <w:rFonts w:ascii="Arial" w:hAnsi="Arial" w:cs="Arial"/>
                <w:color w:val="auto"/>
              </w:rPr>
            </w:pPr>
            <w:r w:rsidRPr="004F1045">
              <w:rPr>
                <w:rFonts w:ascii="Arial" w:hAnsi="Arial" w:cs="Arial"/>
                <w:color w:val="auto"/>
              </w:rPr>
              <w:t>(probiotic* adj3 complimentary).</w:t>
            </w:r>
            <w:proofErr w:type="spellStart"/>
            <w:r w:rsidRPr="004F1045">
              <w:rPr>
                <w:rFonts w:ascii="Arial" w:hAnsi="Arial" w:cs="Arial"/>
                <w:color w:val="auto"/>
              </w:rPr>
              <w:t>mp</w:t>
            </w:r>
            <w:proofErr w:type="spellEnd"/>
            <w:r w:rsidRPr="004F1045">
              <w:rPr>
                <w:rFonts w:ascii="Arial" w:hAnsi="Arial" w:cs="Arial"/>
                <w:color w:val="auto"/>
              </w:rPr>
              <w:t>. [</w:t>
            </w:r>
            <w:proofErr w:type="spellStart"/>
            <w:r w:rsidRPr="004F1045">
              <w:rPr>
                <w:rFonts w:ascii="Arial" w:hAnsi="Arial" w:cs="Arial"/>
                <w:color w:val="auto"/>
              </w:rPr>
              <w:t>mp</w:t>
            </w:r>
            <w:proofErr w:type="spellEnd"/>
            <w:r w:rsidRPr="004F1045">
              <w:rPr>
                <w:rFonts w:ascii="Arial" w:hAnsi="Arial" w:cs="Arial"/>
                <w:color w:val="auto"/>
              </w:rPr>
              <w:t>=title, abstract, original title, name of substance word, subject heading word, floating sub-heading word, keyword heading word, organism supplementary concept word, protocol supplementary concept word, rare disease supplementary concept word, unique identifier, synonyms]</w:t>
            </w:r>
          </w:p>
        </w:tc>
      </w:tr>
      <w:tr w:rsidR="00D76DF6" w:rsidRPr="004F1045" w14:paraId="0B37CD87" w14:textId="77777777" w:rsidTr="004E1C9A">
        <w:trPr>
          <w:trHeight w:val="1413"/>
        </w:trPr>
        <w:tc>
          <w:tcPr>
            <w:tcW w:w="465"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6524BB06" w14:textId="77777777" w:rsidR="00D76DF6" w:rsidRPr="004F1045" w:rsidRDefault="00D76DF6" w:rsidP="004E1C9A">
            <w:pPr>
              <w:spacing w:after="0" w:line="240" w:lineRule="auto"/>
              <w:rPr>
                <w:rFonts w:ascii="Arial" w:hAnsi="Arial" w:cs="Arial"/>
                <w:sz w:val="20"/>
                <w:szCs w:val="20"/>
              </w:rPr>
            </w:pPr>
            <w:r w:rsidRPr="004F1045">
              <w:rPr>
                <w:rFonts w:ascii="Arial" w:eastAsia="Arial Unicode MS" w:hAnsi="Arial" w:cs="Arial"/>
                <w:sz w:val="20"/>
                <w:szCs w:val="20"/>
              </w:rPr>
              <w:t>33</w:t>
            </w:r>
          </w:p>
        </w:tc>
        <w:tc>
          <w:tcPr>
            <w:tcW w:w="8895"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4D27CEDD" w14:textId="77777777" w:rsidR="00D76DF6" w:rsidRPr="004F1045" w:rsidRDefault="00D76DF6" w:rsidP="004E1C9A">
            <w:pPr>
              <w:pStyle w:val="TableStyle2"/>
              <w:rPr>
                <w:rFonts w:ascii="Arial" w:hAnsi="Arial" w:cs="Arial"/>
                <w:color w:val="auto"/>
              </w:rPr>
            </w:pPr>
            <w:r w:rsidRPr="004F1045">
              <w:rPr>
                <w:rFonts w:ascii="Arial" w:hAnsi="Arial" w:cs="Arial"/>
                <w:color w:val="auto"/>
              </w:rPr>
              <w:t>(probiotic* adj2 commensal).</w:t>
            </w:r>
            <w:proofErr w:type="spellStart"/>
            <w:r w:rsidRPr="004F1045">
              <w:rPr>
                <w:rFonts w:ascii="Arial" w:hAnsi="Arial" w:cs="Arial"/>
                <w:color w:val="auto"/>
              </w:rPr>
              <w:t>mp</w:t>
            </w:r>
            <w:proofErr w:type="spellEnd"/>
            <w:r w:rsidRPr="004F1045">
              <w:rPr>
                <w:rFonts w:ascii="Arial" w:hAnsi="Arial" w:cs="Arial"/>
                <w:color w:val="auto"/>
              </w:rPr>
              <w:t>. [</w:t>
            </w:r>
            <w:proofErr w:type="spellStart"/>
            <w:r w:rsidRPr="004F1045">
              <w:rPr>
                <w:rFonts w:ascii="Arial" w:hAnsi="Arial" w:cs="Arial"/>
                <w:color w:val="auto"/>
              </w:rPr>
              <w:t>mp</w:t>
            </w:r>
            <w:proofErr w:type="spellEnd"/>
            <w:r w:rsidRPr="004F1045">
              <w:rPr>
                <w:rFonts w:ascii="Arial" w:hAnsi="Arial" w:cs="Arial"/>
                <w:color w:val="auto"/>
              </w:rPr>
              <w:t>=title, abstract, original title, name of substance word, subject heading word, floating sub-heading word, keyword heading word, organism supplementary concept word, protocol supplementary concept word, rare disease supplementary concept word, unique identifier, synonyms]</w:t>
            </w:r>
          </w:p>
        </w:tc>
      </w:tr>
      <w:tr w:rsidR="00D76DF6" w:rsidRPr="004F1045" w14:paraId="714AC0AD" w14:textId="77777777" w:rsidTr="004E1C9A">
        <w:trPr>
          <w:trHeight w:val="1413"/>
        </w:trPr>
        <w:tc>
          <w:tcPr>
            <w:tcW w:w="465"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vAlign w:val="center"/>
          </w:tcPr>
          <w:p w14:paraId="76D47454" w14:textId="77777777" w:rsidR="00D76DF6" w:rsidRPr="004F1045" w:rsidRDefault="00D76DF6" w:rsidP="004E1C9A">
            <w:pPr>
              <w:spacing w:after="0" w:line="240" w:lineRule="auto"/>
              <w:rPr>
                <w:rFonts w:ascii="Arial" w:hAnsi="Arial" w:cs="Arial"/>
                <w:sz w:val="20"/>
                <w:szCs w:val="20"/>
              </w:rPr>
            </w:pPr>
            <w:r w:rsidRPr="004F1045">
              <w:rPr>
                <w:rFonts w:ascii="Arial" w:eastAsia="Arial Unicode MS" w:hAnsi="Arial" w:cs="Arial"/>
                <w:sz w:val="20"/>
                <w:szCs w:val="20"/>
              </w:rPr>
              <w:t>34</w:t>
            </w:r>
          </w:p>
        </w:tc>
        <w:tc>
          <w:tcPr>
            <w:tcW w:w="8895"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vAlign w:val="center"/>
          </w:tcPr>
          <w:p w14:paraId="4F7FB4DF" w14:textId="77777777" w:rsidR="00D76DF6" w:rsidRPr="004F1045" w:rsidRDefault="00D76DF6" w:rsidP="004E1C9A">
            <w:pPr>
              <w:pStyle w:val="TableStyle2"/>
              <w:rPr>
                <w:rFonts w:ascii="Arial" w:hAnsi="Arial" w:cs="Arial"/>
                <w:color w:val="auto"/>
              </w:rPr>
            </w:pPr>
            <w:r w:rsidRPr="004F1045">
              <w:rPr>
                <w:rFonts w:ascii="Arial" w:hAnsi="Arial" w:cs="Arial"/>
                <w:color w:val="auto"/>
              </w:rPr>
              <w:t>(probiotic* adj2 complimentary).</w:t>
            </w:r>
            <w:proofErr w:type="spellStart"/>
            <w:r w:rsidRPr="004F1045">
              <w:rPr>
                <w:rFonts w:ascii="Arial" w:hAnsi="Arial" w:cs="Arial"/>
                <w:color w:val="auto"/>
              </w:rPr>
              <w:t>mp</w:t>
            </w:r>
            <w:proofErr w:type="spellEnd"/>
            <w:r w:rsidRPr="004F1045">
              <w:rPr>
                <w:rFonts w:ascii="Arial" w:hAnsi="Arial" w:cs="Arial"/>
                <w:color w:val="auto"/>
              </w:rPr>
              <w:t>. [</w:t>
            </w:r>
            <w:proofErr w:type="spellStart"/>
            <w:r w:rsidRPr="004F1045">
              <w:rPr>
                <w:rFonts w:ascii="Arial" w:hAnsi="Arial" w:cs="Arial"/>
                <w:color w:val="auto"/>
              </w:rPr>
              <w:t>mp</w:t>
            </w:r>
            <w:proofErr w:type="spellEnd"/>
            <w:r w:rsidRPr="004F1045">
              <w:rPr>
                <w:rFonts w:ascii="Arial" w:hAnsi="Arial" w:cs="Arial"/>
                <w:color w:val="auto"/>
              </w:rPr>
              <w:t>=title, abstract, original title, name of substance word, subject heading word, floating sub-heading word, keyword heading word, organism supplementary concept word, protocol supplementary concept word, rare disease supplementary concept word, unique identifier, synonyms]</w:t>
            </w:r>
          </w:p>
        </w:tc>
      </w:tr>
      <w:tr w:rsidR="00D76DF6" w:rsidRPr="004F1045" w14:paraId="5D067856" w14:textId="77777777" w:rsidTr="004E1C9A">
        <w:trPr>
          <w:trHeight w:val="400"/>
        </w:trPr>
        <w:tc>
          <w:tcPr>
            <w:tcW w:w="465"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5BCE9BBD" w14:textId="77777777" w:rsidR="00D76DF6" w:rsidRPr="004F1045" w:rsidRDefault="00D76DF6" w:rsidP="004E1C9A">
            <w:pPr>
              <w:spacing w:after="0" w:line="240" w:lineRule="auto"/>
              <w:rPr>
                <w:rFonts w:ascii="Arial" w:hAnsi="Arial" w:cs="Arial"/>
                <w:sz w:val="20"/>
                <w:szCs w:val="20"/>
              </w:rPr>
            </w:pPr>
            <w:r w:rsidRPr="004F1045">
              <w:rPr>
                <w:rFonts w:ascii="Arial" w:eastAsia="Arial Unicode MS" w:hAnsi="Arial" w:cs="Arial"/>
                <w:sz w:val="20"/>
                <w:szCs w:val="20"/>
              </w:rPr>
              <w:t>35</w:t>
            </w:r>
          </w:p>
        </w:tc>
        <w:tc>
          <w:tcPr>
            <w:tcW w:w="8895"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20399B45" w14:textId="77777777" w:rsidR="00D76DF6" w:rsidRPr="004F1045" w:rsidRDefault="00D76DF6" w:rsidP="004E1C9A">
            <w:pPr>
              <w:pStyle w:val="TableStyle2"/>
              <w:rPr>
                <w:rFonts w:ascii="Arial" w:hAnsi="Arial" w:cs="Arial"/>
                <w:color w:val="auto"/>
              </w:rPr>
            </w:pPr>
            <w:r w:rsidRPr="004F1045">
              <w:rPr>
                <w:rFonts w:ascii="Arial" w:hAnsi="Arial" w:cs="Arial"/>
                <w:color w:val="auto"/>
              </w:rPr>
              <w:t>exp Lactobacillus/</w:t>
            </w:r>
          </w:p>
        </w:tc>
      </w:tr>
      <w:tr w:rsidR="00D76DF6" w:rsidRPr="004F1045" w14:paraId="3A5756A7" w14:textId="77777777" w:rsidTr="004E1C9A">
        <w:trPr>
          <w:trHeight w:val="400"/>
        </w:trPr>
        <w:tc>
          <w:tcPr>
            <w:tcW w:w="465"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vAlign w:val="center"/>
          </w:tcPr>
          <w:p w14:paraId="5C436603" w14:textId="77777777" w:rsidR="00D76DF6" w:rsidRPr="004F1045" w:rsidRDefault="00D76DF6" w:rsidP="004E1C9A">
            <w:pPr>
              <w:spacing w:after="0" w:line="240" w:lineRule="auto"/>
              <w:rPr>
                <w:rFonts w:ascii="Arial" w:hAnsi="Arial" w:cs="Arial"/>
                <w:sz w:val="20"/>
                <w:szCs w:val="20"/>
              </w:rPr>
            </w:pPr>
            <w:r w:rsidRPr="004F1045">
              <w:rPr>
                <w:rFonts w:ascii="Arial" w:eastAsia="Arial Unicode MS" w:hAnsi="Arial" w:cs="Arial"/>
                <w:sz w:val="20"/>
                <w:szCs w:val="20"/>
              </w:rPr>
              <w:t>36</w:t>
            </w:r>
          </w:p>
        </w:tc>
        <w:tc>
          <w:tcPr>
            <w:tcW w:w="8895"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vAlign w:val="center"/>
          </w:tcPr>
          <w:p w14:paraId="20AD7B13" w14:textId="77777777" w:rsidR="00D76DF6" w:rsidRPr="004F1045" w:rsidRDefault="00D76DF6" w:rsidP="004E1C9A">
            <w:pPr>
              <w:pStyle w:val="TableStyle2"/>
              <w:rPr>
                <w:rFonts w:ascii="Arial" w:hAnsi="Arial" w:cs="Arial"/>
                <w:color w:val="auto"/>
              </w:rPr>
            </w:pPr>
            <w:r w:rsidRPr="004F1045">
              <w:rPr>
                <w:rFonts w:ascii="Arial" w:hAnsi="Arial" w:cs="Arial"/>
                <w:color w:val="auto"/>
              </w:rPr>
              <w:t>Lactobacillus.mp.</w:t>
            </w:r>
          </w:p>
        </w:tc>
      </w:tr>
      <w:tr w:rsidR="00D76DF6" w:rsidRPr="004F1045" w14:paraId="4DBA364D" w14:textId="77777777" w:rsidTr="004E1C9A">
        <w:trPr>
          <w:trHeight w:val="400"/>
        </w:trPr>
        <w:tc>
          <w:tcPr>
            <w:tcW w:w="465"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43A41AD6" w14:textId="77777777" w:rsidR="00D76DF6" w:rsidRPr="004F1045" w:rsidRDefault="00D76DF6" w:rsidP="004E1C9A">
            <w:pPr>
              <w:spacing w:after="0" w:line="240" w:lineRule="auto"/>
              <w:rPr>
                <w:rFonts w:ascii="Arial" w:hAnsi="Arial" w:cs="Arial"/>
                <w:sz w:val="20"/>
                <w:szCs w:val="20"/>
              </w:rPr>
            </w:pPr>
            <w:r w:rsidRPr="004F1045">
              <w:rPr>
                <w:rFonts w:ascii="Arial" w:eastAsia="Arial Unicode MS" w:hAnsi="Arial" w:cs="Arial"/>
                <w:sz w:val="20"/>
                <w:szCs w:val="20"/>
              </w:rPr>
              <w:t>37</w:t>
            </w:r>
          </w:p>
        </w:tc>
        <w:tc>
          <w:tcPr>
            <w:tcW w:w="8895"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09A6593D" w14:textId="77777777" w:rsidR="00D76DF6" w:rsidRPr="004F1045" w:rsidRDefault="00D76DF6" w:rsidP="004E1C9A">
            <w:pPr>
              <w:pStyle w:val="TableStyle2"/>
              <w:rPr>
                <w:rFonts w:ascii="Arial" w:hAnsi="Arial" w:cs="Arial"/>
                <w:color w:val="auto"/>
              </w:rPr>
            </w:pPr>
            <w:r w:rsidRPr="004F1045">
              <w:rPr>
                <w:rFonts w:ascii="Arial" w:hAnsi="Arial" w:cs="Arial"/>
                <w:color w:val="auto"/>
              </w:rPr>
              <w:t>exp Bifidobacterium/</w:t>
            </w:r>
          </w:p>
        </w:tc>
      </w:tr>
      <w:tr w:rsidR="00D76DF6" w:rsidRPr="004F1045" w14:paraId="657CDD17" w14:textId="77777777" w:rsidTr="004E1C9A">
        <w:trPr>
          <w:trHeight w:val="400"/>
        </w:trPr>
        <w:tc>
          <w:tcPr>
            <w:tcW w:w="465"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vAlign w:val="center"/>
          </w:tcPr>
          <w:p w14:paraId="7BC20A33" w14:textId="77777777" w:rsidR="00D76DF6" w:rsidRPr="004F1045" w:rsidRDefault="00D76DF6" w:rsidP="004E1C9A">
            <w:pPr>
              <w:spacing w:after="0" w:line="240" w:lineRule="auto"/>
              <w:rPr>
                <w:rFonts w:ascii="Arial" w:hAnsi="Arial" w:cs="Arial"/>
                <w:sz w:val="20"/>
                <w:szCs w:val="20"/>
              </w:rPr>
            </w:pPr>
            <w:r w:rsidRPr="004F1045">
              <w:rPr>
                <w:rFonts w:ascii="Arial" w:eastAsia="Arial Unicode MS" w:hAnsi="Arial" w:cs="Arial"/>
                <w:sz w:val="20"/>
                <w:szCs w:val="20"/>
              </w:rPr>
              <w:t>38</w:t>
            </w:r>
          </w:p>
        </w:tc>
        <w:tc>
          <w:tcPr>
            <w:tcW w:w="8895"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vAlign w:val="center"/>
          </w:tcPr>
          <w:p w14:paraId="5E0E4BC0" w14:textId="77777777" w:rsidR="00D76DF6" w:rsidRPr="004F1045" w:rsidRDefault="00D76DF6" w:rsidP="004E1C9A">
            <w:pPr>
              <w:pStyle w:val="TableStyle2"/>
              <w:rPr>
                <w:rFonts w:ascii="Arial" w:hAnsi="Arial" w:cs="Arial"/>
                <w:color w:val="auto"/>
              </w:rPr>
            </w:pPr>
            <w:proofErr w:type="spellStart"/>
            <w:r w:rsidRPr="004F1045">
              <w:rPr>
                <w:rFonts w:ascii="Arial" w:hAnsi="Arial" w:cs="Arial"/>
                <w:color w:val="auto"/>
              </w:rPr>
              <w:t>Bifidobacteri</w:t>
            </w:r>
            <w:proofErr w:type="spellEnd"/>
            <w:r w:rsidRPr="004F1045">
              <w:rPr>
                <w:rFonts w:ascii="Arial" w:hAnsi="Arial" w:cs="Arial"/>
                <w:color w:val="auto"/>
              </w:rPr>
              <w:t>*.</w:t>
            </w:r>
            <w:proofErr w:type="spellStart"/>
            <w:r w:rsidRPr="004F1045">
              <w:rPr>
                <w:rFonts w:ascii="Arial" w:hAnsi="Arial" w:cs="Arial"/>
                <w:color w:val="auto"/>
              </w:rPr>
              <w:t>mp</w:t>
            </w:r>
            <w:proofErr w:type="spellEnd"/>
            <w:r w:rsidRPr="004F1045">
              <w:rPr>
                <w:rFonts w:ascii="Arial" w:hAnsi="Arial" w:cs="Arial"/>
                <w:color w:val="auto"/>
              </w:rPr>
              <w:t>.</w:t>
            </w:r>
          </w:p>
        </w:tc>
      </w:tr>
      <w:tr w:rsidR="00D76DF6" w:rsidRPr="004F1045" w14:paraId="28024880" w14:textId="77777777" w:rsidTr="004E1C9A">
        <w:trPr>
          <w:trHeight w:val="400"/>
        </w:trPr>
        <w:tc>
          <w:tcPr>
            <w:tcW w:w="465"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023A9B1E" w14:textId="77777777" w:rsidR="00D76DF6" w:rsidRPr="004F1045" w:rsidRDefault="00D76DF6" w:rsidP="004E1C9A">
            <w:pPr>
              <w:spacing w:after="0" w:line="240" w:lineRule="auto"/>
              <w:rPr>
                <w:rFonts w:ascii="Arial" w:hAnsi="Arial" w:cs="Arial"/>
                <w:sz w:val="20"/>
                <w:szCs w:val="20"/>
              </w:rPr>
            </w:pPr>
            <w:r w:rsidRPr="004F1045">
              <w:rPr>
                <w:rFonts w:ascii="Arial" w:eastAsia="Arial Unicode MS" w:hAnsi="Arial" w:cs="Arial"/>
                <w:sz w:val="20"/>
                <w:szCs w:val="20"/>
              </w:rPr>
              <w:t>39</w:t>
            </w:r>
          </w:p>
        </w:tc>
        <w:tc>
          <w:tcPr>
            <w:tcW w:w="8895"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1D5D869F" w14:textId="77777777" w:rsidR="00D76DF6" w:rsidRPr="004F1045" w:rsidRDefault="00D76DF6" w:rsidP="004E1C9A">
            <w:pPr>
              <w:pStyle w:val="TableStyle2"/>
              <w:rPr>
                <w:rFonts w:ascii="Arial" w:hAnsi="Arial" w:cs="Arial"/>
                <w:color w:val="auto"/>
              </w:rPr>
            </w:pPr>
            <w:proofErr w:type="spellStart"/>
            <w:r w:rsidRPr="004F1045">
              <w:rPr>
                <w:rFonts w:ascii="Arial" w:hAnsi="Arial" w:cs="Arial"/>
                <w:color w:val="auto"/>
              </w:rPr>
              <w:t>Nissle</w:t>
            </w:r>
            <w:proofErr w:type="spellEnd"/>
            <w:r w:rsidRPr="004F1045">
              <w:rPr>
                <w:rFonts w:ascii="Arial" w:hAnsi="Arial" w:cs="Arial"/>
                <w:color w:val="auto"/>
              </w:rPr>
              <w:t xml:space="preserve"> Yeast.mp.</w:t>
            </w:r>
          </w:p>
        </w:tc>
      </w:tr>
      <w:tr w:rsidR="00D76DF6" w:rsidRPr="004F1045" w14:paraId="23246E6A" w14:textId="77777777" w:rsidTr="004E1C9A">
        <w:trPr>
          <w:trHeight w:val="400"/>
        </w:trPr>
        <w:tc>
          <w:tcPr>
            <w:tcW w:w="465"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vAlign w:val="center"/>
          </w:tcPr>
          <w:p w14:paraId="7AA40C98" w14:textId="77777777" w:rsidR="00D76DF6" w:rsidRPr="004F1045" w:rsidRDefault="00D76DF6" w:rsidP="004E1C9A">
            <w:pPr>
              <w:spacing w:after="0" w:line="240" w:lineRule="auto"/>
              <w:rPr>
                <w:rFonts w:ascii="Arial" w:hAnsi="Arial" w:cs="Arial"/>
                <w:sz w:val="20"/>
                <w:szCs w:val="20"/>
              </w:rPr>
            </w:pPr>
            <w:r w:rsidRPr="004F1045">
              <w:rPr>
                <w:rFonts w:ascii="Arial" w:eastAsia="Arial Unicode MS" w:hAnsi="Arial" w:cs="Arial"/>
                <w:sz w:val="20"/>
                <w:szCs w:val="20"/>
              </w:rPr>
              <w:t>40</w:t>
            </w:r>
          </w:p>
        </w:tc>
        <w:tc>
          <w:tcPr>
            <w:tcW w:w="8895"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vAlign w:val="center"/>
          </w:tcPr>
          <w:p w14:paraId="028428F8" w14:textId="77777777" w:rsidR="00D76DF6" w:rsidRPr="004F1045" w:rsidRDefault="00D76DF6" w:rsidP="004E1C9A">
            <w:pPr>
              <w:pStyle w:val="TableStyle2"/>
              <w:rPr>
                <w:rFonts w:ascii="Arial" w:hAnsi="Arial" w:cs="Arial"/>
                <w:color w:val="auto"/>
              </w:rPr>
            </w:pPr>
            <w:r w:rsidRPr="004F1045">
              <w:rPr>
                <w:rFonts w:ascii="Arial" w:hAnsi="Arial" w:cs="Arial"/>
                <w:color w:val="auto"/>
              </w:rPr>
              <w:t>exp Saccharomyces/</w:t>
            </w:r>
          </w:p>
        </w:tc>
      </w:tr>
      <w:tr w:rsidR="00D76DF6" w:rsidRPr="004F1045" w14:paraId="0D32B7AE" w14:textId="77777777" w:rsidTr="004E1C9A">
        <w:trPr>
          <w:trHeight w:val="400"/>
        </w:trPr>
        <w:tc>
          <w:tcPr>
            <w:tcW w:w="465"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47AC9474" w14:textId="77777777" w:rsidR="00D76DF6" w:rsidRPr="004F1045" w:rsidRDefault="00D76DF6" w:rsidP="004E1C9A">
            <w:pPr>
              <w:spacing w:after="0" w:line="240" w:lineRule="auto"/>
              <w:rPr>
                <w:rFonts w:ascii="Arial" w:hAnsi="Arial" w:cs="Arial"/>
                <w:sz w:val="20"/>
                <w:szCs w:val="20"/>
              </w:rPr>
            </w:pPr>
            <w:r w:rsidRPr="004F1045">
              <w:rPr>
                <w:rFonts w:ascii="Arial" w:eastAsia="Arial Unicode MS" w:hAnsi="Arial" w:cs="Arial"/>
                <w:sz w:val="20"/>
                <w:szCs w:val="20"/>
              </w:rPr>
              <w:t>41</w:t>
            </w:r>
          </w:p>
        </w:tc>
        <w:tc>
          <w:tcPr>
            <w:tcW w:w="8895"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42C7FC9C" w14:textId="77777777" w:rsidR="00D76DF6" w:rsidRPr="004F1045" w:rsidRDefault="00D76DF6" w:rsidP="004E1C9A">
            <w:pPr>
              <w:pStyle w:val="TableStyle2"/>
              <w:rPr>
                <w:rFonts w:ascii="Arial" w:hAnsi="Arial" w:cs="Arial"/>
                <w:color w:val="auto"/>
              </w:rPr>
            </w:pPr>
            <w:r w:rsidRPr="004F1045">
              <w:rPr>
                <w:rFonts w:ascii="Arial" w:hAnsi="Arial" w:cs="Arial"/>
                <w:color w:val="auto"/>
              </w:rPr>
              <w:t>Saccharomyces.mp.</w:t>
            </w:r>
          </w:p>
        </w:tc>
      </w:tr>
      <w:tr w:rsidR="00D76DF6" w:rsidRPr="004F1045" w14:paraId="78346C15" w14:textId="77777777" w:rsidTr="004E1C9A">
        <w:trPr>
          <w:trHeight w:val="400"/>
        </w:trPr>
        <w:tc>
          <w:tcPr>
            <w:tcW w:w="465"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vAlign w:val="center"/>
          </w:tcPr>
          <w:p w14:paraId="6DBD3ADE" w14:textId="77777777" w:rsidR="00D76DF6" w:rsidRPr="004F1045" w:rsidRDefault="00D76DF6" w:rsidP="004E1C9A">
            <w:pPr>
              <w:spacing w:after="0" w:line="240" w:lineRule="auto"/>
              <w:rPr>
                <w:rFonts w:ascii="Arial" w:hAnsi="Arial" w:cs="Arial"/>
                <w:sz w:val="20"/>
                <w:szCs w:val="20"/>
              </w:rPr>
            </w:pPr>
            <w:r w:rsidRPr="004F1045">
              <w:rPr>
                <w:rFonts w:ascii="Arial" w:eastAsia="Arial Unicode MS" w:hAnsi="Arial" w:cs="Arial"/>
                <w:sz w:val="20"/>
                <w:szCs w:val="20"/>
              </w:rPr>
              <w:t>42</w:t>
            </w:r>
          </w:p>
        </w:tc>
        <w:tc>
          <w:tcPr>
            <w:tcW w:w="8895"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vAlign w:val="center"/>
          </w:tcPr>
          <w:p w14:paraId="0F883A62" w14:textId="77777777" w:rsidR="00D76DF6" w:rsidRPr="004F1045" w:rsidRDefault="00D76DF6" w:rsidP="004E1C9A">
            <w:pPr>
              <w:pStyle w:val="TableStyle2"/>
              <w:rPr>
                <w:rFonts w:ascii="Arial" w:hAnsi="Arial" w:cs="Arial"/>
                <w:color w:val="auto"/>
              </w:rPr>
            </w:pPr>
            <w:r w:rsidRPr="004F1045">
              <w:rPr>
                <w:rFonts w:ascii="Arial" w:hAnsi="Arial" w:cs="Arial"/>
                <w:color w:val="auto"/>
              </w:rPr>
              <w:t>boulardii.mp.</w:t>
            </w:r>
          </w:p>
        </w:tc>
      </w:tr>
      <w:tr w:rsidR="00D76DF6" w:rsidRPr="004F1045" w14:paraId="0E674C67" w14:textId="77777777" w:rsidTr="004E1C9A">
        <w:trPr>
          <w:trHeight w:val="400"/>
        </w:trPr>
        <w:tc>
          <w:tcPr>
            <w:tcW w:w="465"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0E236176" w14:textId="77777777" w:rsidR="00D76DF6" w:rsidRPr="004F1045" w:rsidRDefault="00D76DF6" w:rsidP="004E1C9A">
            <w:pPr>
              <w:spacing w:after="0" w:line="240" w:lineRule="auto"/>
              <w:rPr>
                <w:rFonts w:ascii="Arial" w:hAnsi="Arial" w:cs="Arial"/>
                <w:sz w:val="20"/>
                <w:szCs w:val="20"/>
              </w:rPr>
            </w:pPr>
            <w:r w:rsidRPr="004F1045">
              <w:rPr>
                <w:rFonts w:ascii="Arial" w:eastAsia="Arial Unicode MS" w:hAnsi="Arial" w:cs="Arial"/>
                <w:sz w:val="20"/>
                <w:szCs w:val="20"/>
              </w:rPr>
              <w:t>43</w:t>
            </w:r>
          </w:p>
        </w:tc>
        <w:tc>
          <w:tcPr>
            <w:tcW w:w="8895"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7E5E9AD8" w14:textId="77777777" w:rsidR="00D76DF6" w:rsidRPr="004F1045" w:rsidRDefault="00D76DF6" w:rsidP="004E1C9A">
            <w:pPr>
              <w:pStyle w:val="TableStyle2"/>
              <w:rPr>
                <w:rFonts w:ascii="Arial" w:hAnsi="Arial" w:cs="Arial"/>
                <w:color w:val="auto"/>
              </w:rPr>
            </w:pPr>
            <w:r w:rsidRPr="004F1045">
              <w:rPr>
                <w:rFonts w:ascii="Arial" w:hAnsi="Arial" w:cs="Arial"/>
                <w:color w:val="auto"/>
              </w:rPr>
              <w:t>VSL$.mp.</w:t>
            </w:r>
          </w:p>
        </w:tc>
      </w:tr>
      <w:tr w:rsidR="00D76DF6" w:rsidRPr="004F1045" w14:paraId="038B2730" w14:textId="77777777" w:rsidTr="004E1C9A">
        <w:trPr>
          <w:trHeight w:val="400"/>
        </w:trPr>
        <w:tc>
          <w:tcPr>
            <w:tcW w:w="465"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vAlign w:val="center"/>
          </w:tcPr>
          <w:p w14:paraId="2BEACFAE" w14:textId="77777777" w:rsidR="00D76DF6" w:rsidRPr="004F1045" w:rsidRDefault="00D76DF6" w:rsidP="004E1C9A">
            <w:pPr>
              <w:spacing w:after="0" w:line="240" w:lineRule="auto"/>
              <w:rPr>
                <w:rFonts w:ascii="Arial" w:hAnsi="Arial" w:cs="Arial"/>
                <w:sz w:val="20"/>
                <w:szCs w:val="20"/>
              </w:rPr>
            </w:pPr>
            <w:r w:rsidRPr="004F1045">
              <w:rPr>
                <w:rFonts w:ascii="Arial" w:eastAsia="Arial Unicode MS" w:hAnsi="Arial" w:cs="Arial"/>
                <w:sz w:val="20"/>
                <w:szCs w:val="20"/>
              </w:rPr>
              <w:t>44</w:t>
            </w:r>
          </w:p>
        </w:tc>
        <w:tc>
          <w:tcPr>
            <w:tcW w:w="8895"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vAlign w:val="center"/>
          </w:tcPr>
          <w:p w14:paraId="6A2E0BE4" w14:textId="77777777" w:rsidR="00D76DF6" w:rsidRPr="004F1045" w:rsidRDefault="00D76DF6" w:rsidP="004E1C9A">
            <w:pPr>
              <w:pStyle w:val="TableStyle2"/>
              <w:rPr>
                <w:rFonts w:ascii="Arial" w:hAnsi="Arial" w:cs="Arial"/>
                <w:color w:val="auto"/>
              </w:rPr>
            </w:pPr>
            <w:r w:rsidRPr="004F1045">
              <w:rPr>
                <w:rFonts w:ascii="Arial" w:hAnsi="Arial" w:cs="Arial"/>
                <w:color w:val="auto"/>
              </w:rPr>
              <w:t>exp Streptococcus/</w:t>
            </w:r>
          </w:p>
        </w:tc>
      </w:tr>
      <w:tr w:rsidR="00D76DF6" w:rsidRPr="004F1045" w14:paraId="27FF660E" w14:textId="77777777" w:rsidTr="004E1C9A">
        <w:trPr>
          <w:trHeight w:val="400"/>
        </w:trPr>
        <w:tc>
          <w:tcPr>
            <w:tcW w:w="465"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0C6B0B7F" w14:textId="77777777" w:rsidR="00D76DF6" w:rsidRPr="004F1045" w:rsidRDefault="00D76DF6" w:rsidP="004E1C9A">
            <w:pPr>
              <w:spacing w:after="0" w:line="240" w:lineRule="auto"/>
              <w:rPr>
                <w:rFonts w:ascii="Arial" w:hAnsi="Arial" w:cs="Arial"/>
                <w:sz w:val="20"/>
                <w:szCs w:val="20"/>
              </w:rPr>
            </w:pPr>
            <w:r w:rsidRPr="004F1045">
              <w:rPr>
                <w:rFonts w:ascii="Arial" w:eastAsia="Arial Unicode MS" w:hAnsi="Arial" w:cs="Arial"/>
                <w:sz w:val="20"/>
                <w:szCs w:val="20"/>
              </w:rPr>
              <w:t>45</w:t>
            </w:r>
          </w:p>
        </w:tc>
        <w:tc>
          <w:tcPr>
            <w:tcW w:w="8895"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01A4BD50" w14:textId="77777777" w:rsidR="00D76DF6" w:rsidRPr="004F1045" w:rsidRDefault="00D76DF6" w:rsidP="004E1C9A">
            <w:pPr>
              <w:pStyle w:val="TableStyle2"/>
              <w:rPr>
                <w:rFonts w:ascii="Arial" w:hAnsi="Arial" w:cs="Arial"/>
                <w:color w:val="auto"/>
              </w:rPr>
            </w:pPr>
            <w:r w:rsidRPr="004F1045">
              <w:rPr>
                <w:rFonts w:ascii="Arial" w:hAnsi="Arial" w:cs="Arial"/>
                <w:color w:val="auto"/>
              </w:rPr>
              <w:t>Streptococcus.mp.</w:t>
            </w:r>
          </w:p>
        </w:tc>
      </w:tr>
      <w:tr w:rsidR="00D76DF6" w:rsidRPr="004F1045" w14:paraId="095D594F" w14:textId="77777777" w:rsidTr="004E1C9A">
        <w:trPr>
          <w:trHeight w:val="400"/>
        </w:trPr>
        <w:tc>
          <w:tcPr>
            <w:tcW w:w="465"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vAlign w:val="center"/>
          </w:tcPr>
          <w:p w14:paraId="0BFADF36" w14:textId="77777777" w:rsidR="00D76DF6" w:rsidRPr="004F1045" w:rsidRDefault="00D76DF6" w:rsidP="004E1C9A">
            <w:pPr>
              <w:spacing w:after="0" w:line="240" w:lineRule="auto"/>
              <w:rPr>
                <w:rFonts w:ascii="Arial" w:hAnsi="Arial" w:cs="Arial"/>
                <w:sz w:val="20"/>
                <w:szCs w:val="20"/>
              </w:rPr>
            </w:pPr>
            <w:r w:rsidRPr="004F1045">
              <w:rPr>
                <w:rFonts w:ascii="Arial" w:eastAsia="Arial Unicode MS" w:hAnsi="Arial" w:cs="Arial"/>
                <w:sz w:val="20"/>
                <w:szCs w:val="20"/>
              </w:rPr>
              <w:t>46</w:t>
            </w:r>
          </w:p>
        </w:tc>
        <w:tc>
          <w:tcPr>
            <w:tcW w:w="8895"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vAlign w:val="center"/>
          </w:tcPr>
          <w:p w14:paraId="3251DB78" w14:textId="77777777" w:rsidR="00D76DF6" w:rsidRPr="004F1045" w:rsidRDefault="00D76DF6" w:rsidP="004E1C9A">
            <w:pPr>
              <w:pStyle w:val="TableStyle2"/>
              <w:rPr>
                <w:rFonts w:ascii="Arial" w:hAnsi="Arial" w:cs="Arial"/>
                <w:color w:val="auto"/>
              </w:rPr>
            </w:pPr>
            <w:r w:rsidRPr="004F1045">
              <w:rPr>
                <w:rFonts w:ascii="Arial" w:hAnsi="Arial" w:cs="Arial"/>
                <w:color w:val="auto"/>
              </w:rPr>
              <w:t>or/18-45</w:t>
            </w:r>
          </w:p>
        </w:tc>
      </w:tr>
      <w:tr w:rsidR="00D76DF6" w:rsidRPr="004F1045" w14:paraId="4D2F63B2" w14:textId="77777777" w:rsidTr="004E1C9A">
        <w:trPr>
          <w:trHeight w:val="400"/>
        </w:trPr>
        <w:tc>
          <w:tcPr>
            <w:tcW w:w="465"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5D37EB33" w14:textId="77777777" w:rsidR="00D76DF6" w:rsidRPr="004F1045" w:rsidRDefault="00D76DF6" w:rsidP="004E1C9A">
            <w:pPr>
              <w:spacing w:after="0" w:line="240" w:lineRule="auto"/>
              <w:rPr>
                <w:rFonts w:ascii="Arial" w:hAnsi="Arial" w:cs="Arial"/>
                <w:sz w:val="20"/>
                <w:szCs w:val="20"/>
              </w:rPr>
            </w:pPr>
            <w:r w:rsidRPr="004F1045">
              <w:rPr>
                <w:rFonts w:ascii="Arial" w:eastAsia="Arial Unicode MS" w:hAnsi="Arial" w:cs="Arial"/>
                <w:sz w:val="20"/>
                <w:szCs w:val="20"/>
              </w:rPr>
              <w:t>47</w:t>
            </w:r>
          </w:p>
        </w:tc>
        <w:tc>
          <w:tcPr>
            <w:tcW w:w="8895"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4546EE43" w14:textId="77777777" w:rsidR="00D76DF6" w:rsidRPr="004F1045" w:rsidRDefault="00D76DF6" w:rsidP="004E1C9A">
            <w:pPr>
              <w:pStyle w:val="TableStyle2"/>
              <w:rPr>
                <w:rFonts w:ascii="Arial" w:hAnsi="Arial" w:cs="Arial"/>
                <w:color w:val="auto"/>
              </w:rPr>
            </w:pPr>
            <w:r w:rsidRPr="004F1045">
              <w:rPr>
                <w:rFonts w:ascii="Arial" w:hAnsi="Arial" w:cs="Arial"/>
                <w:color w:val="auto"/>
              </w:rPr>
              <w:t>17 and 46</w:t>
            </w:r>
          </w:p>
        </w:tc>
      </w:tr>
    </w:tbl>
    <w:p w14:paraId="2E1077F6" w14:textId="77777777" w:rsidR="00D76DF6" w:rsidRPr="004F1045" w:rsidRDefault="00D76DF6" w:rsidP="00D76DF6">
      <w:pPr>
        <w:pStyle w:val="Default"/>
        <w:rPr>
          <w:rFonts w:ascii="Arial" w:hAnsi="Arial" w:cs="Arial"/>
          <w:color w:val="auto"/>
          <w:sz w:val="20"/>
          <w:szCs w:val="20"/>
          <w:lang w:val="en-CA"/>
        </w:rPr>
      </w:pPr>
    </w:p>
    <w:p w14:paraId="67054EE0" w14:textId="77777777" w:rsidR="00AB16F8" w:rsidRDefault="00AB16F8">
      <w:pPr>
        <w:rPr>
          <w:rFonts w:ascii="Arial" w:eastAsia="Arial Unicode MS" w:hAnsi="Arial" w:cs="Arial"/>
          <w:b/>
          <w:bCs/>
          <w:sz w:val="20"/>
          <w:szCs w:val="20"/>
          <w:bdr w:val="nil"/>
          <w:lang w:eastAsia="en-CA"/>
        </w:rPr>
      </w:pPr>
      <w:r>
        <w:rPr>
          <w:rFonts w:ascii="Arial" w:hAnsi="Arial" w:cs="Arial"/>
          <w:b/>
          <w:bCs/>
          <w:sz w:val="20"/>
          <w:szCs w:val="20"/>
        </w:rPr>
        <w:br w:type="page"/>
      </w:r>
    </w:p>
    <w:p w14:paraId="48D6D91B" w14:textId="39DC2059" w:rsidR="00D76DF6" w:rsidRPr="00962FB2" w:rsidRDefault="00ED25DF" w:rsidP="00D76DF6">
      <w:pPr>
        <w:pStyle w:val="Default"/>
        <w:rPr>
          <w:rFonts w:ascii="Arial" w:hAnsi="Arial" w:cs="Arial"/>
          <w:b/>
          <w:bCs/>
          <w:color w:val="auto"/>
          <w:lang w:val="en-CA"/>
        </w:rPr>
      </w:pPr>
      <w:r w:rsidRPr="00962FB2">
        <w:rPr>
          <w:rFonts w:ascii="Arial" w:hAnsi="Arial" w:cs="Arial"/>
          <w:b/>
          <w:bCs/>
          <w:color w:val="auto"/>
          <w:lang w:val="en-CA"/>
        </w:rPr>
        <w:lastRenderedPageBreak/>
        <w:t>Appendix</w:t>
      </w:r>
      <w:r w:rsidR="00D76DF6" w:rsidRPr="00962FB2">
        <w:rPr>
          <w:rFonts w:ascii="Arial" w:hAnsi="Arial" w:cs="Arial"/>
          <w:b/>
          <w:bCs/>
          <w:color w:val="auto"/>
          <w:lang w:val="en-CA"/>
        </w:rPr>
        <w:t xml:space="preserve"> 2. Excluded studies</w:t>
      </w:r>
      <w:r w:rsidR="00FF515D" w:rsidRPr="00962FB2">
        <w:rPr>
          <w:rFonts w:ascii="Arial" w:hAnsi="Arial" w:cs="Arial"/>
          <w:b/>
          <w:bCs/>
          <w:color w:val="auto"/>
          <w:lang w:val="en-CA"/>
        </w:rPr>
        <w:t xml:space="preserve"> and reasons for exclusion</w:t>
      </w:r>
      <w:r w:rsidR="00D76DF6" w:rsidRPr="00962FB2">
        <w:rPr>
          <w:rFonts w:ascii="Arial" w:hAnsi="Arial" w:cs="Arial"/>
          <w:b/>
          <w:bCs/>
          <w:color w:val="auto"/>
          <w:lang w:val="en-CA"/>
        </w:rPr>
        <w:t>.</w:t>
      </w:r>
    </w:p>
    <w:p w14:paraId="7553B83F" w14:textId="77777777" w:rsidR="00D76DF6" w:rsidRPr="004F1045" w:rsidRDefault="00D76DF6" w:rsidP="00D76DF6">
      <w:pPr>
        <w:pStyle w:val="Default"/>
        <w:rPr>
          <w:rFonts w:ascii="Arial" w:hAnsi="Arial" w:cs="Arial"/>
          <w:b/>
          <w:bCs/>
          <w:color w:val="auto"/>
          <w:sz w:val="20"/>
          <w:szCs w:val="20"/>
          <w:lang w:val="en-CA"/>
        </w:rPr>
      </w:pPr>
    </w:p>
    <w:tbl>
      <w:tblPr>
        <w:tblStyle w:val="PlainTable51"/>
        <w:tblW w:w="0" w:type="auto"/>
        <w:tblLayout w:type="fixed"/>
        <w:tblLook w:val="04A0" w:firstRow="1" w:lastRow="0" w:firstColumn="1" w:lastColumn="0" w:noHBand="0" w:noVBand="1"/>
      </w:tblPr>
      <w:tblGrid>
        <w:gridCol w:w="2235"/>
        <w:gridCol w:w="6765"/>
      </w:tblGrid>
      <w:tr w:rsidR="00D76DF6" w:rsidRPr="004F1045" w14:paraId="3FEF4A18" w14:textId="77777777" w:rsidTr="004E1C9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35" w:type="dxa"/>
          </w:tcPr>
          <w:p w14:paraId="27D0481E" w14:textId="77777777" w:rsidR="00D76DF6" w:rsidRPr="004F1045" w:rsidRDefault="00D76DF6" w:rsidP="004E1C9A">
            <w:pPr>
              <w:autoSpaceDE w:val="0"/>
              <w:autoSpaceDN w:val="0"/>
              <w:adjustRightInd w:val="0"/>
              <w:jc w:val="left"/>
              <w:rPr>
                <w:rFonts w:ascii="Arial" w:hAnsi="Arial" w:cs="Arial"/>
                <w:b/>
                <w:kern w:val="1"/>
                <w:sz w:val="20"/>
                <w:szCs w:val="20"/>
              </w:rPr>
            </w:pPr>
            <w:r w:rsidRPr="004F1045">
              <w:rPr>
                <w:rFonts w:ascii="Arial" w:hAnsi="Arial" w:cs="Arial"/>
                <w:b/>
                <w:sz w:val="20"/>
                <w:szCs w:val="20"/>
              </w:rPr>
              <w:t xml:space="preserve">Author, </w:t>
            </w:r>
            <w:proofErr w:type="spellStart"/>
            <w:r w:rsidRPr="004F1045">
              <w:rPr>
                <w:rFonts w:ascii="Arial" w:hAnsi="Arial" w:cs="Arial"/>
                <w:b/>
                <w:sz w:val="20"/>
                <w:szCs w:val="20"/>
              </w:rPr>
              <w:t>yr</w:t>
            </w:r>
            <w:proofErr w:type="spellEnd"/>
          </w:p>
        </w:tc>
        <w:tc>
          <w:tcPr>
            <w:tcW w:w="6765" w:type="dxa"/>
          </w:tcPr>
          <w:p w14:paraId="7C6B6ADB" w14:textId="77777777" w:rsidR="00D76DF6" w:rsidRPr="004F1045" w:rsidRDefault="00D76DF6" w:rsidP="004E1C9A">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b/>
                <w:kern w:val="1"/>
                <w:sz w:val="20"/>
                <w:szCs w:val="20"/>
              </w:rPr>
            </w:pPr>
            <w:r w:rsidRPr="004F1045">
              <w:rPr>
                <w:rFonts w:ascii="Arial" w:hAnsi="Arial" w:cs="Arial"/>
                <w:b/>
                <w:kern w:val="1"/>
                <w:sz w:val="20"/>
                <w:szCs w:val="20"/>
              </w:rPr>
              <w:t>Reason for Exclusion</w:t>
            </w:r>
          </w:p>
        </w:tc>
      </w:tr>
      <w:tr w:rsidR="00D76DF6" w:rsidRPr="004F1045" w14:paraId="701BA008" w14:textId="77777777" w:rsidTr="004E1C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59FA6258" w14:textId="447F969E" w:rsidR="00D76DF6" w:rsidRPr="004F1045" w:rsidRDefault="00D76DF6" w:rsidP="004E1C9A">
            <w:pPr>
              <w:autoSpaceDE w:val="0"/>
              <w:autoSpaceDN w:val="0"/>
              <w:adjustRightInd w:val="0"/>
              <w:jc w:val="left"/>
              <w:rPr>
                <w:rFonts w:ascii="Arial" w:hAnsi="Arial" w:cs="Arial"/>
                <w:kern w:val="1"/>
                <w:sz w:val="20"/>
                <w:szCs w:val="20"/>
              </w:rPr>
            </w:pPr>
            <w:r w:rsidRPr="004F1045">
              <w:rPr>
                <w:rFonts w:ascii="Arial" w:hAnsi="Arial" w:cs="Arial"/>
                <w:kern w:val="1"/>
                <w:sz w:val="20"/>
                <w:szCs w:val="20"/>
              </w:rPr>
              <w:t>Afifi 2017</w:t>
            </w:r>
            <w:r w:rsidR="00FF515D" w:rsidRPr="00FF515D">
              <w:rPr>
                <w:rFonts w:ascii="Arial" w:hAnsi="Arial" w:cs="Arial"/>
                <w:kern w:val="1"/>
                <w:sz w:val="20"/>
                <w:szCs w:val="20"/>
                <w:vertAlign w:val="superscript"/>
              </w:rPr>
              <w:t>1</w:t>
            </w:r>
          </w:p>
        </w:tc>
        <w:tc>
          <w:tcPr>
            <w:tcW w:w="6765" w:type="dxa"/>
          </w:tcPr>
          <w:p w14:paraId="759BABD2" w14:textId="1AE8064A" w:rsidR="00D76DF6" w:rsidRPr="004F1045" w:rsidRDefault="00D76DF6" w:rsidP="004E1C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F1045">
              <w:rPr>
                <w:rFonts w:ascii="Arial" w:hAnsi="Arial" w:cs="Arial"/>
                <w:sz w:val="20"/>
                <w:szCs w:val="20"/>
              </w:rPr>
              <w:t xml:space="preserve">Study population does not include </w:t>
            </w:r>
            <w:r w:rsidR="0019718B">
              <w:rPr>
                <w:rFonts w:ascii="Arial" w:hAnsi="Arial" w:cs="Arial"/>
                <w:sz w:val="20"/>
                <w:szCs w:val="20"/>
              </w:rPr>
              <w:t>CD</w:t>
            </w:r>
            <w:r w:rsidRPr="004F1045">
              <w:rPr>
                <w:rFonts w:ascii="Arial" w:hAnsi="Arial" w:cs="Arial"/>
                <w:sz w:val="20"/>
                <w:szCs w:val="20"/>
              </w:rPr>
              <w:t xml:space="preserve"> patients</w:t>
            </w:r>
          </w:p>
        </w:tc>
      </w:tr>
      <w:tr w:rsidR="00D76DF6" w:rsidRPr="004F1045" w14:paraId="4030A203" w14:textId="77777777" w:rsidTr="004E1C9A">
        <w:tc>
          <w:tcPr>
            <w:cnfStyle w:val="001000000000" w:firstRow="0" w:lastRow="0" w:firstColumn="1" w:lastColumn="0" w:oddVBand="0" w:evenVBand="0" w:oddHBand="0" w:evenHBand="0" w:firstRowFirstColumn="0" w:firstRowLastColumn="0" w:lastRowFirstColumn="0" w:lastRowLastColumn="0"/>
            <w:tcW w:w="2235" w:type="dxa"/>
          </w:tcPr>
          <w:p w14:paraId="6ED73FC6" w14:textId="09A47304" w:rsidR="00D76DF6" w:rsidRPr="004F1045" w:rsidRDefault="00D76DF6" w:rsidP="004E1C9A">
            <w:pPr>
              <w:autoSpaceDE w:val="0"/>
              <w:autoSpaceDN w:val="0"/>
              <w:adjustRightInd w:val="0"/>
              <w:jc w:val="left"/>
              <w:rPr>
                <w:rFonts w:ascii="Arial" w:hAnsi="Arial" w:cs="Arial"/>
                <w:kern w:val="1"/>
                <w:sz w:val="20"/>
                <w:szCs w:val="20"/>
              </w:rPr>
            </w:pPr>
            <w:proofErr w:type="spellStart"/>
            <w:r w:rsidRPr="004F1045">
              <w:rPr>
                <w:rFonts w:ascii="Arial" w:hAnsi="Arial" w:cs="Arial"/>
                <w:kern w:val="1"/>
                <w:sz w:val="20"/>
                <w:szCs w:val="20"/>
              </w:rPr>
              <w:t>Coqueiro</w:t>
            </w:r>
            <w:proofErr w:type="spellEnd"/>
            <w:r w:rsidRPr="004F1045">
              <w:rPr>
                <w:rFonts w:ascii="Arial" w:hAnsi="Arial" w:cs="Arial"/>
                <w:kern w:val="1"/>
                <w:sz w:val="20"/>
                <w:szCs w:val="20"/>
              </w:rPr>
              <w:t xml:space="preserve"> 2017</w:t>
            </w:r>
            <w:r w:rsidR="00144951">
              <w:rPr>
                <w:rFonts w:ascii="Arial" w:hAnsi="Arial" w:cs="Arial"/>
                <w:kern w:val="1"/>
                <w:sz w:val="20"/>
                <w:szCs w:val="20"/>
              </w:rPr>
              <w:fldChar w:fldCharType="begin" w:fldLock="1"/>
            </w:r>
            <w:r w:rsidR="00E20811">
              <w:rPr>
                <w:rFonts w:ascii="Arial" w:hAnsi="Arial" w:cs="Arial"/>
                <w:kern w:val="1"/>
                <w:sz w:val="20"/>
                <w:szCs w:val="20"/>
              </w:rPr>
              <w:instrText>ADDIN CSL_CITATION {"citationItems":[{"id":"ITEM-1","itemData":{"ISSN":"15551431","abstract":"Copyright © 2017 by New Century Health Publishers, LLC Celiac disease is triggered by exposure to gluten in genetically predisposed individuals. Treatment consists of total gluten exclusion of the diet, however, due to difficulties in following the diet plan, new treatment proposals have been studied. In this context, probiotics supplementation could present interesting therapeutic effects, since patients with Celiac disease have dysbiosis, increased intestinal permeability, immune system disorders, among others. However, the results presented in the literature are still contradictory. Therefore, the aim of this study was to synthesize the knowledge available about the administration with probiotics in Celiac disease. In the studies reviewed, the therapeutic effects of probiotics in celiac disease are associated with an improvement in the intestinal microbiota and inflammatory conditions, attenuating the immune response and, generally promoting intestinal health. The microorganisms that had the best results belonged to the Lactobacillus and Bifodobacterium genus. The use of probiotics and enzymes in food production also presented positive results in reducing gluten toxicity, allowing their consumption by celiac disease patients; however, the data presented in literature is scarce. It is noteworthy that the use of probiotics should be applied as an adjunct in celiac disease treatment, emphasizing that the adoption of the gluten-free diet is essential.","author":[{"dropping-particle":"","family":"Coqueiro","given":"A. Y.","non-dropping-particle":"","parse-names":false,"suffix":""},{"dropping-particle":"","family":"Bonvini","given":"A.","non-dropping-particle":"","parse-names":false,"suffix":""},{"dropping-particle":"","family":"Tirapegui","given":"J.","non-dropping-particle":"","parse-names":false,"suffix":""},{"dropping-particle":"","family":"Rogero","given":"M. M.","non-dropping-particle":"","parse-names":false,"suffix":""}],"container-title":"International Journal of Probiotics and Prebiotics","id":"ITEM-1","issue":"1","issued":{"date-parts":[["2017"]]},"page":"23-31","title":"Probiotics supplementation as an alternative method for celiac disease treatment","type":"article-journal","volume":"12"},"uris":["http://www.mendeley.com/documents/?uuid=9e9df114-1419-4b5e-8aa3-23561e9cdb71"]}],"mendeley":{"formattedCitation":"&lt;sup&gt;36&lt;/sup&gt;","plainTextFormattedCitation":"36","previouslyFormattedCitation":"&lt;sup&gt;36&lt;/sup&gt;"},"properties":{"noteIndex":0},"schema":"https://github.com/citation-style-language/schema/raw/master/csl-citation.json"}</w:instrText>
            </w:r>
            <w:r w:rsidR="00144951">
              <w:rPr>
                <w:rFonts w:ascii="Arial" w:hAnsi="Arial" w:cs="Arial"/>
                <w:kern w:val="1"/>
                <w:sz w:val="20"/>
                <w:szCs w:val="20"/>
              </w:rPr>
              <w:fldChar w:fldCharType="separate"/>
            </w:r>
            <w:r w:rsidR="00FF515D">
              <w:rPr>
                <w:rFonts w:ascii="Arial" w:hAnsi="Arial" w:cs="Arial"/>
                <w:i w:val="0"/>
                <w:noProof/>
                <w:kern w:val="1"/>
                <w:sz w:val="20"/>
                <w:szCs w:val="20"/>
                <w:vertAlign w:val="superscript"/>
              </w:rPr>
              <w:t>2</w:t>
            </w:r>
            <w:r w:rsidR="00144951">
              <w:rPr>
                <w:rFonts w:ascii="Arial" w:hAnsi="Arial" w:cs="Arial"/>
                <w:kern w:val="1"/>
                <w:sz w:val="20"/>
                <w:szCs w:val="20"/>
              </w:rPr>
              <w:fldChar w:fldCharType="end"/>
            </w:r>
          </w:p>
        </w:tc>
        <w:tc>
          <w:tcPr>
            <w:tcW w:w="6765" w:type="dxa"/>
          </w:tcPr>
          <w:p w14:paraId="52B68C49" w14:textId="77777777" w:rsidR="00D76DF6" w:rsidRPr="004F1045" w:rsidRDefault="00D76DF6" w:rsidP="004E1C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F1045">
              <w:rPr>
                <w:rFonts w:ascii="Arial" w:hAnsi="Arial" w:cs="Arial"/>
                <w:sz w:val="20"/>
                <w:szCs w:val="20"/>
              </w:rPr>
              <w:t>Review article. Not a study</w:t>
            </w:r>
          </w:p>
        </w:tc>
      </w:tr>
      <w:tr w:rsidR="00D76DF6" w:rsidRPr="004F1045" w14:paraId="47A22FA3" w14:textId="77777777" w:rsidTr="004E1C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24C43099" w14:textId="0F455D0B" w:rsidR="00D76DF6" w:rsidRPr="004F1045" w:rsidRDefault="00D76DF6" w:rsidP="004E1C9A">
            <w:pPr>
              <w:autoSpaceDE w:val="0"/>
              <w:autoSpaceDN w:val="0"/>
              <w:adjustRightInd w:val="0"/>
              <w:jc w:val="left"/>
              <w:rPr>
                <w:rFonts w:ascii="Arial" w:hAnsi="Arial" w:cs="Arial"/>
                <w:kern w:val="1"/>
                <w:sz w:val="20"/>
                <w:szCs w:val="20"/>
              </w:rPr>
            </w:pPr>
            <w:r w:rsidRPr="004F1045">
              <w:rPr>
                <w:rFonts w:ascii="Arial" w:hAnsi="Arial" w:cs="Arial"/>
                <w:kern w:val="1"/>
                <w:sz w:val="20"/>
                <w:szCs w:val="20"/>
              </w:rPr>
              <w:t>Cristofori 2018</w:t>
            </w:r>
            <w:r w:rsidR="00FF515D" w:rsidRPr="00FF515D">
              <w:rPr>
                <w:rFonts w:ascii="Arial" w:hAnsi="Arial" w:cs="Arial"/>
                <w:kern w:val="1"/>
                <w:sz w:val="20"/>
                <w:szCs w:val="20"/>
                <w:vertAlign w:val="superscript"/>
              </w:rPr>
              <w:t>3</w:t>
            </w:r>
          </w:p>
        </w:tc>
        <w:tc>
          <w:tcPr>
            <w:tcW w:w="6765" w:type="dxa"/>
          </w:tcPr>
          <w:p w14:paraId="15891974" w14:textId="77777777" w:rsidR="00D76DF6" w:rsidRPr="004F1045" w:rsidRDefault="00D76DF6" w:rsidP="004E1C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F1045">
              <w:rPr>
                <w:rFonts w:ascii="Arial" w:hAnsi="Arial" w:cs="Arial"/>
                <w:sz w:val="20"/>
                <w:szCs w:val="20"/>
              </w:rPr>
              <w:t>Review article. Not a study</w:t>
            </w:r>
          </w:p>
        </w:tc>
      </w:tr>
      <w:tr w:rsidR="00D76DF6" w:rsidRPr="004F1045" w14:paraId="52D67E45" w14:textId="77777777" w:rsidTr="004E1C9A">
        <w:tc>
          <w:tcPr>
            <w:cnfStyle w:val="001000000000" w:firstRow="0" w:lastRow="0" w:firstColumn="1" w:lastColumn="0" w:oddVBand="0" w:evenVBand="0" w:oddHBand="0" w:evenHBand="0" w:firstRowFirstColumn="0" w:firstRowLastColumn="0" w:lastRowFirstColumn="0" w:lastRowLastColumn="0"/>
            <w:tcW w:w="2235" w:type="dxa"/>
          </w:tcPr>
          <w:p w14:paraId="340A5868" w14:textId="55E233C1" w:rsidR="00D76DF6" w:rsidRPr="004F1045" w:rsidRDefault="00D76DF6" w:rsidP="004E1C9A">
            <w:pPr>
              <w:autoSpaceDE w:val="0"/>
              <w:autoSpaceDN w:val="0"/>
              <w:adjustRightInd w:val="0"/>
              <w:jc w:val="left"/>
              <w:rPr>
                <w:rFonts w:ascii="Arial" w:hAnsi="Arial" w:cs="Arial"/>
                <w:kern w:val="1"/>
                <w:sz w:val="20"/>
                <w:szCs w:val="20"/>
              </w:rPr>
            </w:pPr>
            <w:r w:rsidRPr="004F1045">
              <w:rPr>
                <w:rFonts w:ascii="Arial" w:hAnsi="Arial" w:cs="Arial"/>
                <w:kern w:val="1"/>
                <w:sz w:val="20"/>
                <w:szCs w:val="20"/>
              </w:rPr>
              <w:t>Darby 1946</w:t>
            </w:r>
            <w:r w:rsidR="00FF515D" w:rsidRPr="00FF515D">
              <w:rPr>
                <w:rFonts w:ascii="Arial" w:hAnsi="Arial" w:cs="Arial"/>
                <w:kern w:val="1"/>
                <w:sz w:val="20"/>
                <w:szCs w:val="20"/>
                <w:vertAlign w:val="superscript"/>
              </w:rPr>
              <w:t>4</w:t>
            </w:r>
          </w:p>
        </w:tc>
        <w:tc>
          <w:tcPr>
            <w:tcW w:w="6765" w:type="dxa"/>
          </w:tcPr>
          <w:p w14:paraId="0BEE5F9B" w14:textId="77777777" w:rsidR="00D76DF6" w:rsidRPr="004F1045" w:rsidRDefault="00D76DF6" w:rsidP="004E1C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F1045">
              <w:rPr>
                <w:rFonts w:ascii="Arial" w:hAnsi="Arial" w:cs="Arial"/>
                <w:sz w:val="20"/>
                <w:szCs w:val="20"/>
              </w:rPr>
              <w:t>Not a randomised controlled trial and the intervention is not probiotics.</w:t>
            </w:r>
          </w:p>
        </w:tc>
      </w:tr>
      <w:tr w:rsidR="00D76DF6" w:rsidRPr="004F1045" w14:paraId="2FCDDC06" w14:textId="77777777" w:rsidTr="004E1C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09B7096B" w14:textId="2344BF53" w:rsidR="00D76DF6" w:rsidRPr="004F1045" w:rsidRDefault="00D76DF6" w:rsidP="004E1C9A">
            <w:pPr>
              <w:autoSpaceDE w:val="0"/>
              <w:autoSpaceDN w:val="0"/>
              <w:adjustRightInd w:val="0"/>
              <w:jc w:val="left"/>
              <w:rPr>
                <w:rFonts w:ascii="Arial" w:hAnsi="Arial" w:cs="Arial"/>
                <w:kern w:val="1"/>
                <w:sz w:val="20"/>
                <w:szCs w:val="20"/>
              </w:rPr>
            </w:pPr>
            <w:r w:rsidRPr="004F1045">
              <w:rPr>
                <w:rFonts w:ascii="Arial" w:hAnsi="Arial" w:cs="Arial"/>
                <w:kern w:val="1"/>
                <w:sz w:val="20"/>
                <w:szCs w:val="20"/>
              </w:rPr>
              <w:t>Kim 2006</w:t>
            </w:r>
            <w:r w:rsidR="00144951">
              <w:rPr>
                <w:rFonts w:ascii="Arial" w:hAnsi="Arial" w:cs="Arial"/>
                <w:kern w:val="1"/>
                <w:sz w:val="20"/>
                <w:szCs w:val="20"/>
              </w:rPr>
              <w:fldChar w:fldCharType="begin" w:fldLock="1"/>
            </w:r>
            <w:r w:rsidR="00E20811">
              <w:rPr>
                <w:rFonts w:ascii="Arial" w:hAnsi="Arial" w:cs="Arial"/>
                <w:kern w:val="1"/>
                <w:sz w:val="20"/>
                <w:szCs w:val="20"/>
              </w:rPr>
              <w:instrText>ADDIN CSL_CITATION {"citationItems":[{"id":"ITEM-1","itemData":{"DOI":"10.1007/s10620-006-9297-8","ISBN":"1062000692","ISSN":"0163-2116","PMID":"17078006","abstract":"The purpose of this study was to evaluate the efficacy and safety of commonly used probiotics and nutrients available for functional gastrointestinal disorders (FGID). Five different combinations of probiotics and nutrients, or placebo, were taken daily over 12 weeks. In this randomized controlled clinical trial, men and women 21 to 72 years of age with FGID symptoms of indigestion, bloating, and abdominal discomfort were assigned to one of six groups, 12 patients per group. Gastrointestinal Quality of Life Index (GIQLI) and visual analogue scale (VAS) for GI symptoms, SF-36, lactulose and mannitol test (LMT), and urine indican levels were evaluated. GIQLI, VAS scores, and LMT did not change significantly (P &gt; 0.05). There were clinically notable improvements in two of the combination formulations. While the nonsignificant improvements in GI symptoms could suggest that combination probiotics and nutrients may be beneficial in conditions such as FGID, no conclusive evidence was found in this pilot trial. Further investigations to explore the findings are discussed.","author":[{"dropping-particle":"","family":"Kim","given":"Linda","non-dropping-particle":"","parse-names":false,"suffix":""},{"dropping-particle":"","family":"Hilli","given":"Lisa","non-dropping-particle":"","parse-names":false,"suffix":""},{"dropping-particle":"","family":"Orlowski","given":"Jennifer","non-dropping-particle":"","parse-names":false,"suffix":""},{"dropping-particle":"","family":"Kupperman","given":"Jami L.","non-dropping-particle":"","parse-names":false,"suffix":""},{"dropping-particle":"","family":"Baral","given":"Matthew","non-dropping-particle":"","parse-names":false,"suffix":""},{"dropping-particle":"","family":"F Waters","given":"Robert","non-dropping-particle":"","parse-names":false,"suffix":""}],"container-title":"Digestive diseases and sciences","id":"ITEM-1","issue":"12","issued":{"date-parts":[["2006","12"]]},"page":"2134-44","title":"Efficacy of probiotics and nutrients in functional gastrointestinal disorders: a preliminary clinical trial.","type":"article-journal","volume":"51"},"uris":["http://www.mendeley.com/documents/?uuid=a0d1b98a-62e4-40b6-91b4-9eb5dfe6173a"]}],"mendeley":{"formattedCitation":"&lt;sup&gt;38&lt;/sup&gt;","plainTextFormattedCitation":"38","previouslyFormattedCitation":"&lt;sup&gt;38&lt;/sup&gt;"},"properties":{"noteIndex":0},"schema":"https://github.com/citation-style-language/schema/raw/master/csl-citation.json"}</w:instrText>
            </w:r>
            <w:r w:rsidR="00144951">
              <w:rPr>
                <w:rFonts w:ascii="Arial" w:hAnsi="Arial" w:cs="Arial"/>
                <w:kern w:val="1"/>
                <w:sz w:val="20"/>
                <w:szCs w:val="20"/>
              </w:rPr>
              <w:fldChar w:fldCharType="separate"/>
            </w:r>
            <w:r w:rsidR="00FF515D">
              <w:rPr>
                <w:rFonts w:ascii="Arial" w:hAnsi="Arial" w:cs="Arial"/>
                <w:i w:val="0"/>
                <w:noProof/>
                <w:kern w:val="1"/>
                <w:sz w:val="20"/>
                <w:szCs w:val="20"/>
                <w:vertAlign w:val="superscript"/>
              </w:rPr>
              <w:t>5</w:t>
            </w:r>
            <w:r w:rsidR="00144951">
              <w:rPr>
                <w:rFonts w:ascii="Arial" w:hAnsi="Arial" w:cs="Arial"/>
                <w:kern w:val="1"/>
                <w:sz w:val="20"/>
                <w:szCs w:val="20"/>
              </w:rPr>
              <w:fldChar w:fldCharType="end"/>
            </w:r>
          </w:p>
        </w:tc>
        <w:tc>
          <w:tcPr>
            <w:tcW w:w="6765" w:type="dxa"/>
          </w:tcPr>
          <w:p w14:paraId="4DF0F402" w14:textId="647D6EC0" w:rsidR="00D76DF6" w:rsidRPr="004F1045" w:rsidRDefault="00D76DF6" w:rsidP="004E1C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F1045">
              <w:rPr>
                <w:rFonts w:ascii="Arial" w:hAnsi="Arial" w:cs="Arial"/>
                <w:sz w:val="20"/>
                <w:szCs w:val="20"/>
              </w:rPr>
              <w:t xml:space="preserve">Study population does not include </w:t>
            </w:r>
            <w:r w:rsidR="0019718B">
              <w:rPr>
                <w:rFonts w:ascii="Arial" w:hAnsi="Arial" w:cs="Arial"/>
                <w:sz w:val="20"/>
                <w:szCs w:val="20"/>
              </w:rPr>
              <w:t>CD</w:t>
            </w:r>
            <w:r w:rsidRPr="004F1045">
              <w:rPr>
                <w:rFonts w:ascii="Arial" w:hAnsi="Arial" w:cs="Arial"/>
                <w:sz w:val="20"/>
                <w:szCs w:val="20"/>
              </w:rPr>
              <w:t xml:space="preserve"> patients</w:t>
            </w:r>
          </w:p>
        </w:tc>
      </w:tr>
      <w:tr w:rsidR="00D4206C" w:rsidRPr="004F1045" w14:paraId="3836E6FA" w14:textId="77777777" w:rsidTr="004E1C9A">
        <w:tc>
          <w:tcPr>
            <w:cnfStyle w:val="001000000000" w:firstRow="0" w:lastRow="0" w:firstColumn="1" w:lastColumn="0" w:oddVBand="0" w:evenVBand="0" w:oddHBand="0" w:evenHBand="0" w:firstRowFirstColumn="0" w:firstRowLastColumn="0" w:lastRowFirstColumn="0" w:lastRowLastColumn="0"/>
            <w:tcW w:w="2235" w:type="dxa"/>
          </w:tcPr>
          <w:p w14:paraId="7F9405E7" w14:textId="0497188F" w:rsidR="00D4206C" w:rsidRPr="004F1045" w:rsidRDefault="00D4206C" w:rsidP="00253BAF">
            <w:pPr>
              <w:autoSpaceDE w:val="0"/>
              <w:autoSpaceDN w:val="0"/>
              <w:adjustRightInd w:val="0"/>
              <w:jc w:val="left"/>
              <w:rPr>
                <w:rFonts w:ascii="Arial" w:hAnsi="Arial" w:cs="Arial"/>
                <w:kern w:val="1"/>
                <w:sz w:val="20"/>
                <w:szCs w:val="20"/>
              </w:rPr>
            </w:pPr>
            <w:proofErr w:type="spellStart"/>
            <w:r>
              <w:rPr>
                <w:rFonts w:ascii="Arial" w:hAnsi="Arial" w:cs="Arial"/>
                <w:kern w:val="1"/>
                <w:sz w:val="20"/>
                <w:szCs w:val="20"/>
              </w:rPr>
              <w:t>Klemenak</w:t>
            </w:r>
            <w:proofErr w:type="spellEnd"/>
            <w:r>
              <w:rPr>
                <w:rFonts w:ascii="Arial" w:hAnsi="Arial" w:cs="Arial"/>
                <w:kern w:val="1"/>
                <w:sz w:val="20"/>
                <w:szCs w:val="20"/>
              </w:rPr>
              <w:t xml:space="preserve"> 2016</w:t>
            </w:r>
            <w:r w:rsidR="0088761D">
              <w:rPr>
                <w:rFonts w:ascii="Arial" w:hAnsi="Arial" w:cs="Arial"/>
                <w:kern w:val="1"/>
                <w:sz w:val="20"/>
                <w:szCs w:val="20"/>
              </w:rPr>
              <w:fldChar w:fldCharType="begin" w:fldLock="1"/>
            </w:r>
            <w:r w:rsidR="00E20811">
              <w:rPr>
                <w:rFonts w:ascii="Arial" w:hAnsi="Arial" w:cs="Arial"/>
                <w:kern w:val="1"/>
                <w:sz w:val="20"/>
                <w:szCs w:val="20"/>
              </w:rPr>
              <w:instrText>ADDIN CSL_CITATION {"citationItems":[{"id":"ITEM-1","itemData":{"author":[{"dropping-particle":"","family":"Klemenak","given":"Martina","non-dropping-particle":"","parse-names":false,"suffix":""},{"dropping-particle":"","family":"Dolinšek","given":"Jernej","non-dropping-particle":"","parse-names":false,"suffix":""},{"dropping-particle":"","family":"Langerholc","given":"Tomaž","non-dropping-particle":"","parse-names":false,"suffix":""},{"dropping-particle":"","family":"Mičetić-Turk","given":"Dušanka","non-dropping-particle":"","parse-names":false,"suffix":""}],"container-title":"Gastroenterology","id":"ITEM-1","issue":"May","issued":{"date-parts":[["2016"]]},"page":"199","title":"Administration of Bifidobacterium breve decreases the production of TNF-a and faecal fermentation index in children with celiac disease","type":"article-journal","volume":"62 (Supple"},"uris":["http://www.mendeley.com/documents/?uuid=42b17964-03ab-4883-9706-073a4d16a199"]}],"mendeley":{"formattedCitation":"&lt;sup&gt;39&lt;/sup&gt;","plainTextFormattedCitation":"39","previouslyFormattedCitation":"&lt;sup&gt;39&lt;/sup&gt;"},"properties":{"noteIndex":0},"schema":"https://github.com/citation-style-language/schema/raw/master/csl-citation.json"}</w:instrText>
            </w:r>
            <w:r w:rsidR="0088761D">
              <w:rPr>
                <w:rFonts w:ascii="Arial" w:hAnsi="Arial" w:cs="Arial"/>
                <w:kern w:val="1"/>
                <w:sz w:val="20"/>
                <w:szCs w:val="20"/>
              </w:rPr>
              <w:fldChar w:fldCharType="separate"/>
            </w:r>
            <w:r w:rsidR="00FF515D">
              <w:rPr>
                <w:rFonts w:ascii="Arial" w:hAnsi="Arial" w:cs="Arial"/>
                <w:i w:val="0"/>
                <w:noProof/>
                <w:kern w:val="1"/>
                <w:sz w:val="20"/>
                <w:szCs w:val="20"/>
                <w:vertAlign w:val="superscript"/>
              </w:rPr>
              <w:t>6</w:t>
            </w:r>
            <w:r w:rsidR="0088761D">
              <w:rPr>
                <w:rFonts w:ascii="Arial" w:hAnsi="Arial" w:cs="Arial"/>
                <w:kern w:val="1"/>
                <w:sz w:val="20"/>
                <w:szCs w:val="20"/>
              </w:rPr>
              <w:fldChar w:fldCharType="end"/>
            </w:r>
          </w:p>
        </w:tc>
        <w:tc>
          <w:tcPr>
            <w:tcW w:w="6765" w:type="dxa"/>
          </w:tcPr>
          <w:p w14:paraId="6CB35E55" w14:textId="43CE43ED" w:rsidR="00D4206C" w:rsidRPr="004F1045" w:rsidRDefault="00D4206C" w:rsidP="004E1C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Duplicate of </w:t>
            </w:r>
            <w:proofErr w:type="spellStart"/>
            <w:r>
              <w:rPr>
                <w:rFonts w:ascii="Arial" w:hAnsi="Arial" w:cs="Arial"/>
                <w:sz w:val="20"/>
                <w:szCs w:val="20"/>
              </w:rPr>
              <w:t>Klemenak</w:t>
            </w:r>
            <w:proofErr w:type="spellEnd"/>
            <w:r>
              <w:rPr>
                <w:rFonts w:ascii="Arial" w:hAnsi="Arial" w:cs="Arial"/>
                <w:sz w:val="20"/>
                <w:szCs w:val="20"/>
              </w:rPr>
              <w:t xml:space="preserve"> 2015</w:t>
            </w:r>
            <w:r>
              <w:rPr>
                <w:rFonts w:ascii="Arial" w:hAnsi="Arial" w:cs="Arial"/>
                <w:sz w:val="20"/>
                <w:szCs w:val="20"/>
              </w:rPr>
              <w:fldChar w:fldCharType="begin" w:fldLock="1"/>
            </w:r>
            <w:r w:rsidR="00E20811">
              <w:rPr>
                <w:rFonts w:ascii="Arial" w:hAnsi="Arial" w:cs="Arial"/>
                <w:sz w:val="20"/>
                <w:szCs w:val="20"/>
              </w:rPr>
              <w:instrText>ADDIN CSL_CITATION {"citationItems":[{"id":"ITEM-1","itemData":{"DOI":"10.1007/s10620-015-3769-7","ISBN":"1573-2568 (Electronic) 0163-2116 (Linking)","ISSN":"15732568","PMID":"26134988","abstract":"BACKGROUND: Increasing evidence suggests that not only genetics, but also environmental factors like gut microbiota dysbiosis play an important role in the pathogenesis of celiac disease (CD).\\n\\nAIM: The aim of our study was to investigate the effect of two probiotic strains Bifidobacterium breve BR03 and B. breve B632 on serum production of anti-inflammatory cytokine interleukin 10 (IL-10) and pro-inflammatory cytokine tumor necrosis factor alpha (TNF-α) in children with CD.\\n\\nMETHODS: The study was a double-blinded, placebo-controlled trial that included 49 children with CD on gluten-free diet (GFD) randomized into two groups and 18 healthy children in the control group. The first group (24 children with CD) daily received B. breve BR03 and B632 (2 × 10(9) colony-forming units) and the second group (25 children with CD) received placebo for 3 months.\\n\\nRESULTS: TNF-α levels were significantly decreased in the first group after receiving B. breve for 3 months. On follow-up, 3 months after receiving probiotics, TNF-α levels increased again. Children with CD who were on GFD for less than 1 year showed similar baseline TNF-α levels as children who were on GFD for more than 1 year. IL-10 levels were in all groups of patients below detection level.\\n\\nCONCLUSIONS: Probiotic intervention with B. breve strains has shown a positive effect on decreasing the production of pro-inflammatory cytokine TNF-α in children with CD on GFD.","author":[{"dropping-particle":"","family":"Klemenak","given":"Martina","non-dropping-particle":"","parse-names":false,"suffix":""},{"dropping-particle":"","family":"Dolinšek","given":"Jernej","non-dropping-particle":"","parse-names":false,"suffix":""},{"dropping-particle":"","family":"Langerholc","given":"Tomaž","non-dropping-particle":"","parse-names":false,"suffix":""},{"dropping-particle":"","family":"Gioia","given":"Diana","non-dropping-particle":"Di","parse-names":false,"suffix":""},{"dropping-particle":"","family":"Mičetić-Turk","given":"Dušanka","non-dropping-particle":"","parse-names":false,"suffix":""}],"container-title":"Digestive Diseases and Sciences","id":"ITEM-1","issue":"11","issued":{"date-parts":[["2015"]]},"page":"3386-3392","title":"Administration of Bifidobacterium breve Decreases the Production of TNF-α in Children with Celiac Disease","type":"article-journal","volume":"60"},"uris":["http://www.mendeley.com/documents/?uuid=68d6cb82-fe02-4524-9a25-ff359ae2359d"]}],"mendeley":{"formattedCitation":"&lt;sup&gt;28&lt;/sup&gt;","plainTextFormattedCitation":"28","previouslyFormattedCitation":"&lt;sup&gt;28&lt;/sup&gt;"},"properties":{"noteIndex":0},"schema":"https://github.com/citation-style-language/schema/raw/master/csl-citation.json"}</w:instrText>
            </w:r>
            <w:r>
              <w:rPr>
                <w:rFonts w:ascii="Arial" w:hAnsi="Arial" w:cs="Arial"/>
                <w:sz w:val="20"/>
                <w:szCs w:val="20"/>
              </w:rPr>
              <w:fldChar w:fldCharType="separate"/>
            </w:r>
            <w:r w:rsidR="00E20811" w:rsidRPr="00E20811">
              <w:rPr>
                <w:rFonts w:ascii="Arial" w:hAnsi="Arial" w:cs="Arial"/>
                <w:noProof/>
                <w:sz w:val="20"/>
                <w:szCs w:val="20"/>
                <w:vertAlign w:val="superscript"/>
              </w:rPr>
              <w:t>28</w:t>
            </w:r>
            <w:r>
              <w:rPr>
                <w:rFonts w:ascii="Arial" w:hAnsi="Arial" w:cs="Arial"/>
                <w:sz w:val="20"/>
                <w:szCs w:val="20"/>
              </w:rPr>
              <w:fldChar w:fldCharType="end"/>
            </w:r>
          </w:p>
        </w:tc>
      </w:tr>
      <w:tr w:rsidR="00D76DF6" w:rsidRPr="004F1045" w14:paraId="4D6B77AD" w14:textId="77777777" w:rsidTr="004E1C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077EB038" w14:textId="0B6186E0" w:rsidR="00D76DF6" w:rsidRPr="004F1045" w:rsidRDefault="00D76DF6" w:rsidP="004E1C9A">
            <w:pPr>
              <w:autoSpaceDE w:val="0"/>
              <w:autoSpaceDN w:val="0"/>
              <w:adjustRightInd w:val="0"/>
              <w:jc w:val="left"/>
              <w:rPr>
                <w:rFonts w:ascii="Arial" w:hAnsi="Arial" w:cs="Arial"/>
                <w:kern w:val="1"/>
                <w:sz w:val="20"/>
                <w:szCs w:val="20"/>
              </w:rPr>
            </w:pPr>
            <w:proofErr w:type="spellStart"/>
            <w:r w:rsidRPr="004F1045">
              <w:rPr>
                <w:rFonts w:ascii="Arial" w:hAnsi="Arial" w:cs="Arial"/>
                <w:kern w:val="1"/>
                <w:sz w:val="20"/>
                <w:szCs w:val="20"/>
              </w:rPr>
              <w:t>Martinello</w:t>
            </w:r>
            <w:proofErr w:type="spellEnd"/>
            <w:r w:rsidRPr="004F1045">
              <w:rPr>
                <w:rFonts w:ascii="Arial" w:hAnsi="Arial" w:cs="Arial"/>
                <w:kern w:val="1"/>
                <w:sz w:val="20"/>
                <w:szCs w:val="20"/>
              </w:rPr>
              <w:t xml:space="preserve"> 201</w:t>
            </w:r>
            <w:r w:rsidR="00FF515D">
              <w:rPr>
                <w:rFonts w:ascii="Arial" w:hAnsi="Arial" w:cs="Arial"/>
                <w:kern w:val="1"/>
                <w:sz w:val="20"/>
                <w:szCs w:val="20"/>
              </w:rPr>
              <w:t>7</w:t>
            </w:r>
            <w:r w:rsidR="00FF515D" w:rsidRPr="00FF515D">
              <w:rPr>
                <w:rFonts w:ascii="Arial" w:hAnsi="Arial" w:cs="Arial"/>
                <w:kern w:val="1"/>
                <w:sz w:val="20"/>
                <w:szCs w:val="20"/>
                <w:vertAlign w:val="superscript"/>
              </w:rPr>
              <w:t>7</w:t>
            </w:r>
          </w:p>
        </w:tc>
        <w:tc>
          <w:tcPr>
            <w:tcW w:w="6765" w:type="dxa"/>
          </w:tcPr>
          <w:p w14:paraId="223B0640" w14:textId="77777777" w:rsidR="00D76DF6" w:rsidRPr="004F1045" w:rsidRDefault="00D76DF6" w:rsidP="004E1C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F1045">
              <w:rPr>
                <w:rFonts w:ascii="Arial" w:hAnsi="Arial" w:cs="Arial"/>
                <w:sz w:val="20"/>
                <w:szCs w:val="20"/>
              </w:rPr>
              <w:t>Not a randomised controlled trial</w:t>
            </w:r>
          </w:p>
        </w:tc>
      </w:tr>
      <w:tr w:rsidR="00D4206C" w:rsidRPr="004F1045" w14:paraId="1CADA207" w14:textId="77777777" w:rsidTr="004E1C9A">
        <w:tc>
          <w:tcPr>
            <w:cnfStyle w:val="001000000000" w:firstRow="0" w:lastRow="0" w:firstColumn="1" w:lastColumn="0" w:oddVBand="0" w:evenVBand="0" w:oddHBand="0" w:evenHBand="0" w:firstRowFirstColumn="0" w:firstRowLastColumn="0" w:lastRowFirstColumn="0" w:lastRowLastColumn="0"/>
            <w:tcW w:w="2235" w:type="dxa"/>
          </w:tcPr>
          <w:p w14:paraId="2F03AD1A" w14:textId="2CC6C0EA" w:rsidR="00D4206C" w:rsidRPr="004F1045" w:rsidRDefault="00D4206C" w:rsidP="00253BAF">
            <w:pPr>
              <w:autoSpaceDE w:val="0"/>
              <w:autoSpaceDN w:val="0"/>
              <w:adjustRightInd w:val="0"/>
              <w:jc w:val="left"/>
              <w:rPr>
                <w:rFonts w:ascii="Arial" w:hAnsi="Arial" w:cs="Arial"/>
                <w:kern w:val="1"/>
                <w:sz w:val="20"/>
                <w:szCs w:val="20"/>
              </w:rPr>
            </w:pPr>
            <w:r w:rsidRPr="00D4206C">
              <w:rPr>
                <w:rFonts w:ascii="Arial" w:hAnsi="Arial" w:cs="Arial"/>
                <w:kern w:val="1"/>
                <w:sz w:val="20"/>
                <w:szCs w:val="20"/>
              </w:rPr>
              <w:t>NCT01257620</w:t>
            </w:r>
            <w:r w:rsidR="000D6DFE">
              <w:rPr>
                <w:rFonts w:ascii="Arial" w:hAnsi="Arial" w:cs="Arial"/>
                <w:kern w:val="1"/>
                <w:sz w:val="20"/>
                <w:szCs w:val="20"/>
              </w:rPr>
              <w:fldChar w:fldCharType="begin" w:fldLock="1"/>
            </w:r>
            <w:r w:rsidR="00E20811">
              <w:rPr>
                <w:rFonts w:ascii="Arial" w:hAnsi="Arial" w:cs="Arial"/>
                <w:kern w:val="1"/>
                <w:sz w:val="20"/>
                <w:szCs w:val="20"/>
              </w:rPr>
              <w:instrText>ADDIN CSL_CITATION {"citationItems":[{"id":"ITEM-1","itemData":{"URL":"https://clinicaltrials.gov/ct2/show/NCT01257620","abstract":"This exploratory study has been designed to determine the effect of the probiotic Bifidobacterium infantis vs. placebo orally administered over a period of 3 weeks on clinical features, Quality of Life parameters (QoL), intestinal permeability and inflammatory markers of patients having positive serological evidences of Celiac Disease.","author":[{"dropping-particle":"","family":"ClinicalTrials.gov","given":"","non-dropping-particle":"","parse-names":false,"suffix":""}],"container-title":"Bethesda (MD): National Library of Medicine (US)","id":"ITEM-1","issued":{"date-parts":[["2012"]]},"page":"8","title":"Clinical Trial on the Effects of Bifidobacterium Infantis in Active Celiac Disease (Celiac)","type":"webpage"},"uris":["http://www.mendeley.com/documents/?uuid=ccc187a3-2570-4b81-a9c5-a0bae3d1ddf4"]}],"mendeley":{"formattedCitation":"&lt;sup&gt;41&lt;/sup&gt;","plainTextFormattedCitation":"41","previouslyFormattedCitation":"&lt;sup&gt;41&lt;/sup&gt;"},"properties":{"noteIndex":0},"schema":"https://github.com/citation-style-language/schema/raw/master/csl-citation.json"}</w:instrText>
            </w:r>
            <w:r w:rsidR="000D6DFE">
              <w:rPr>
                <w:rFonts w:ascii="Arial" w:hAnsi="Arial" w:cs="Arial"/>
                <w:kern w:val="1"/>
                <w:sz w:val="20"/>
                <w:szCs w:val="20"/>
              </w:rPr>
              <w:fldChar w:fldCharType="separate"/>
            </w:r>
            <w:r w:rsidR="006F46C4">
              <w:rPr>
                <w:rFonts w:ascii="Arial" w:hAnsi="Arial" w:cs="Arial"/>
                <w:i w:val="0"/>
                <w:noProof/>
                <w:kern w:val="1"/>
                <w:sz w:val="20"/>
                <w:szCs w:val="20"/>
                <w:vertAlign w:val="superscript"/>
              </w:rPr>
              <w:t>8</w:t>
            </w:r>
            <w:r w:rsidR="000D6DFE">
              <w:rPr>
                <w:rFonts w:ascii="Arial" w:hAnsi="Arial" w:cs="Arial"/>
                <w:kern w:val="1"/>
                <w:sz w:val="20"/>
                <w:szCs w:val="20"/>
              </w:rPr>
              <w:fldChar w:fldCharType="end"/>
            </w:r>
          </w:p>
        </w:tc>
        <w:tc>
          <w:tcPr>
            <w:tcW w:w="6765" w:type="dxa"/>
          </w:tcPr>
          <w:p w14:paraId="3B148135" w14:textId="69B41995" w:rsidR="00D4206C" w:rsidRPr="004F1045" w:rsidRDefault="00D4206C" w:rsidP="004E1C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Duplicate of </w:t>
            </w:r>
            <w:proofErr w:type="spellStart"/>
            <w:r>
              <w:rPr>
                <w:rFonts w:ascii="Arial" w:hAnsi="Arial" w:cs="Arial"/>
                <w:sz w:val="20"/>
                <w:szCs w:val="20"/>
              </w:rPr>
              <w:t>Smecuol</w:t>
            </w:r>
            <w:proofErr w:type="spellEnd"/>
            <w:r>
              <w:rPr>
                <w:rFonts w:ascii="Arial" w:hAnsi="Arial" w:cs="Arial"/>
                <w:sz w:val="20"/>
                <w:szCs w:val="20"/>
              </w:rPr>
              <w:t xml:space="preserve"> 2013</w:t>
            </w:r>
            <w:r>
              <w:rPr>
                <w:rFonts w:ascii="Arial" w:hAnsi="Arial" w:cs="Arial"/>
                <w:sz w:val="20"/>
                <w:szCs w:val="20"/>
              </w:rPr>
              <w:fldChar w:fldCharType="begin" w:fldLock="1"/>
            </w:r>
            <w:r w:rsidR="00E20811">
              <w:rPr>
                <w:rFonts w:ascii="Arial" w:hAnsi="Arial" w:cs="Arial"/>
                <w:sz w:val="20"/>
                <w:szCs w:val="20"/>
              </w:rPr>
              <w:instrText>ADDIN CSL_CITATION {"citationItems":[{"id":"ITEM-1","itemData":{"DOI":"10.1097/MCG.0b013e31827759ac","ISSN":"1539-2031","PMID":"23314670","abstract":"BACKGROUND/AIMS The aim of this exploratory trial was to establish if the probiotic Bifidobacterium natren life start (NLS) strain strain may affect the clinical course and pathophysiological features of patients with untreated celiac disease (CD). Positive findings would be helpful in directing future studies. METHODS Twenty-two adult patients having 2 positives CD-specific tests were enrolled. Patients were randomized to receive 2 capsules before meals for 3 weeks of either Bifidobacterium infantis natren life start strain super strain (Lifestart 2) (2×10(9) colony-forming units per capsule) (n = 12) or placebo (n = 10), whereas they also consumed at least 12 g of gluten/day. A biopsy at the end of the trial confirmed CD in all cases. The primary outcome was intestinal permeability changes. Secondary endpoints were changes in symptoms and the Gastrointestinal Symptom Rating Scale, and in immunologic indicators of inflammation. RESULTS The abnormal baseline intestinal permeability was not significantly affected by either treatment. In contrast to patients on placebo, those randomized to B. infantis experienced a significant improvement in Gastrointestinal Symptom Rating Scale (P = 0.0035 for indigestion; P = 0.0483 for constipation; P = 0.0586 for reflux). Final/baseline IgA tTG and IgA DGP antibody concentration ratios were lower in the B. infantis arm (P = 0.055 for IgA tTG and P = 0.181 for IgA DGP). Final serum macrophage inflammatory protein-1β increased significantly (P &lt; 0.04) only in patients receiving B. infantis. The administration of B. infantis was safe. CONCLUSIONS The study suggests that B. infantis may alleviate symptoms in untreated CD. The probiotic produced some immunologic changes but did not modify abnormal intestinal permeability. Further studies are necessary to confirm and/or expand these observations.","author":[{"dropping-particle":"","family":"Smecuol","given":"Edgardo","non-dropping-particle":"","parse-names":false,"suffix":""},{"dropping-particle":"","family":"Hwang","given":"Hui J","non-dropping-particle":"","parse-names":false,"suffix":""},{"dropping-particle":"","family":"Sugai","given":"Emilia","non-dropping-particle":"","parse-names":false,"suffix":""},{"dropping-particle":"","family":"Corso","given":"Laura","non-dropping-particle":"","parse-names":false,"suffix":""},{"dropping-particle":"","family":"Cherñavsky","given":"Alejandra C","non-dropping-particle":"","parse-names":false,"suffix":""},{"dropping-particle":"","family":"Bellavite","given":"Franco P","non-dropping-particle":"","parse-names":false,"suffix":""},{"dropping-particle":"","family":"González","given":"Andrea","non-dropping-particle":"","parse-names":false,"suffix":""},{"dropping-particle":"","family":"Vodánovich","given":"Florencia","non-dropping-particle":"","parse-names":false,"suffix":""},{"dropping-particle":"","family":"Moreno","given":"María L","non-dropping-particle":"","parse-names":false,"suffix":""},{"dropping-particle":"","family":"Vázquez","given":"Horacio","non-dropping-particle":"","parse-names":false,"suffix":""},{"dropping-particle":"","family":"Lozano","given":"Graciela","non-dropping-particle":"","parse-names":false,"suffix":""},{"dropping-particle":"","family":"Niveloni","given":"Sonia","non-dropping-particle":"","parse-names":false,"suffix":""},{"dropping-particle":"","family":"Mazure","given":"Roberto","non-dropping-particle":"","parse-names":false,"suffix":""},{"dropping-particle":"","family":"Meddings","given":"Jon","non-dropping-particle":"","parse-names":false,"suffix":""},{"dropping-particle":"","family":"Mauriño","given":"Eduardo","non-dropping-particle":"","parse-names":false,"suffix":""},{"dropping-particle":"","family":"Bai","given":"Julio C","non-dropping-particle":"","parse-names":false,"suffix":""}],"container-title":"Journal of clinical gastroenterology","id":"ITEM-1","issue":"2","issued":{"date-parts":[["2013","2"]]},"page":"139-47","title":"Exploratory, randomized, double-blind, placebo-controlled study on the effects of Bifidobacterium infantis natren life start strain super strain in active celiac disease.","type":"article-journal","volume":"47"},"uris":["http://www.mendeley.com/documents/?uuid=1d0db64b-c43d-4a7d-958e-ef3c059635c9"]}],"mendeley":{"formattedCitation":"&lt;sup&gt;17&lt;/sup&gt;","plainTextFormattedCitation":"17","previouslyFormattedCitation":"&lt;sup&gt;17&lt;/sup&gt;"},"properties":{"noteIndex":0},"schema":"https://github.com/citation-style-language/schema/raw/master/csl-citation.json"}</w:instrText>
            </w:r>
            <w:r>
              <w:rPr>
                <w:rFonts w:ascii="Arial" w:hAnsi="Arial" w:cs="Arial"/>
                <w:sz w:val="20"/>
                <w:szCs w:val="20"/>
              </w:rPr>
              <w:fldChar w:fldCharType="separate"/>
            </w:r>
            <w:r w:rsidR="007A7261" w:rsidRPr="007A7261">
              <w:rPr>
                <w:rFonts w:ascii="Arial" w:hAnsi="Arial" w:cs="Arial"/>
                <w:noProof/>
                <w:sz w:val="20"/>
                <w:szCs w:val="20"/>
                <w:vertAlign w:val="superscript"/>
              </w:rPr>
              <w:t>17</w:t>
            </w:r>
            <w:r>
              <w:rPr>
                <w:rFonts w:ascii="Arial" w:hAnsi="Arial" w:cs="Arial"/>
                <w:sz w:val="20"/>
                <w:szCs w:val="20"/>
              </w:rPr>
              <w:fldChar w:fldCharType="end"/>
            </w:r>
          </w:p>
        </w:tc>
      </w:tr>
      <w:tr w:rsidR="00D76DF6" w:rsidRPr="004F1045" w14:paraId="42E8703F" w14:textId="77777777" w:rsidTr="004E1C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1A18ED63" w14:textId="3C9C92D0" w:rsidR="00D76DF6" w:rsidRPr="004F1045" w:rsidRDefault="00D76DF6" w:rsidP="004E1C9A">
            <w:pPr>
              <w:jc w:val="left"/>
              <w:rPr>
                <w:rFonts w:ascii="Arial" w:hAnsi="Arial" w:cs="Arial"/>
                <w:sz w:val="20"/>
                <w:szCs w:val="20"/>
              </w:rPr>
            </w:pPr>
            <w:r w:rsidRPr="004F1045">
              <w:rPr>
                <w:rFonts w:ascii="Arial" w:hAnsi="Arial" w:cs="Arial"/>
                <w:sz w:val="20"/>
                <w:szCs w:val="20"/>
                <w:shd w:val="clear" w:color="auto" w:fill="FFFFFF"/>
              </w:rPr>
              <w:t>NCT01699191</w:t>
            </w:r>
            <w:r w:rsidR="006F46C4" w:rsidRPr="006F46C4">
              <w:rPr>
                <w:rFonts w:ascii="Arial" w:hAnsi="Arial" w:cs="Arial"/>
                <w:sz w:val="20"/>
                <w:szCs w:val="20"/>
                <w:shd w:val="clear" w:color="auto" w:fill="FFFFFF"/>
                <w:vertAlign w:val="superscript"/>
              </w:rPr>
              <w:t>9</w:t>
            </w:r>
          </w:p>
        </w:tc>
        <w:tc>
          <w:tcPr>
            <w:tcW w:w="6765" w:type="dxa"/>
          </w:tcPr>
          <w:p w14:paraId="4957A882" w14:textId="610B4FBC" w:rsidR="00D76DF6" w:rsidRPr="004F1045" w:rsidRDefault="00D76DF6" w:rsidP="004E1C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F1045">
              <w:rPr>
                <w:rFonts w:ascii="Arial" w:hAnsi="Arial" w:cs="Arial"/>
                <w:sz w:val="20"/>
                <w:szCs w:val="20"/>
              </w:rPr>
              <w:t xml:space="preserve">Duplicate of </w:t>
            </w:r>
            <w:proofErr w:type="spellStart"/>
            <w:r w:rsidRPr="004F1045">
              <w:rPr>
                <w:rFonts w:ascii="Arial" w:hAnsi="Arial" w:cs="Arial"/>
                <w:sz w:val="20"/>
                <w:szCs w:val="20"/>
              </w:rPr>
              <w:t>Smecuol</w:t>
            </w:r>
            <w:proofErr w:type="spellEnd"/>
            <w:r w:rsidRPr="004F1045">
              <w:rPr>
                <w:rFonts w:ascii="Arial" w:hAnsi="Arial" w:cs="Arial"/>
                <w:sz w:val="20"/>
                <w:szCs w:val="20"/>
              </w:rPr>
              <w:t xml:space="preserve"> 2013</w:t>
            </w:r>
            <w:r w:rsidR="00944C7D">
              <w:rPr>
                <w:rFonts w:ascii="Arial" w:hAnsi="Arial" w:cs="Arial"/>
                <w:sz w:val="20"/>
                <w:szCs w:val="20"/>
              </w:rPr>
              <w:fldChar w:fldCharType="begin" w:fldLock="1"/>
            </w:r>
            <w:r w:rsidR="00E20811">
              <w:rPr>
                <w:rFonts w:ascii="Arial" w:hAnsi="Arial" w:cs="Arial"/>
                <w:sz w:val="20"/>
                <w:szCs w:val="20"/>
              </w:rPr>
              <w:instrText>ADDIN CSL_CITATION {"citationItems":[{"id":"ITEM-1","itemData":{"DOI":"10.1097/MCG.0b013e31827759ac","ISSN":"1539-2031","PMID":"23314670","abstract":"BACKGROUND/AIMS The aim of this exploratory trial was to establish if the probiotic Bifidobacterium natren life start (NLS) strain strain may affect the clinical course and pathophysiological features of patients with untreated celiac disease (CD). Positive findings would be helpful in directing future studies. METHODS Twenty-two adult patients having 2 positives CD-specific tests were enrolled. Patients were randomized to receive 2 capsules before meals for 3 weeks of either Bifidobacterium infantis natren life start strain super strain (Lifestart 2) (2×10(9) colony-forming units per capsule) (n = 12) or placebo (n = 10), whereas they also consumed at least 12 g of gluten/day. A biopsy at the end of the trial confirmed CD in all cases. The primary outcome was intestinal permeability changes. Secondary endpoints were changes in symptoms and the Gastrointestinal Symptom Rating Scale, and in immunologic indicators of inflammation. RESULTS The abnormal baseline intestinal permeability was not significantly affected by either treatment. In contrast to patients on placebo, those randomized to B. infantis experienced a significant improvement in Gastrointestinal Symptom Rating Scale (P = 0.0035 for indigestion; P = 0.0483 for constipation; P = 0.0586 for reflux). Final/baseline IgA tTG and IgA DGP antibody concentration ratios were lower in the B. infantis arm (P = 0.055 for IgA tTG and P = 0.181 for IgA DGP). Final serum macrophage inflammatory protein-1β increased significantly (P &lt; 0.04) only in patients receiving B. infantis. The administration of B. infantis was safe. CONCLUSIONS The study suggests that B. infantis may alleviate symptoms in untreated CD. The probiotic produced some immunologic changes but did not modify abnormal intestinal permeability. Further studies are necessary to confirm and/or expand these observations.","author":[{"dropping-particle":"","family":"Smecuol","given":"Edgardo","non-dropping-particle":"","parse-names":false,"suffix":""},{"dropping-particle":"","family":"Hwang","given":"Hui J","non-dropping-particle":"","parse-names":false,"suffix":""},{"dropping-particle":"","family":"Sugai","given":"Emilia","non-dropping-particle":"","parse-names":false,"suffix":""},{"dropping-particle":"","family":"Corso","given":"Laura","non-dropping-particle":"","parse-names":false,"suffix":""},{"dropping-particle":"","family":"Cherñavsky","given":"Alejandra C","non-dropping-particle":"","parse-names":false,"suffix":""},{"dropping-particle":"","family":"Bellavite","given":"Franco P","non-dropping-particle":"","parse-names":false,"suffix":""},{"dropping-particle":"","family":"González","given":"Andrea","non-dropping-particle":"","parse-names":false,"suffix":""},{"dropping-particle":"","family":"Vodánovich","given":"Florencia","non-dropping-particle":"","parse-names":false,"suffix":""},{"dropping-particle":"","family":"Moreno","given":"María L","non-dropping-particle":"","parse-names":false,"suffix":""},{"dropping-particle":"","family":"Vázquez","given":"Horacio","non-dropping-particle":"","parse-names":false,"suffix":""},{"dropping-particle":"","family":"Lozano","given":"Graciela","non-dropping-particle":"","parse-names":false,"suffix":""},{"dropping-particle":"","family":"Niveloni","given":"Sonia","non-dropping-particle":"","parse-names":false,"suffix":""},{"dropping-particle":"","family":"Mazure","given":"Roberto","non-dropping-particle":"","parse-names":false,"suffix":""},{"dropping-particle":"","family":"Meddings","given":"Jon","non-dropping-particle":"","parse-names":false,"suffix":""},{"dropping-particle":"","family":"Mauriño","given":"Eduardo","non-dropping-particle":"","parse-names":false,"suffix":""},{"dropping-particle":"","family":"Bai","given":"Julio C","non-dropping-particle":"","parse-names":false,"suffix":""}],"container-title":"Journal of clinical gastroenterology","id":"ITEM-1","issue":"2","issued":{"date-parts":[["2013","2"]]},"page":"139-47","title":"Exploratory, randomized, double-blind, placebo-controlled study on the effects of Bifidobacterium infantis natren life start strain super strain in active celiac disease.","type":"article-journal","volume":"47"},"uris":["http://www.mendeley.com/documents/?uuid=1d0db64b-c43d-4a7d-958e-ef3c059635c9"]}],"mendeley":{"formattedCitation":"&lt;sup&gt;17&lt;/sup&gt;","plainTextFormattedCitation":"17","previouslyFormattedCitation":"&lt;sup&gt;17&lt;/sup&gt;"},"properties":{"noteIndex":0},"schema":"https://github.com/citation-style-language/schema/raw/master/csl-citation.json"}</w:instrText>
            </w:r>
            <w:r w:rsidR="00944C7D">
              <w:rPr>
                <w:rFonts w:ascii="Arial" w:hAnsi="Arial" w:cs="Arial"/>
                <w:sz w:val="20"/>
                <w:szCs w:val="20"/>
              </w:rPr>
              <w:fldChar w:fldCharType="separate"/>
            </w:r>
            <w:r w:rsidR="007A7261" w:rsidRPr="007A7261">
              <w:rPr>
                <w:rFonts w:ascii="Arial" w:hAnsi="Arial" w:cs="Arial"/>
                <w:noProof/>
                <w:sz w:val="20"/>
                <w:szCs w:val="20"/>
                <w:vertAlign w:val="superscript"/>
              </w:rPr>
              <w:t>17</w:t>
            </w:r>
            <w:r w:rsidR="00944C7D">
              <w:rPr>
                <w:rFonts w:ascii="Arial" w:hAnsi="Arial" w:cs="Arial"/>
                <w:sz w:val="20"/>
                <w:szCs w:val="20"/>
              </w:rPr>
              <w:fldChar w:fldCharType="end"/>
            </w:r>
          </w:p>
        </w:tc>
      </w:tr>
      <w:tr w:rsidR="00D76DF6" w:rsidRPr="004F1045" w14:paraId="7ABF88D6" w14:textId="77777777" w:rsidTr="004E1C9A">
        <w:tc>
          <w:tcPr>
            <w:cnfStyle w:val="001000000000" w:firstRow="0" w:lastRow="0" w:firstColumn="1" w:lastColumn="0" w:oddVBand="0" w:evenVBand="0" w:oddHBand="0" w:evenHBand="0" w:firstRowFirstColumn="0" w:firstRowLastColumn="0" w:lastRowFirstColumn="0" w:lastRowLastColumn="0"/>
            <w:tcW w:w="2235" w:type="dxa"/>
          </w:tcPr>
          <w:p w14:paraId="6A2705BD" w14:textId="7EA9FBC7" w:rsidR="00D76DF6" w:rsidRPr="004F1045" w:rsidRDefault="00D76DF6" w:rsidP="004E1C9A">
            <w:pPr>
              <w:jc w:val="left"/>
              <w:rPr>
                <w:rFonts w:ascii="Arial" w:hAnsi="Arial" w:cs="Arial"/>
                <w:sz w:val="20"/>
                <w:szCs w:val="20"/>
                <w:shd w:val="clear" w:color="auto" w:fill="FFFFFF"/>
              </w:rPr>
            </w:pPr>
            <w:r w:rsidRPr="004F1045">
              <w:rPr>
                <w:rFonts w:ascii="Arial" w:hAnsi="Arial" w:cs="Arial"/>
                <w:kern w:val="1"/>
                <w:sz w:val="20"/>
                <w:szCs w:val="20"/>
              </w:rPr>
              <w:t>NCT02810301</w:t>
            </w:r>
            <w:r w:rsidR="00D4206C">
              <w:rPr>
                <w:rFonts w:ascii="Arial" w:hAnsi="Arial" w:cs="Arial"/>
                <w:kern w:val="1"/>
                <w:sz w:val="20"/>
                <w:szCs w:val="20"/>
              </w:rPr>
              <w:fldChar w:fldCharType="begin" w:fldLock="1"/>
            </w:r>
            <w:r w:rsidR="00E20811">
              <w:rPr>
                <w:rFonts w:ascii="Arial" w:hAnsi="Arial" w:cs="Arial"/>
                <w:kern w:val="1"/>
                <w:sz w:val="20"/>
                <w:szCs w:val="20"/>
              </w:rPr>
              <w:instrText>ADDIN CSL_CITATION {"citationItems":[{"id":"ITEM-1","itemData":{"URL":"https://clinicaltrials.gov/show/nct02810301","abstract":"Study to demonstrate the efficacy of Probiotic ES1 in alleviating symptoms of gluten sensitivity in non-celiac gluten sensitive subjects exposed to a small, fixed amount of gluten.","author":[{"dropping-particle":"","family":"ClinicalTrials.gov","given":"","non-dropping-particle":"","parse-names":false,"suffix":""}],"container-title":"Bethesda (MD): National Library of Medicine (US)","id":"ITEM-1","issued":{"date-parts":[["2016"]]},"page":"6","title":"Efficacy of Probiotic ES1 for the Treatment of Non-Celiac Gluten Sensitivity","type":"webpage"},"uris":["http://www.mendeley.com/documents/?uuid=b924f63c-3d14-4df3-8e55-cb64cb0c5a36"]}],"mendeley":{"formattedCitation":"&lt;sup&gt;43&lt;/sup&gt;","plainTextFormattedCitation":"43","previouslyFormattedCitation":"&lt;sup&gt;43&lt;/sup&gt;"},"properties":{"noteIndex":0},"schema":"https://github.com/citation-style-language/schema/raw/master/csl-citation.json"}</w:instrText>
            </w:r>
            <w:r w:rsidR="00D4206C">
              <w:rPr>
                <w:rFonts w:ascii="Arial" w:hAnsi="Arial" w:cs="Arial"/>
                <w:kern w:val="1"/>
                <w:sz w:val="20"/>
                <w:szCs w:val="20"/>
              </w:rPr>
              <w:fldChar w:fldCharType="separate"/>
            </w:r>
            <w:r w:rsidR="006F46C4">
              <w:rPr>
                <w:rFonts w:ascii="Arial" w:hAnsi="Arial" w:cs="Arial"/>
                <w:i w:val="0"/>
                <w:noProof/>
                <w:kern w:val="1"/>
                <w:sz w:val="20"/>
                <w:szCs w:val="20"/>
                <w:vertAlign w:val="superscript"/>
              </w:rPr>
              <w:t>10</w:t>
            </w:r>
            <w:r w:rsidR="00D4206C">
              <w:rPr>
                <w:rFonts w:ascii="Arial" w:hAnsi="Arial" w:cs="Arial"/>
                <w:kern w:val="1"/>
                <w:sz w:val="20"/>
                <w:szCs w:val="20"/>
              </w:rPr>
              <w:fldChar w:fldCharType="end"/>
            </w:r>
          </w:p>
        </w:tc>
        <w:tc>
          <w:tcPr>
            <w:tcW w:w="6765" w:type="dxa"/>
          </w:tcPr>
          <w:p w14:paraId="7614103A" w14:textId="3E2AFE60" w:rsidR="00D76DF6" w:rsidRPr="004F1045" w:rsidRDefault="00D76DF6" w:rsidP="004E1C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F1045">
              <w:rPr>
                <w:rFonts w:ascii="Arial" w:hAnsi="Arial" w:cs="Arial"/>
                <w:sz w:val="20"/>
                <w:szCs w:val="20"/>
              </w:rPr>
              <w:t xml:space="preserve">Study population does not include </w:t>
            </w:r>
            <w:r w:rsidR="0019718B">
              <w:rPr>
                <w:rFonts w:ascii="Arial" w:hAnsi="Arial" w:cs="Arial"/>
                <w:sz w:val="20"/>
                <w:szCs w:val="20"/>
              </w:rPr>
              <w:t>CD</w:t>
            </w:r>
            <w:r w:rsidRPr="004F1045">
              <w:rPr>
                <w:rFonts w:ascii="Arial" w:hAnsi="Arial" w:cs="Arial"/>
                <w:sz w:val="20"/>
                <w:szCs w:val="20"/>
              </w:rPr>
              <w:t xml:space="preserve"> patients</w:t>
            </w:r>
          </w:p>
        </w:tc>
      </w:tr>
      <w:tr w:rsidR="00944C7D" w:rsidRPr="004F1045" w14:paraId="4BCAAB31" w14:textId="77777777" w:rsidTr="004E1C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AB568D" w14:textId="10DA2772" w:rsidR="00944C7D" w:rsidRPr="004F1045" w:rsidRDefault="00944C7D" w:rsidP="00253BAF">
            <w:pPr>
              <w:jc w:val="left"/>
              <w:rPr>
                <w:rFonts w:ascii="Arial" w:hAnsi="Arial" w:cs="Arial"/>
                <w:kern w:val="1"/>
                <w:sz w:val="20"/>
                <w:szCs w:val="20"/>
              </w:rPr>
            </w:pPr>
            <w:r w:rsidRPr="00944C7D">
              <w:rPr>
                <w:rFonts w:ascii="Arial" w:hAnsi="Arial" w:cs="Arial"/>
                <w:kern w:val="1"/>
                <w:sz w:val="20"/>
                <w:szCs w:val="20"/>
              </w:rPr>
              <w:t>NCT03176095</w:t>
            </w:r>
            <w:r w:rsidR="00D4206C">
              <w:rPr>
                <w:rFonts w:ascii="Arial" w:hAnsi="Arial" w:cs="Arial"/>
                <w:kern w:val="1"/>
                <w:sz w:val="20"/>
                <w:szCs w:val="20"/>
              </w:rPr>
              <w:fldChar w:fldCharType="begin" w:fldLock="1"/>
            </w:r>
            <w:r w:rsidR="00E20811">
              <w:rPr>
                <w:rFonts w:ascii="Arial" w:hAnsi="Arial" w:cs="Arial"/>
                <w:kern w:val="1"/>
                <w:sz w:val="20"/>
                <w:szCs w:val="20"/>
              </w:rPr>
              <w:instrText>ADDIN CSL_CITATION {"citationItems":[{"id":"ITEM-1","itemData":{"URL":"https://clinicaltrials.gov/ct2/show/NCT03176095","abstract":"Background/Aim: Celiac disease is a common immune-mediated disorder, and the only currently available treatment is a gluten-free diet. Recent studies have shown several probiotics to carry properties that might positively influence the immunological activity in celiac patients. The aim of the present study is to investigate how daily consumption of probiotics would affect levels of tissue transglutaminase autoantibodies (tTGA), markers of celiac disease autoimmunity in the periphery, as compared to placebo in children at genetic risk for celiac disease. Methods: Between 2012 and 2015, 90 children were recruited from two ongoing prospective celiac disease screening studies at the Skåne University Hospital, Sweden. Participants were randomized to either daily consumption of 2 lactobacilli strains or placebo for the duration of 6 months. Blood samples were drawn at 0, 3 and 6 months and analyzed for both IgA-tTGA and IgG-tTGA using radioligand binding assays.","author":[{"dropping-particle":"","family":"ClinicalTrials.gov","given":"","non-dropping-particle":"","parse-names":false,"suffix":""}],"container-title":"Bethesda (MD): National Library of Medicine (US)","id":"ITEM-1","issued":{"date-parts":[["2017"]]},"page":"5","title":"Celiac Disease Prevention With Probiotics (CiPP)","type":"webpage"},"uris":["http://www.mendeley.com/documents/?uuid=d4449674-acf2-4553-886c-9ab434f2eb28"]}],"mendeley":{"formattedCitation":"&lt;sup&gt;44&lt;/sup&gt;","plainTextFormattedCitation":"44","previouslyFormattedCitation":"&lt;sup&gt;44&lt;/sup&gt;"},"properties":{"noteIndex":0},"schema":"https://github.com/citation-style-language/schema/raw/master/csl-citation.json"}</w:instrText>
            </w:r>
            <w:r w:rsidR="00D4206C">
              <w:rPr>
                <w:rFonts w:ascii="Arial" w:hAnsi="Arial" w:cs="Arial"/>
                <w:kern w:val="1"/>
                <w:sz w:val="20"/>
                <w:szCs w:val="20"/>
              </w:rPr>
              <w:fldChar w:fldCharType="separate"/>
            </w:r>
            <w:r w:rsidR="006F46C4">
              <w:rPr>
                <w:rFonts w:ascii="Arial" w:hAnsi="Arial" w:cs="Arial"/>
                <w:i w:val="0"/>
                <w:noProof/>
                <w:kern w:val="1"/>
                <w:sz w:val="20"/>
                <w:szCs w:val="20"/>
                <w:vertAlign w:val="superscript"/>
              </w:rPr>
              <w:t>11</w:t>
            </w:r>
            <w:r w:rsidR="00D4206C">
              <w:rPr>
                <w:rFonts w:ascii="Arial" w:hAnsi="Arial" w:cs="Arial"/>
                <w:kern w:val="1"/>
                <w:sz w:val="20"/>
                <w:szCs w:val="20"/>
              </w:rPr>
              <w:fldChar w:fldCharType="end"/>
            </w:r>
          </w:p>
        </w:tc>
        <w:tc>
          <w:tcPr>
            <w:tcW w:w="6765" w:type="dxa"/>
          </w:tcPr>
          <w:p w14:paraId="1F2439D0" w14:textId="0D4DE2E4" w:rsidR="00944C7D" w:rsidRPr="004F1045" w:rsidRDefault="00D4206C" w:rsidP="004E1C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F1045">
              <w:rPr>
                <w:rFonts w:ascii="Arial" w:hAnsi="Arial" w:cs="Arial"/>
                <w:sz w:val="20"/>
                <w:szCs w:val="20"/>
              </w:rPr>
              <w:t xml:space="preserve">Study population does not include </w:t>
            </w:r>
            <w:r w:rsidR="0019718B">
              <w:rPr>
                <w:rFonts w:ascii="Arial" w:hAnsi="Arial" w:cs="Arial"/>
                <w:sz w:val="20"/>
                <w:szCs w:val="20"/>
              </w:rPr>
              <w:t>CD</w:t>
            </w:r>
            <w:r w:rsidRPr="004F1045">
              <w:rPr>
                <w:rFonts w:ascii="Arial" w:hAnsi="Arial" w:cs="Arial"/>
                <w:sz w:val="20"/>
                <w:szCs w:val="20"/>
              </w:rPr>
              <w:t xml:space="preserve"> patients</w:t>
            </w:r>
          </w:p>
        </w:tc>
      </w:tr>
      <w:tr w:rsidR="00D76DF6" w:rsidRPr="004F1045" w14:paraId="7AB9F650" w14:textId="77777777" w:rsidTr="004E1C9A">
        <w:tc>
          <w:tcPr>
            <w:cnfStyle w:val="001000000000" w:firstRow="0" w:lastRow="0" w:firstColumn="1" w:lastColumn="0" w:oddVBand="0" w:evenVBand="0" w:oddHBand="0" w:evenHBand="0" w:firstRowFirstColumn="0" w:firstRowLastColumn="0" w:lastRowFirstColumn="0" w:lastRowLastColumn="0"/>
            <w:tcW w:w="2235" w:type="dxa"/>
          </w:tcPr>
          <w:p w14:paraId="20F17F0B" w14:textId="0D1512E9" w:rsidR="00D76DF6" w:rsidRPr="004F1045" w:rsidRDefault="00D76DF6" w:rsidP="004E1C9A">
            <w:pPr>
              <w:jc w:val="left"/>
              <w:rPr>
                <w:rFonts w:ascii="Arial" w:hAnsi="Arial" w:cs="Arial"/>
                <w:sz w:val="20"/>
                <w:szCs w:val="20"/>
              </w:rPr>
            </w:pPr>
            <w:r w:rsidRPr="004F1045">
              <w:rPr>
                <w:rFonts w:ascii="Arial" w:hAnsi="Arial" w:cs="Arial"/>
                <w:sz w:val="20"/>
                <w:szCs w:val="20"/>
                <w:shd w:val="clear" w:color="auto" w:fill="FFFFFF"/>
              </w:rPr>
              <w:t>NCT03403387</w:t>
            </w:r>
            <w:r w:rsidR="00D4206C">
              <w:rPr>
                <w:rFonts w:ascii="Arial" w:hAnsi="Arial" w:cs="Arial"/>
                <w:sz w:val="20"/>
                <w:szCs w:val="20"/>
                <w:shd w:val="clear" w:color="auto" w:fill="FFFFFF"/>
              </w:rPr>
              <w:fldChar w:fldCharType="begin" w:fldLock="1"/>
            </w:r>
            <w:r w:rsidR="00E20811">
              <w:rPr>
                <w:rFonts w:ascii="Arial" w:hAnsi="Arial" w:cs="Arial"/>
                <w:sz w:val="20"/>
                <w:szCs w:val="20"/>
                <w:shd w:val="clear" w:color="auto" w:fill="FFFFFF"/>
              </w:rPr>
              <w:instrText>ADDIN CSL_CITATION {"citationItems":[{"id":"ITEM-1","itemData":{"URL":"https://clinicaltrials.gov/show/nct03403387","abstract":"This study evaluates the effects of combination probiotic, prebiotic, and enzyme supplementation on the colonic microbiome of individuals with GI symptoms (e.g. diarrhea, constipation, increased gas). Half of the participants will receive the placebo while the other half will receive the supplement for 28 days.","author":[{"dropping-particle":"","family":"ClinicalTrials.gov","given":"","non-dropping-particle":"","parse-names":false,"suffix":""}],"container-title":"Bethesda (MD): National Library of Medicine (US)","id":"ITEM-1","issued":{"date-parts":[["2018"]]},"page":"6","title":"Effects of GlutenShield, a Prebiotic, Probiotic, and Enzyme Supplement, on the Gut Microbiome of Adults With GI Symptoms","type":"webpage"},"uris":["http://www.mendeley.com/documents/?uuid=b195320d-1fa8-4bef-a41b-cd364622701e"]}],"mendeley":{"formattedCitation":"&lt;sup&gt;45&lt;/sup&gt;","plainTextFormattedCitation":"45","previouslyFormattedCitation":"&lt;sup&gt;45&lt;/sup&gt;"},"properties":{"noteIndex":0},"schema":"https://github.com/citation-style-language/schema/raw/master/csl-citation.json"}</w:instrText>
            </w:r>
            <w:r w:rsidR="00D4206C">
              <w:rPr>
                <w:rFonts w:ascii="Arial" w:hAnsi="Arial" w:cs="Arial"/>
                <w:sz w:val="20"/>
                <w:szCs w:val="20"/>
                <w:shd w:val="clear" w:color="auto" w:fill="FFFFFF"/>
              </w:rPr>
              <w:fldChar w:fldCharType="separate"/>
            </w:r>
            <w:r w:rsidR="006F46C4">
              <w:rPr>
                <w:rFonts w:ascii="Arial" w:hAnsi="Arial" w:cs="Arial"/>
                <w:i w:val="0"/>
                <w:noProof/>
                <w:sz w:val="20"/>
                <w:szCs w:val="20"/>
                <w:shd w:val="clear" w:color="auto" w:fill="FFFFFF"/>
                <w:vertAlign w:val="superscript"/>
              </w:rPr>
              <w:t>12</w:t>
            </w:r>
            <w:r w:rsidR="00D4206C">
              <w:rPr>
                <w:rFonts w:ascii="Arial" w:hAnsi="Arial" w:cs="Arial"/>
                <w:sz w:val="20"/>
                <w:szCs w:val="20"/>
                <w:shd w:val="clear" w:color="auto" w:fill="FFFFFF"/>
              </w:rPr>
              <w:fldChar w:fldCharType="end"/>
            </w:r>
          </w:p>
        </w:tc>
        <w:tc>
          <w:tcPr>
            <w:tcW w:w="6765" w:type="dxa"/>
          </w:tcPr>
          <w:p w14:paraId="6BA381DD" w14:textId="7F86C057" w:rsidR="00D76DF6" w:rsidRPr="004F1045" w:rsidRDefault="00D76DF6" w:rsidP="004E1C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F1045">
              <w:rPr>
                <w:rFonts w:ascii="Arial" w:hAnsi="Arial" w:cs="Arial"/>
                <w:sz w:val="20"/>
                <w:szCs w:val="20"/>
              </w:rPr>
              <w:t xml:space="preserve">Study population does not include </w:t>
            </w:r>
            <w:r w:rsidR="0019718B">
              <w:rPr>
                <w:rFonts w:ascii="Arial" w:hAnsi="Arial" w:cs="Arial"/>
                <w:sz w:val="20"/>
                <w:szCs w:val="20"/>
              </w:rPr>
              <w:t>CD</w:t>
            </w:r>
            <w:r w:rsidRPr="004F1045">
              <w:rPr>
                <w:rFonts w:ascii="Arial" w:hAnsi="Arial" w:cs="Arial"/>
                <w:sz w:val="20"/>
                <w:szCs w:val="20"/>
              </w:rPr>
              <w:t xml:space="preserve"> patients</w:t>
            </w:r>
          </w:p>
        </w:tc>
      </w:tr>
      <w:tr w:rsidR="000D6DFE" w:rsidRPr="004F1045" w14:paraId="2466E6B6" w14:textId="77777777" w:rsidTr="004E1C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57257F3" w14:textId="69E15C85" w:rsidR="000D6DFE" w:rsidRPr="004F1045" w:rsidRDefault="000D6DFE" w:rsidP="00253BAF">
            <w:pPr>
              <w:jc w:val="left"/>
              <w:rPr>
                <w:rFonts w:ascii="Arial" w:hAnsi="Arial" w:cs="Arial"/>
                <w:sz w:val="20"/>
                <w:szCs w:val="20"/>
                <w:shd w:val="clear" w:color="auto" w:fill="FFFFFF"/>
              </w:rPr>
            </w:pPr>
            <w:r w:rsidRPr="000D6DFE">
              <w:rPr>
                <w:rFonts w:ascii="Arial" w:hAnsi="Arial" w:cs="Arial"/>
                <w:sz w:val="20"/>
                <w:szCs w:val="20"/>
                <w:shd w:val="clear" w:color="auto" w:fill="FFFFFF"/>
              </w:rPr>
              <w:t>NCT03483805</w:t>
            </w:r>
            <w:r w:rsidR="006F46C4" w:rsidRPr="006F46C4">
              <w:rPr>
                <w:rFonts w:ascii="Arial" w:hAnsi="Arial" w:cs="Arial"/>
                <w:sz w:val="20"/>
                <w:szCs w:val="20"/>
                <w:shd w:val="clear" w:color="auto" w:fill="FFFFFF"/>
                <w:vertAlign w:val="superscript"/>
              </w:rPr>
              <w:t>13</w:t>
            </w:r>
          </w:p>
        </w:tc>
        <w:tc>
          <w:tcPr>
            <w:tcW w:w="6765" w:type="dxa"/>
          </w:tcPr>
          <w:p w14:paraId="4EA4D407" w14:textId="1D3D0114" w:rsidR="000D6DFE" w:rsidRPr="004F1045" w:rsidRDefault="000D6DFE" w:rsidP="004E1C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Intervention is not solely probiotics</w:t>
            </w:r>
          </w:p>
        </w:tc>
      </w:tr>
      <w:tr w:rsidR="00D76DF6" w:rsidRPr="004F1045" w14:paraId="254DE2B4" w14:textId="77777777" w:rsidTr="004E1C9A">
        <w:tc>
          <w:tcPr>
            <w:cnfStyle w:val="001000000000" w:firstRow="0" w:lastRow="0" w:firstColumn="1" w:lastColumn="0" w:oddVBand="0" w:evenVBand="0" w:oddHBand="0" w:evenHBand="0" w:firstRowFirstColumn="0" w:firstRowLastColumn="0" w:lastRowFirstColumn="0" w:lastRowLastColumn="0"/>
            <w:tcW w:w="2235" w:type="dxa"/>
          </w:tcPr>
          <w:p w14:paraId="4B2B6528" w14:textId="105831FE" w:rsidR="00D76DF6" w:rsidRPr="004F1045" w:rsidRDefault="00D76DF6" w:rsidP="004E1C9A">
            <w:pPr>
              <w:jc w:val="left"/>
              <w:rPr>
                <w:rFonts w:ascii="Arial" w:hAnsi="Arial" w:cs="Arial"/>
                <w:sz w:val="20"/>
                <w:szCs w:val="20"/>
              </w:rPr>
            </w:pPr>
            <w:r w:rsidRPr="004F1045">
              <w:rPr>
                <w:rFonts w:ascii="Arial" w:hAnsi="Arial" w:cs="Arial"/>
                <w:sz w:val="20"/>
                <w:szCs w:val="20"/>
              </w:rPr>
              <w:t>NCT03775499</w:t>
            </w:r>
            <w:r w:rsidR="00D4206C">
              <w:rPr>
                <w:rFonts w:ascii="Arial" w:hAnsi="Arial" w:cs="Arial"/>
                <w:sz w:val="20"/>
                <w:szCs w:val="20"/>
              </w:rPr>
              <w:fldChar w:fldCharType="begin" w:fldLock="1"/>
            </w:r>
            <w:r w:rsidR="00E20811">
              <w:rPr>
                <w:rFonts w:ascii="Arial" w:hAnsi="Arial" w:cs="Arial"/>
                <w:sz w:val="20"/>
                <w:szCs w:val="20"/>
              </w:rPr>
              <w:instrText>ADDIN CSL_CITATION {"citationItems":[{"id":"ITEM-1","itemData":{"URL":"https://clinicaltrials.gov/ct2/show/NCT03775499","abstract":"The aim of the study is to confirm/prove safety of the probiotic and production of serpin in humans.","author":[{"dropping-particle":"","family":"ClinicalTrials.gov","given":"","non-dropping-particle":"","parse-names":false,"suffix":""}],"container-title":"Bethesda (MD): National Library of Medicine (US)","id":"ITEM-1","issued":{"date-parts":[["2019"]]},"page":"7","title":"Probiotic BL NCC 2705 and Gluten Sensitivity","type":"webpage"},"uris":["http://www.mendeley.com/documents/?uuid=7d436de3-fcff-4e96-97dd-e3c0e442be50"]}],"mendeley":{"formattedCitation":"&lt;sup&gt;47&lt;/sup&gt;","plainTextFormattedCitation":"47","previouslyFormattedCitation":"&lt;sup&gt;47&lt;/sup&gt;"},"properties":{"noteIndex":0},"schema":"https://github.com/citation-style-language/schema/raw/master/csl-citation.json"}</w:instrText>
            </w:r>
            <w:r w:rsidR="00D4206C">
              <w:rPr>
                <w:rFonts w:ascii="Arial" w:hAnsi="Arial" w:cs="Arial"/>
                <w:sz w:val="20"/>
                <w:szCs w:val="20"/>
              </w:rPr>
              <w:fldChar w:fldCharType="separate"/>
            </w:r>
            <w:r w:rsidR="006F46C4">
              <w:rPr>
                <w:rFonts w:ascii="Arial" w:hAnsi="Arial" w:cs="Arial"/>
                <w:i w:val="0"/>
                <w:noProof/>
                <w:sz w:val="20"/>
                <w:szCs w:val="20"/>
                <w:vertAlign w:val="superscript"/>
              </w:rPr>
              <w:t>14</w:t>
            </w:r>
            <w:r w:rsidR="00D4206C">
              <w:rPr>
                <w:rFonts w:ascii="Arial" w:hAnsi="Arial" w:cs="Arial"/>
                <w:sz w:val="20"/>
                <w:szCs w:val="20"/>
              </w:rPr>
              <w:fldChar w:fldCharType="end"/>
            </w:r>
          </w:p>
        </w:tc>
        <w:tc>
          <w:tcPr>
            <w:tcW w:w="6765" w:type="dxa"/>
          </w:tcPr>
          <w:p w14:paraId="5AD48061" w14:textId="77777777" w:rsidR="00D76DF6" w:rsidRPr="004F1045" w:rsidRDefault="00D76DF6" w:rsidP="004E1C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Study intervention too short (&lt;2 weeks)</w:t>
            </w:r>
          </w:p>
        </w:tc>
      </w:tr>
      <w:tr w:rsidR="00D76DF6" w:rsidRPr="004F1045" w14:paraId="7318B9F9" w14:textId="77777777" w:rsidTr="004E1C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37FEE896" w14:textId="558E83EF" w:rsidR="00D76DF6" w:rsidRPr="004F1045" w:rsidRDefault="00D76DF6" w:rsidP="004E1C9A">
            <w:pPr>
              <w:jc w:val="left"/>
              <w:rPr>
                <w:rFonts w:ascii="Arial" w:hAnsi="Arial" w:cs="Arial"/>
                <w:sz w:val="20"/>
                <w:szCs w:val="20"/>
                <w:shd w:val="clear" w:color="auto" w:fill="FFFFFF"/>
              </w:rPr>
            </w:pPr>
            <w:proofErr w:type="spellStart"/>
            <w:r w:rsidRPr="004F1045">
              <w:rPr>
                <w:rFonts w:ascii="Arial" w:hAnsi="Arial" w:cs="Arial"/>
                <w:sz w:val="20"/>
                <w:szCs w:val="20"/>
                <w:shd w:val="clear" w:color="auto" w:fill="FFFFFF"/>
              </w:rPr>
              <w:t>Novik</w:t>
            </w:r>
            <w:proofErr w:type="spellEnd"/>
            <w:r w:rsidRPr="004F1045">
              <w:rPr>
                <w:rFonts w:ascii="Arial" w:hAnsi="Arial" w:cs="Arial"/>
                <w:sz w:val="20"/>
                <w:szCs w:val="20"/>
                <w:shd w:val="clear" w:color="auto" w:fill="FFFFFF"/>
              </w:rPr>
              <w:t xml:space="preserve"> 2016</w:t>
            </w:r>
            <w:r w:rsidR="006F46C4" w:rsidRPr="006F46C4">
              <w:rPr>
                <w:rFonts w:ascii="Arial" w:hAnsi="Arial" w:cs="Arial"/>
                <w:sz w:val="20"/>
                <w:szCs w:val="20"/>
                <w:shd w:val="clear" w:color="auto" w:fill="FFFFFF"/>
                <w:vertAlign w:val="superscript"/>
              </w:rPr>
              <w:t>15</w:t>
            </w:r>
          </w:p>
        </w:tc>
        <w:tc>
          <w:tcPr>
            <w:tcW w:w="6765" w:type="dxa"/>
          </w:tcPr>
          <w:p w14:paraId="492D8A20" w14:textId="77777777" w:rsidR="00D76DF6" w:rsidRPr="004F1045" w:rsidRDefault="00D76DF6" w:rsidP="004E1C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F1045">
              <w:rPr>
                <w:rFonts w:ascii="Arial" w:hAnsi="Arial" w:cs="Arial"/>
                <w:sz w:val="20"/>
                <w:szCs w:val="20"/>
              </w:rPr>
              <w:t>Not a randomised controlled trial</w:t>
            </w:r>
          </w:p>
        </w:tc>
      </w:tr>
      <w:tr w:rsidR="005A6DE6" w:rsidRPr="004F1045" w14:paraId="70AE28DF" w14:textId="77777777" w:rsidTr="004E1C9A">
        <w:tc>
          <w:tcPr>
            <w:cnfStyle w:val="001000000000" w:firstRow="0" w:lastRow="0" w:firstColumn="1" w:lastColumn="0" w:oddVBand="0" w:evenVBand="0" w:oddHBand="0" w:evenHBand="0" w:firstRowFirstColumn="0" w:firstRowLastColumn="0" w:lastRowFirstColumn="0" w:lastRowLastColumn="0"/>
            <w:tcW w:w="2235" w:type="dxa"/>
          </w:tcPr>
          <w:p w14:paraId="49AA92F0" w14:textId="56AD19DD" w:rsidR="005A6DE6" w:rsidRPr="004F1045" w:rsidRDefault="005A6DE6" w:rsidP="005A6DE6">
            <w:pPr>
              <w:jc w:val="left"/>
              <w:rPr>
                <w:rFonts w:ascii="Arial" w:hAnsi="Arial" w:cs="Arial"/>
                <w:sz w:val="20"/>
                <w:szCs w:val="20"/>
                <w:shd w:val="clear" w:color="auto" w:fill="FFFFFF"/>
              </w:rPr>
            </w:pPr>
            <w:r w:rsidRPr="004F1045">
              <w:rPr>
                <w:rFonts w:ascii="Arial" w:hAnsi="Arial" w:cs="Arial"/>
                <w:sz w:val="20"/>
                <w:szCs w:val="20"/>
              </w:rPr>
              <w:t>Pinto-Sánchez 2017</w:t>
            </w:r>
            <w:r w:rsidR="006F46C4" w:rsidRPr="006F46C4">
              <w:rPr>
                <w:rFonts w:ascii="Arial" w:hAnsi="Arial" w:cs="Arial"/>
                <w:sz w:val="20"/>
                <w:szCs w:val="20"/>
                <w:vertAlign w:val="superscript"/>
              </w:rPr>
              <w:t>16</w:t>
            </w:r>
          </w:p>
        </w:tc>
        <w:tc>
          <w:tcPr>
            <w:tcW w:w="6765" w:type="dxa"/>
          </w:tcPr>
          <w:p w14:paraId="2FD3F015" w14:textId="308D1F80" w:rsidR="005A6DE6" w:rsidRPr="004F1045" w:rsidRDefault="005A6DE6" w:rsidP="005A6D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F1045">
              <w:rPr>
                <w:rFonts w:ascii="Arial" w:hAnsi="Arial" w:cs="Arial"/>
                <w:sz w:val="20"/>
                <w:szCs w:val="20"/>
              </w:rPr>
              <w:t>Not a randomized controlled trial</w:t>
            </w:r>
          </w:p>
        </w:tc>
      </w:tr>
      <w:tr w:rsidR="005A6DE6" w:rsidRPr="004F1045" w14:paraId="1AF0742C" w14:textId="77777777" w:rsidTr="004E1C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16A3892F" w14:textId="2375948B" w:rsidR="005A6DE6" w:rsidRPr="004F1045" w:rsidRDefault="005A6DE6" w:rsidP="005A6DE6">
            <w:pPr>
              <w:jc w:val="left"/>
              <w:rPr>
                <w:rFonts w:ascii="Arial" w:hAnsi="Arial" w:cs="Arial"/>
                <w:sz w:val="20"/>
                <w:szCs w:val="20"/>
                <w:shd w:val="clear" w:color="auto" w:fill="FFFFFF"/>
              </w:rPr>
            </w:pPr>
            <w:proofErr w:type="spellStart"/>
            <w:r w:rsidRPr="004F1045">
              <w:rPr>
                <w:rFonts w:ascii="Arial" w:hAnsi="Arial" w:cs="Arial"/>
                <w:sz w:val="20"/>
                <w:szCs w:val="20"/>
                <w:shd w:val="clear" w:color="auto" w:fill="FFFFFF"/>
              </w:rPr>
              <w:t>Pisarello</w:t>
            </w:r>
            <w:proofErr w:type="spellEnd"/>
            <w:r w:rsidRPr="004F1045">
              <w:rPr>
                <w:rFonts w:ascii="Arial" w:hAnsi="Arial" w:cs="Arial"/>
                <w:sz w:val="20"/>
                <w:szCs w:val="20"/>
                <w:shd w:val="clear" w:color="auto" w:fill="FFFFFF"/>
              </w:rPr>
              <w:t xml:space="preserve"> 201</w:t>
            </w:r>
            <w:r>
              <w:rPr>
                <w:rFonts w:ascii="Arial" w:hAnsi="Arial" w:cs="Arial"/>
                <w:sz w:val="20"/>
                <w:szCs w:val="20"/>
                <w:shd w:val="clear" w:color="auto" w:fill="FFFFFF"/>
              </w:rPr>
              <w:t>5</w:t>
            </w:r>
            <w:r w:rsidR="006F46C4" w:rsidRPr="006F46C4">
              <w:rPr>
                <w:rFonts w:ascii="Arial" w:hAnsi="Arial" w:cs="Arial"/>
                <w:sz w:val="20"/>
                <w:szCs w:val="20"/>
                <w:shd w:val="clear" w:color="auto" w:fill="FFFFFF"/>
                <w:vertAlign w:val="superscript"/>
              </w:rPr>
              <w:t>17</w:t>
            </w:r>
          </w:p>
        </w:tc>
        <w:tc>
          <w:tcPr>
            <w:tcW w:w="6765" w:type="dxa"/>
          </w:tcPr>
          <w:p w14:paraId="1AD29024" w14:textId="77777777" w:rsidR="005A6DE6" w:rsidRPr="004F1045" w:rsidRDefault="005A6DE6" w:rsidP="005A6DE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F1045">
              <w:rPr>
                <w:rFonts w:ascii="Arial" w:hAnsi="Arial" w:cs="Arial"/>
                <w:sz w:val="20"/>
                <w:szCs w:val="20"/>
              </w:rPr>
              <w:t>Not a randomised controlled trial</w:t>
            </w:r>
          </w:p>
        </w:tc>
      </w:tr>
      <w:tr w:rsidR="005928D4" w:rsidRPr="004F1045" w14:paraId="03B31FAE" w14:textId="77777777" w:rsidTr="004E1C9A">
        <w:tc>
          <w:tcPr>
            <w:cnfStyle w:val="001000000000" w:firstRow="0" w:lastRow="0" w:firstColumn="1" w:lastColumn="0" w:oddVBand="0" w:evenVBand="0" w:oddHBand="0" w:evenHBand="0" w:firstRowFirstColumn="0" w:firstRowLastColumn="0" w:lastRowFirstColumn="0" w:lastRowLastColumn="0"/>
            <w:tcW w:w="2235" w:type="dxa"/>
          </w:tcPr>
          <w:p w14:paraId="0BCB1752" w14:textId="7614D59F" w:rsidR="005928D4" w:rsidRPr="004F1045" w:rsidRDefault="005928D4" w:rsidP="005928D4">
            <w:pPr>
              <w:jc w:val="left"/>
              <w:rPr>
                <w:rFonts w:ascii="Arial" w:hAnsi="Arial" w:cs="Arial"/>
                <w:sz w:val="20"/>
                <w:szCs w:val="20"/>
                <w:shd w:val="clear" w:color="auto" w:fill="FFFFFF"/>
              </w:rPr>
            </w:pPr>
            <w:proofErr w:type="spellStart"/>
            <w:r>
              <w:rPr>
                <w:rFonts w:ascii="Arial" w:hAnsi="Arial" w:cs="Arial"/>
                <w:sz w:val="20"/>
                <w:szCs w:val="20"/>
                <w:shd w:val="clear" w:color="auto" w:fill="FFFFFF"/>
              </w:rPr>
              <w:t>Rall</w:t>
            </w:r>
            <w:proofErr w:type="spellEnd"/>
            <w:r>
              <w:rPr>
                <w:rFonts w:ascii="Arial" w:hAnsi="Arial" w:cs="Arial"/>
                <w:sz w:val="20"/>
                <w:szCs w:val="20"/>
                <w:shd w:val="clear" w:color="auto" w:fill="FFFFFF"/>
              </w:rPr>
              <w:t xml:space="preserve"> 2010</w:t>
            </w:r>
            <w:r>
              <w:rPr>
                <w:rFonts w:ascii="Arial" w:hAnsi="Arial" w:cs="Arial"/>
                <w:sz w:val="20"/>
                <w:szCs w:val="20"/>
                <w:shd w:val="clear" w:color="auto" w:fill="FFFFFF"/>
              </w:rPr>
              <w:fldChar w:fldCharType="begin" w:fldLock="1"/>
            </w:r>
            <w:r w:rsidR="00E20811">
              <w:rPr>
                <w:rFonts w:ascii="Arial" w:hAnsi="Arial" w:cs="Arial"/>
                <w:sz w:val="20"/>
                <w:szCs w:val="20"/>
                <w:shd w:val="clear" w:color="auto" w:fill="FFFFFF"/>
              </w:rPr>
              <w:instrText>ADDIN CSL_CITATION {"citationItems":[{"id":"ITEM-1","itemData":{"author":[{"dropping-particle":"","family":"Rall","given":"B","non-dropping-particle":"","parse-names":false,"suffix":""}],"container-title":"Deutsche Apotheker Zeitung","id":"ITEM-1","issue":"18","issued":{"date-parts":[["2010"]]},"page":"72","title":"Probiotika zeigen bei Zöliakie Benefit Probiotische Bakterien können bei Patienten mit einer gluteninduzierten Enteropathie das Krankheitsgeschehen positiv beeinflussen . Das ist das Ergebnis eines Laborversuchs , den spanische Wissenschaftler aktuell dur","type":"article-journal","volume":"150"},"uris":["http://www.mendeley.com/documents/?uuid=e232747c-7966-4b44-952e-1d3a32bf2a09"]}],"mendeley":{"formattedCitation":"&lt;sup&gt;51&lt;/sup&gt;","plainTextFormattedCitation":"51","previouslyFormattedCitation":"&lt;sup&gt;51&lt;/sup&gt;"},"properties":{"noteIndex":0},"schema":"https://github.com/citation-style-language/schema/raw/master/csl-citation.json"}</w:instrText>
            </w:r>
            <w:r>
              <w:rPr>
                <w:rFonts w:ascii="Arial" w:hAnsi="Arial" w:cs="Arial"/>
                <w:sz w:val="20"/>
                <w:szCs w:val="20"/>
                <w:shd w:val="clear" w:color="auto" w:fill="FFFFFF"/>
              </w:rPr>
              <w:fldChar w:fldCharType="separate"/>
            </w:r>
            <w:r w:rsidR="006F46C4">
              <w:rPr>
                <w:rFonts w:ascii="Arial" w:hAnsi="Arial" w:cs="Arial"/>
                <w:i w:val="0"/>
                <w:noProof/>
                <w:sz w:val="20"/>
                <w:szCs w:val="20"/>
                <w:shd w:val="clear" w:color="auto" w:fill="FFFFFF"/>
                <w:vertAlign w:val="superscript"/>
              </w:rPr>
              <w:t>18</w:t>
            </w:r>
            <w:r>
              <w:rPr>
                <w:rFonts w:ascii="Arial" w:hAnsi="Arial" w:cs="Arial"/>
                <w:sz w:val="20"/>
                <w:szCs w:val="20"/>
                <w:shd w:val="clear" w:color="auto" w:fill="FFFFFF"/>
              </w:rPr>
              <w:fldChar w:fldCharType="end"/>
            </w:r>
          </w:p>
        </w:tc>
        <w:tc>
          <w:tcPr>
            <w:tcW w:w="6765" w:type="dxa"/>
          </w:tcPr>
          <w:p w14:paraId="094A5532" w14:textId="0BD27875" w:rsidR="005928D4" w:rsidRPr="004F1045" w:rsidRDefault="005928D4" w:rsidP="005A6D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Not a randomised controlled trial</w:t>
            </w:r>
          </w:p>
        </w:tc>
      </w:tr>
      <w:tr w:rsidR="005A6DE6" w:rsidRPr="004F1045" w14:paraId="02CCC5CE" w14:textId="77777777" w:rsidTr="004E1C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15A56D37" w14:textId="7EDC9BE4" w:rsidR="005A6DE6" w:rsidRPr="004F1045" w:rsidRDefault="005A6DE6" w:rsidP="005A6DE6">
            <w:pPr>
              <w:jc w:val="left"/>
              <w:rPr>
                <w:rFonts w:ascii="Arial" w:hAnsi="Arial" w:cs="Arial"/>
                <w:sz w:val="20"/>
                <w:szCs w:val="20"/>
                <w:shd w:val="clear" w:color="auto" w:fill="FFFFFF"/>
              </w:rPr>
            </w:pPr>
            <w:proofErr w:type="spellStart"/>
            <w:r w:rsidRPr="004F1045">
              <w:rPr>
                <w:rFonts w:ascii="Arial" w:hAnsi="Arial" w:cs="Arial"/>
                <w:sz w:val="20"/>
                <w:szCs w:val="20"/>
                <w:shd w:val="clear" w:color="auto" w:fill="FFFFFF"/>
              </w:rPr>
              <w:t>Respondek</w:t>
            </w:r>
            <w:proofErr w:type="spellEnd"/>
            <w:r w:rsidRPr="004F1045">
              <w:rPr>
                <w:rFonts w:ascii="Arial" w:hAnsi="Arial" w:cs="Arial"/>
                <w:sz w:val="20"/>
                <w:szCs w:val="20"/>
                <w:shd w:val="clear" w:color="auto" w:fill="FFFFFF"/>
              </w:rPr>
              <w:t xml:space="preserve"> 2013</w:t>
            </w:r>
            <w:r w:rsidR="006F46C4" w:rsidRPr="006F46C4">
              <w:rPr>
                <w:rFonts w:ascii="Arial" w:hAnsi="Arial" w:cs="Arial"/>
                <w:sz w:val="20"/>
                <w:szCs w:val="20"/>
                <w:shd w:val="clear" w:color="auto" w:fill="FFFFFF"/>
                <w:vertAlign w:val="superscript"/>
              </w:rPr>
              <w:t>19</w:t>
            </w:r>
          </w:p>
        </w:tc>
        <w:tc>
          <w:tcPr>
            <w:tcW w:w="6765" w:type="dxa"/>
          </w:tcPr>
          <w:p w14:paraId="065B976C" w14:textId="2EF6B920" w:rsidR="005A6DE6" w:rsidRPr="004F1045" w:rsidRDefault="005A6DE6" w:rsidP="005A6DE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F1045">
              <w:rPr>
                <w:rFonts w:ascii="Arial" w:hAnsi="Arial" w:cs="Arial"/>
                <w:sz w:val="20"/>
                <w:szCs w:val="20"/>
              </w:rPr>
              <w:t xml:space="preserve">Study population does not include </w:t>
            </w:r>
            <w:r w:rsidR="0019718B">
              <w:rPr>
                <w:rFonts w:ascii="Arial" w:hAnsi="Arial" w:cs="Arial"/>
                <w:sz w:val="20"/>
                <w:szCs w:val="20"/>
              </w:rPr>
              <w:t>CD</w:t>
            </w:r>
            <w:r w:rsidRPr="004F1045">
              <w:rPr>
                <w:rFonts w:ascii="Arial" w:hAnsi="Arial" w:cs="Arial"/>
                <w:sz w:val="20"/>
                <w:szCs w:val="20"/>
              </w:rPr>
              <w:t xml:space="preserve"> patients</w:t>
            </w:r>
          </w:p>
        </w:tc>
      </w:tr>
      <w:tr w:rsidR="005A6DE6" w:rsidRPr="004F1045" w14:paraId="21970D0D" w14:textId="77777777" w:rsidTr="004E1C9A">
        <w:tc>
          <w:tcPr>
            <w:cnfStyle w:val="001000000000" w:firstRow="0" w:lastRow="0" w:firstColumn="1" w:lastColumn="0" w:oddVBand="0" w:evenVBand="0" w:oddHBand="0" w:evenHBand="0" w:firstRowFirstColumn="0" w:firstRowLastColumn="0" w:lastRowFirstColumn="0" w:lastRowLastColumn="0"/>
            <w:tcW w:w="2235" w:type="dxa"/>
          </w:tcPr>
          <w:p w14:paraId="04CD32D3" w14:textId="6C2D5B59" w:rsidR="005A6DE6" w:rsidRPr="004F1045" w:rsidRDefault="005A6DE6" w:rsidP="005A6DE6">
            <w:pPr>
              <w:jc w:val="left"/>
              <w:rPr>
                <w:rFonts w:ascii="Arial" w:hAnsi="Arial" w:cs="Arial"/>
                <w:sz w:val="20"/>
                <w:szCs w:val="20"/>
                <w:shd w:val="clear" w:color="auto" w:fill="FFFFFF"/>
              </w:rPr>
            </w:pPr>
            <w:proofErr w:type="spellStart"/>
            <w:r w:rsidRPr="004F1045">
              <w:rPr>
                <w:rFonts w:ascii="Arial" w:hAnsi="Arial" w:cs="Arial"/>
                <w:sz w:val="20"/>
                <w:szCs w:val="20"/>
                <w:shd w:val="clear" w:color="auto" w:fill="FFFFFF"/>
              </w:rPr>
              <w:t>Savilahti</w:t>
            </w:r>
            <w:proofErr w:type="spellEnd"/>
            <w:r w:rsidRPr="004F1045">
              <w:rPr>
                <w:rFonts w:ascii="Arial" w:hAnsi="Arial" w:cs="Arial"/>
                <w:sz w:val="20"/>
                <w:szCs w:val="20"/>
                <w:shd w:val="clear" w:color="auto" w:fill="FFFFFF"/>
              </w:rPr>
              <w:t xml:space="preserve"> 2018</w:t>
            </w:r>
            <w:r w:rsidR="005928D4">
              <w:rPr>
                <w:rFonts w:ascii="Arial" w:hAnsi="Arial" w:cs="Arial"/>
                <w:sz w:val="20"/>
                <w:szCs w:val="20"/>
                <w:shd w:val="clear" w:color="auto" w:fill="FFFFFF"/>
              </w:rPr>
              <w:fldChar w:fldCharType="begin" w:fldLock="1"/>
            </w:r>
            <w:r w:rsidR="00E20811">
              <w:rPr>
                <w:rFonts w:ascii="Arial" w:hAnsi="Arial" w:cs="Arial"/>
                <w:sz w:val="20"/>
                <w:szCs w:val="20"/>
                <w:shd w:val="clear" w:color="auto" w:fill="FFFFFF"/>
              </w:rPr>
              <w:instrText>ADDIN CSL_CITATION {"citationItems":[{"id":"ITEM-1","itemData":{"DOI":"10.1097/MPG.0000000000001846","ISBN":"0000000000","ISSN":"1536-4801","PMID":"29210921","abstract":"Probiotics are theoretically promising in primary prevention of celiac disease (CD), but research evidence on the topic is scarce. We used the data and material of a clinical double-blind randomized placebo-controlled trial on primary allergy prevention (n = 1223) to investigate in an exploratory study whether administration of a mix of pro- and prebiotics during late pregnancy and first 6 months of life was associated with prevalence of CD during 13-year follow-up. Children who fulfilled diagnostic criteria for CD (n = 11) and subjects with a serum sample available for analyzing CD antibodies (n = 867) were included. CD or elevated tissue transglutaminase IgA antibodies were not associated with probiotics or placebo. Nor were there any associations with the mode of delivery, the duration of exclusive or total breast-feeding, or respiratory infections during the first 2 years of life. Allergic diseases or sensitization by the age of 2 or 5 years were not clearly associated with the development of CD.","author":[{"dropping-particle":"","family":"Savilahti","given":"Emma Merike","non-dropping-particle":"","parse-names":false,"suffix":""},{"dropping-particle":"","family":"Ilonen","given":"Jorma","non-dropping-particle":"","parse-names":false,"suffix":""},{"dropping-particle":"","family":"Kukkonen","given":"Anna Kaarina","non-dropping-particle":"","parse-names":false,"suffix":""},{"dropping-particle":"","family":"Savilahti","given":"Erkki","non-dropping-particle":"","parse-names":false,"suffix":""},{"dropping-particle":"","family":"Kuitunen","given":"Mikael","non-dropping-particle":"","parse-names":false,"suffix":""}],"container-title":"Journal of pediatric gastroenterology and nutrition","id":"ITEM-1","issue":"6","issued":{"date-parts":[["2018"]]},"page":"937-940","title":"Celiac Disease by the Age of 13 Years Is Not Associated With Probiotics Administration in Infancy.","type":"article-journal","volume":"66"},"uris":["http://www.mendeley.com/documents/?uuid=c642c283-60fc-40be-828d-447c4d12a09f"]}],"mendeley":{"formattedCitation":"&lt;sup&gt;53&lt;/sup&gt;","plainTextFormattedCitation":"53","previouslyFormattedCitation":"&lt;sup&gt;53&lt;/sup&gt;"},"properties":{"noteIndex":0},"schema":"https://github.com/citation-style-language/schema/raw/master/csl-citation.json"}</w:instrText>
            </w:r>
            <w:r w:rsidR="005928D4">
              <w:rPr>
                <w:rFonts w:ascii="Arial" w:hAnsi="Arial" w:cs="Arial"/>
                <w:sz w:val="20"/>
                <w:szCs w:val="20"/>
                <w:shd w:val="clear" w:color="auto" w:fill="FFFFFF"/>
              </w:rPr>
              <w:fldChar w:fldCharType="separate"/>
            </w:r>
            <w:r w:rsidR="006F46C4">
              <w:rPr>
                <w:rFonts w:ascii="Arial" w:hAnsi="Arial" w:cs="Arial"/>
                <w:i w:val="0"/>
                <w:noProof/>
                <w:sz w:val="20"/>
                <w:szCs w:val="20"/>
                <w:shd w:val="clear" w:color="auto" w:fill="FFFFFF"/>
                <w:vertAlign w:val="superscript"/>
              </w:rPr>
              <w:t>20</w:t>
            </w:r>
            <w:r w:rsidR="005928D4">
              <w:rPr>
                <w:rFonts w:ascii="Arial" w:hAnsi="Arial" w:cs="Arial"/>
                <w:sz w:val="20"/>
                <w:szCs w:val="20"/>
                <w:shd w:val="clear" w:color="auto" w:fill="FFFFFF"/>
              </w:rPr>
              <w:fldChar w:fldCharType="end"/>
            </w:r>
          </w:p>
        </w:tc>
        <w:tc>
          <w:tcPr>
            <w:tcW w:w="6765" w:type="dxa"/>
          </w:tcPr>
          <w:p w14:paraId="4F238AF7" w14:textId="1BD91E56" w:rsidR="005A6DE6" w:rsidRPr="004F1045" w:rsidRDefault="005A6DE6" w:rsidP="005A6D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F1045">
              <w:rPr>
                <w:rFonts w:ascii="Arial" w:hAnsi="Arial" w:cs="Arial"/>
                <w:sz w:val="20"/>
                <w:szCs w:val="20"/>
              </w:rPr>
              <w:t xml:space="preserve">Study population does not include </w:t>
            </w:r>
            <w:r w:rsidR="0019718B">
              <w:rPr>
                <w:rFonts w:ascii="Arial" w:hAnsi="Arial" w:cs="Arial"/>
                <w:sz w:val="20"/>
                <w:szCs w:val="20"/>
              </w:rPr>
              <w:t>CD</w:t>
            </w:r>
            <w:r w:rsidRPr="004F1045">
              <w:rPr>
                <w:rFonts w:ascii="Arial" w:hAnsi="Arial" w:cs="Arial"/>
                <w:sz w:val="20"/>
                <w:szCs w:val="20"/>
              </w:rPr>
              <w:t xml:space="preserve"> patients</w:t>
            </w:r>
          </w:p>
        </w:tc>
      </w:tr>
      <w:tr w:rsidR="005A6DE6" w:rsidRPr="004F1045" w14:paraId="4B04BC37" w14:textId="77777777" w:rsidTr="004E1C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3ADC626C" w14:textId="5E492E08" w:rsidR="005A6DE6" w:rsidRPr="004F1045" w:rsidRDefault="005A6DE6" w:rsidP="005A6DE6">
            <w:pPr>
              <w:jc w:val="left"/>
              <w:rPr>
                <w:rFonts w:ascii="Arial" w:hAnsi="Arial" w:cs="Arial"/>
                <w:sz w:val="20"/>
                <w:szCs w:val="20"/>
                <w:shd w:val="clear" w:color="auto" w:fill="FFFFFF"/>
              </w:rPr>
            </w:pPr>
            <w:r w:rsidRPr="004F1045">
              <w:rPr>
                <w:rFonts w:ascii="Arial" w:hAnsi="Arial" w:cs="Arial"/>
                <w:sz w:val="20"/>
                <w:szCs w:val="20"/>
                <w:shd w:val="clear" w:color="auto" w:fill="FFFFFF"/>
              </w:rPr>
              <w:t>Serena 201</w:t>
            </w:r>
            <w:r w:rsidR="00E47FFD">
              <w:rPr>
                <w:rFonts w:ascii="Arial" w:hAnsi="Arial" w:cs="Arial"/>
                <w:sz w:val="20"/>
                <w:szCs w:val="20"/>
                <w:shd w:val="clear" w:color="auto" w:fill="FFFFFF"/>
              </w:rPr>
              <w:t>9</w:t>
            </w:r>
            <w:r w:rsidR="00E47FFD">
              <w:rPr>
                <w:rFonts w:ascii="Arial" w:hAnsi="Arial" w:cs="Arial"/>
                <w:sz w:val="20"/>
                <w:szCs w:val="20"/>
                <w:shd w:val="clear" w:color="auto" w:fill="FFFFFF"/>
              </w:rPr>
              <w:fldChar w:fldCharType="begin" w:fldLock="1"/>
            </w:r>
            <w:r w:rsidR="00E20811">
              <w:rPr>
                <w:rFonts w:ascii="Arial" w:hAnsi="Arial" w:cs="Arial"/>
                <w:sz w:val="20"/>
                <w:szCs w:val="20"/>
                <w:shd w:val="clear" w:color="auto" w:fill="FFFFFF"/>
              </w:rPr>
              <w:instrText>ADDIN CSL_CITATION {"citationItems":[{"id":"ITEM-1","itemData":{"DOI":"10.1007/5584_2018_317","ISSN":"0065-2598","PMID":"30565165","abstract":"The incidence of chronic inflammatory diseases (CIDs) is increasing worldwide. Their dramatic rise associated with limited effective strategies to slow down these epidemics calls for a better understanding of their pathophysiology in order to decrease the burdens on childhood. Several cross-sectional studies have demonstrated the association between intestinal dysbiosis and active diseases. Although informative, these studies do not mechanistically link alterations of the microflora with disease pathogenesis and, therefore, with potential therapeutic targets. More prospective studies are needed to determine whether intestinal dysbiosis plays a causative role in the onset and development of CIDs. Furthermore, given the complexity of the microflora interaction with the host, it is necessary to design a systems-level model of interactions between the host and the development of disease by integrating microbiome, metagenomics, metatranscriptomics, and metabolomics with either clinical either environmental data.In this chapter we will discuss the current knowledge regarding the microbiome's contribution to celiac disease and inflammatory bowel disease with a particular focus on how probiotics may be used as potential preventive therapy for CIDs.","author":[{"dropping-particle":"","family":"Serena","given":"Gloria","non-dropping-particle":"","parse-names":false,"suffix":""},{"dropping-particle":"","family":"Fasano","given":"Alessio","non-dropping-particle":"","parse-names":false,"suffix":""}],"container-title":"Advances in experimental medicine and biology","id":"ITEM-1","issued":{"date-parts":[["2019"]]},"page":"69-81","title":"Use of Probiotics to Prevent Celiac Disease and IBD in Pediatrics.","type":"article-journal","volume":"1125"},"uris":["http://www.mendeley.com/documents/?uuid=abb84a46-2136-4837-bfc1-b7a643995842"]}],"mendeley":{"formattedCitation":"&lt;sup&gt;54&lt;/sup&gt;","plainTextFormattedCitation":"54","previouslyFormattedCitation":"&lt;sup&gt;54&lt;/sup&gt;"},"properties":{"noteIndex":0},"schema":"https://github.com/citation-style-language/schema/raw/master/csl-citation.json"}</w:instrText>
            </w:r>
            <w:r w:rsidR="00E47FFD">
              <w:rPr>
                <w:rFonts w:ascii="Arial" w:hAnsi="Arial" w:cs="Arial"/>
                <w:sz w:val="20"/>
                <w:szCs w:val="20"/>
                <w:shd w:val="clear" w:color="auto" w:fill="FFFFFF"/>
              </w:rPr>
              <w:fldChar w:fldCharType="separate"/>
            </w:r>
            <w:r w:rsidR="006F46C4">
              <w:rPr>
                <w:rFonts w:ascii="Arial" w:hAnsi="Arial" w:cs="Arial"/>
                <w:i w:val="0"/>
                <w:noProof/>
                <w:sz w:val="20"/>
                <w:szCs w:val="20"/>
                <w:shd w:val="clear" w:color="auto" w:fill="FFFFFF"/>
                <w:vertAlign w:val="superscript"/>
              </w:rPr>
              <w:t>21</w:t>
            </w:r>
            <w:r w:rsidR="00E47FFD">
              <w:rPr>
                <w:rFonts w:ascii="Arial" w:hAnsi="Arial" w:cs="Arial"/>
                <w:sz w:val="20"/>
                <w:szCs w:val="20"/>
                <w:shd w:val="clear" w:color="auto" w:fill="FFFFFF"/>
              </w:rPr>
              <w:fldChar w:fldCharType="end"/>
            </w:r>
          </w:p>
        </w:tc>
        <w:tc>
          <w:tcPr>
            <w:tcW w:w="6765" w:type="dxa"/>
          </w:tcPr>
          <w:p w14:paraId="33B893A4" w14:textId="77777777" w:rsidR="005A6DE6" w:rsidRPr="004F1045" w:rsidRDefault="005A6DE6" w:rsidP="005A6DE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F1045">
              <w:rPr>
                <w:rFonts w:ascii="Arial" w:hAnsi="Arial" w:cs="Arial"/>
                <w:sz w:val="20"/>
                <w:szCs w:val="20"/>
              </w:rPr>
              <w:t>Review article. Not a study</w:t>
            </w:r>
          </w:p>
        </w:tc>
      </w:tr>
      <w:tr w:rsidR="00D4206C" w:rsidRPr="004F1045" w14:paraId="34E48634" w14:textId="77777777" w:rsidTr="004E1C9A">
        <w:tc>
          <w:tcPr>
            <w:cnfStyle w:val="001000000000" w:firstRow="0" w:lastRow="0" w:firstColumn="1" w:lastColumn="0" w:oddVBand="0" w:evenVBand="0" w:oddHBand="0" w:evenHBand="0" w:firstRowFirstColumn="0" w:firstRowLastColumn="0" w:lastRowFirstColumn="0" w:lastRowLastColumn="0"/>
            <w:tcW w:w="2235" w:type="dxa"/>
          </w:tcPr>
          <w:p w14:paraId="78B78474" w14:textId="5E28BEF4" w:rsidR="00D4206C" w:rsidRPr="004F1045" w:rsidRDefault="00D4206C" w:rsidP="00253BAF">
            <w:pPr>
              <w:jc w:val="left"/>
              <w:rPr>
                <w:rFonts w:ascii="Arial" w:hAnsi="Arial" w:cs="Arial"/>
                <w:sz w:val="20"/>
                <w:szCs w:val="20"/>
                <w:shd w:val="clear" w:color="auto" w:fill="FFFFFF"/>
              </w:rPr>
            </w:pPr>
            <w:proofErr w:type="spellStart"/>
            <w:r>
              <w:rPr>
                <w:rFonts w:ascii="Arial" w:hAnsi="Arial" w:cs="Arial"/>
                <w:sz w:val="20"/>
                <w:szCs w:val="20"/>
                <w:shd w:val="clear" w:color="auto" w:fill="FFFFFF"/>
              </w:rPr>
              <w:t>Smecuol</w:t>
            </w:r>
            <w:proofErr w:type="spellEnd"/>
            <w:r>
              <w:rPr>
                <w:rFonts w:ascii="Arial" w:hAnsi="Arial" w:cs="Arial"/>
                <w:sz w:val="20"/>
                <w:szCs w:val="20"/>
                <w:shd w:val="clear" w:color="auto" w:fill="FFFFFF"/>
              </w:rPr>
              <w:t xml:space="preserve"> 2012</w:t>
            </w:r>
            <w:r w:rsidR="0088761D">
              <w:rPr>
                <w:rFonts w:ascii="Arial" w:hAnsi="Arial" w:cs="Arial"/>
                <w:sz w:val="20"/>
                <w:szCs w:val="20"/>
                <w:shd w:val="clear" w:color="auto" w:fill="FFFFFF"/>
              </w:rPr>
              <w:fldChar w:fldCharType="begin" w:fldLock="1"/>
            </w:r>
            <w:r w:rsidR="00E20811">
              <w:rPr>
                <w:rFonts w:ascii="Arial" w:hAnsi="Arial" w:cs="Arial"/>
                <w:sz w:val="20"/>
                <w:szCs w:val="20"/>
                <w:shd w:val="clear" w:color="auto" w:fill="FFFFFF"/>
              </w:rPr>
              <w:instrText>ADDIN CSL_CITATION {"citationItems":[{"id":"ITEM-1","itemData":{"DOI":"10.1016/s0016-5085(12)60301-1","ISSN":"00165085","abstract":"Background: The probiotic bacteria Bifidobacterium, which has been shown to be deficient in the intestinal microbiome of CD patients, has demonstrated exert anti-inflammatory and immune-modulating properties in models of CD. Objective: We aim to explore the effect of Bifidobacterium infantis orally administered for 3 weeks on clinical features, intestinal permeability, serology and immunologic parameters in patients that have serological evidences of untreated CD. Patients: Fifty-four adult patients which were suspected to have CD were screened using serologic tools (two concomitantly positives CD tests). Twenty-two patients (18 female) fulfilled inclusion criteria and were enrolled. Biopsy at the end of the trial confirmed CD. Methods: This is a randomized, double blind, placebo controlled trial administrating two capsules of B. infantis NLS super strain (Natren Lifestart 2) (2 x 109 colony-forming units per capsule) or placebo T.I.D. 15 minutes before meals. The study period lapsed between the serologic diagnosis and the duodenal biopsy while patients consumed a gluten containing diet (at least 12 gr of gluten/day) weekly assessed by expert dietitians. Clinical symptoms (GSRS questionnaire), lactulose/mannitol permeability, IgA tissue transglutaminase and DGP antibody serum concentrations and blood sampling for serum concentration and peripheral blood mononuclear cell (PBMC) release of cytokines were assessed at the beginning and at the end of the trial. Results: Twelve and ten patients were randomized to B. infantis or placebo, respectively. In contrast to patients in the placebo arm, patients randomized to B. infantis experienced a greater improvement of scores of GSRS (p=0.0035 for indigestion, p=0.0483 for constipation and p=0.0586 for reflux syndromes). Compared with placebo, final/baseline IgA tTG and IgA DGP antibody concentration ratios had a decrease in the B. infantis arm (p=0.055 for IgA tTG and p=0.181 for IgA DGP). No significant differences were found in intestinal permeability. Compared with patients receiving the probiotic, the final/baseline IL-12p70 ratio in PBMC culture was increased in the placebo arm (p&lt;0.02). Final serum MIP-1beta increased significantly (p&lt;0.04) in patients with probiotic but not in those with placebo. Overall, B. infantis did not cause any adverse reactions in participant patients. Conclusion: The present study is the first to explore the effect of B. infantis in untreated CD. Our results suggest a positive eff…","author":[{"dropping-particle":"","family":"Smecuol","given":"Edgardo","non-dropping-particle":"","parse-names":false,"suffix":""},{"dropping-particle":"","family":"Hwang","given":"Hui Jer","non-dropping-particle":"","parse-names":false,"suffix":""},{"dropping-particle":"","family":"Chernavsky","given":"Alejandra C.","non-dropping-particle":"","parse-names":false,"suffix":""},{"dropping-particle":"","family":"Vazquez","given":"Horacio","non-dropping-particle":"","parse-names":false,"suffix":""},{"dropping-particle":"","family":"Corzo","given":"Laura A.","non-dropping-particle":"","parse-names":false,"suffix":""},{"dropping-particle":"","family":"Sugai","given":"Emilia","non-dropping-particle":"","parse-names":false,"suffix":""},{"dropping-particle":"","family":"Bellavite","given":"Franco P.","non-dropping-particle":"","parse-names":false,"suffix":""},{"dropping-particle":"","family":"Moreno","given":"Maria Laura","non-dropping-particle":"","parse-names":false,"suffix":""},{"dropping-particle":"","family":"Mazure","given":"Roberto M.","non-dropping-particle":"","parse-names":false,"suffix":""},{"dropping-particle":"","family":"Vodanovich","given":"Florencia","non-dropping-particle":"","parse-names":false,"suffix":""},{"dropping-particle":"","family":"Niveloni","given":"Sonia I.","non-dropping-particle":"","parse-names":false,"suffix":""},{"dropping-particle":"","family":"Lozano","given":"G.","non-dropping-particle":"","parse-names":false,"suffix":""},{"dropping-particle":"","family":"Meddings","given":"Jon","non-dropping-particle":"","parse-names":false,"suffix":""},{"dropping-particle":"","family":"Gonzalez","given":"Andrea F.","non-dropping-particle":"","parse-names":false,"suffix":""},{"dropping-particle":"","family":"Maurino","given":"Eduardo","non-dropping-particle":"","parse-names":false,"suffix":""},{"dropping-particle":"","family":"Bai","given":"Julio C.","non-dropping-particle":"","parse-names":false,"suffix":""}],"container-title":"Gastroenterology","id":"ITEM-1","issue":"5","issued":{"date-parts":[["2012"]]},"page":"S-79","title":"340 Exploratory, Randomized, Double-Blind, Placebo-Controlled Trial on the Effects of Bifidobacterium Infantis in Untreated Celiac Disease","type":"article-journal","volume":"142"},"uris":["http://www.mendeley.com/documents/?uuid=f13af6c4-147b-45c9-af9e-7cce468c3205"]}],"mendeley":{"formattedCitation":"&lt;sup&gt;55&lt;/sup&gt;","plainTextFormattedCitation":"55","previouslyFormattedCitation":"&lt;sup&gt;55&lt;/sup&gt;"},"properties":{"noteIndex":0},"schema":"https://github.com/citation-style-language/schema/raw/master/csl-citation.json"}</w:instrText>
            </w:r>
            <w:r w:rsidR="0088761D">
              <w:rPr>
                <w:rFonts w:ascii="Arial" w:hAnsi="Arial" w:cs="Arial"/>
                <w:sz w:val="20"/>
                <w:szCs w:val="20"/>
                <w:shd w:val="clear" w:color="auto" w:fill="FFFFFF"/>
              </w:rPr>
              <w:fldChar w:fldCharType="separate"/>
            </w:r>
            <w:r w:rsidR="006F46C4">
              <w:rPr>
                <w:rFonts w:ascii="Arial" w:hAnsi="Arial" w:cs="Arial"/>
                <w:i w:val="0"/>
                <w:noProof/>
                <w:sz w:val="20"/>
                <w:szCs w:val="20"/>
                <w:shd w:val="clear" w:color="auto" w:fill="FFFFFF"/>
                <w:vertAlign w:val="superscript"/>
              </w:rPr>
              <w:t>22</w:t>
            </w:r>
            <w:r w:rsidR="0088761D">
              <w:rPr>
                <w:rFonts w:ascii="Arial" w:hAnsi="Arial" w:cs="Arial"/>
                <w:sz w:val="20"/>
                <w:szCs w:val="20"/>
                <w:shd w:val="clear" w:color="auto" w:fill="FFFFFF"/>
              </w:rPr>
              <w:fldChar w:fldCharType="end"/>
            </w:r>
          </w:p>
        </w:tc>
        <w:tc>
          <w:tcPr>
            <w:tcW w:w="6765" w:type="dxa"/>
          </w:tcPr>
          <w:p w14:paraId="33614017" w14:textId="44453DFF" w:rsidR="00D4206C" w:rsidRPr="004F1045" w:rsidRDefault="00D4206C" w:rsidP="005A6D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Duplicate of </w:t>
            </w:r>
            <w:proofErr w:type="spellStart"/>
            <w:r>
              <w:rPr>
                <w:rFonts w:ascii="Arial" w:hAnsi="Arial" w:cs="Arial"/>
                <w:sz w:val="20"/>
                <w:szCs w:val="20"/>
              </w:rPr>
              <w:t>Smecuol</w:t>
            </w:r>
            <w:proofErr w:type="spellEnd"/>
            <w:r>
              <w:rPr>
                <w:rFonts w:ascii="Arial" w:hAnsi="Arial" w:cs="Arial"/>
                <w:sz w:val="20"/>
                <w:szCs w:val="20"/>
              </w:rPr>
              <w:t xml:space="preserve"> 2013</w:t>
            </w:r>
            <w:r>
              <w:rPr>
                <w:rFonts w:ascii="Arial" w:hAnsi="Arial" w:cs="Arial"/>
                <w:sz w:val="20"/>
                <w:szCs w:val="20"/>
              </w:rPr>
              <w:fldChar w:fldCharType="begin" w:fldLock="1"/>
            </w:r>
            <w:r w:rsidR="00E20811">
              <w:rPr>
                <w:rFonts w:ascii="Arial" w:hAnsi="Arial" w:cs="Arial"/>
                <w:sz w:val="20"/>
                <w:szCs w:val="20"/>
              </w:rPr>
              <w:instrText>ADDIN CSL_CITATION {"citationItems":[{"id":"ITEM-1","itemData":{"DOI":"10.1097/MCG.0b013e31827759ac","ISSN":"1539-2031","PMID":"23314670","abstract":"BACKGROUND/AIMS The aim of this exploratory trial was to establish if the probiotic Bifidobacterium natren life start (NLS) strain strain may affect the clinical course and pathophysiological features of patients with untreated celiac disease (CD). Positive findings would be helpful in directing future studies. METHODS Twenty-two adult patients having 2 positives CD-specific tests were enrolled. Patients were randomized to receive 2 capsules before meals for 3 weeks of either Bifidobacterium infantis natren life start strain super strain (Lifestart 2) (2×10(9) colony-forming units per capsule) (n = 12) or placebo (n = 10), whereas they also consumed at least 12 g of gluten/day. A biopsy at the end of the trial confirmed CD in all cases. The primary outcome was intestinal permeability changes. Secondary endpoints were changes in symptoms and the Gastrointestinal Symptom Rating Scale, and in immunologic indicators of inflammation. RESULTS The abnormal baseline intestinal permeability was not significantly affected by either treatment. In contrast to patients on placebo, those randomized to B. infantis experienced a significant improvement in Gastrointestinal Symptom Rating Scale (P = 0.0035 for indigestion; P = 0.0483 for constipation; P = 0.0586 for reflux). Final/baseline IgA tTG and IgA DGP antibody concentration ratios were lower in the B. infantis arm (P = 0.055 for IgA tTG and P = 0.181 for IgA DGP). Final serum macrophage inflammatory protein-1β increased significantly (P &lt; 0.04) only in patients receiving B. infantis. The administration of B. infantis was safe. CONCLUSIONS The study suggests that B. infantis may alleviate symptoms in untreated CD. The probiotic produced some immunologic changes but did not modify abnormal intestinal permeability. Further studies are necessary to confirm and/or expand these observations.","author":[{"dropping-particle":"","family":"Smecuol","given":"Edgardo","non-dropping-particle":"","parse-names":false,"suffix":""},{"dropping-particle":"","family":"Hwang","given":"Hui J","non-dropping-particle":"","parse-names":false,"suffix":""},{"dropping-particle":"","family":"Sugai","given":"Emilia","non-dropping-particle":"","parse-names":false,"suffix":""},{"dropping-particle":"","family":"Corso","given":"Laura","non-dropping-particle":"","parse-names":false,"suffix":""},{"dropping-particle":"","family":"Cherñavsky","given":"Alejandra C","non-dropping-particle":"","parse-names":false,"suffix":""},{"dropping-particle":"","family":"Bellavite","given":"Franco P","non-dropping-particle":"","parse-names":false,"suffix":""},{"dropping-particle":"","family":"González","given":"Andrea","non-dropping-particle":"","parse-names":false,"suffix":""},{"dropping-particle":"","family":"Vodánovich","given":"Florencia","non-dropping-particle":"","parse-names":false,"suffix":""},{"dropping-particle":"","family":"Moreno","given":"María L","non-dropping-particle":"","parse-names":false,"suffix":""},{"dropping-particle":"","family":"Vázquez","given":"Horacio","non-dropping-particle":"","parse-names":false,"suffix":""},{"dropping-particle":"","family":"Lozano","given":"Graciela","non-dropping-particle":"","parse-names":false,"suffix":""},{"dropping-particle":"","family":"Niveloni","given":"Sonia","non-dropping-particle":"","parse-names":false,"suffix":""},{"dropping-particle":"","family":"Mazure","given":"Roberto","non-dropping-particle":"","parse-names":false,"suffix":""},{"dropping-particle":"","family":"Meddings","given":"Jon","non-dropping-particle":"","parse-names":false,"suffix":""},{"dropping-particle":"","family":"Mauriño","given":"Eduardo","non-dropping-particle":"","parse-names":false,"suffix":""},{"dropping-particle":"","family":"Bai","given":"Julio C","non-dropping-particle":"","parse-names":false,"suffix":""}],"container-title":"Journal of clinical gastroenterology","id":"ITEM-1","issue":"2","issued":{"date-parts":[["2013","2"]]},"page":"139-47","title":"Exploratory, randomized, double-blind, placebo-controlled study on the effects of Bifidobacterium infantis natren life start strain super strain in active celiac disease.","type":"article-journal","volume":"47"},"uris":["http://www.mendeley.com/documents/?uuid=1d0db64b-c43d-4a7d-958e-ef3c059635c9"]}],"mendeley":{"formattedCitation":"&lt;sup&gt;17&lt;/sup&gt;","plainTextFormattedCitation":"17","previouslyFormattedCitation":"&lt;sup&gt;17&lt;/sup&gt;"},"properties":{"noteIndex":0},"schema":"https://github.com/citation-style-language/schema/raw/master/csl-citation.json"}</w:instrText>
            </w:r>
            <w:r>
              <w:rPr>
                <w:rFonts w:ascii="Arial" w:hAnsi="Arial" w:cs="Arial"/>
                <w:sz w:val="20"/>
                <w:szCs w:val="20"/>
              </w:rPr>
              <w:fldChar w:fldCharType="separate"/>
            </w:r>
            <w:r w:rsidR="007A7261" w:rsidRPr="007A7261">
              <w:rPr>
                <w:rFonts w:ascii="Arial" w:hAnsi="Arial" w:cs="Arial"/>
                <w:noProof/>
                <w:sz w:val="20"/>
                <w:szCs w:val="20"/>
                <w:vertAlign w:val="superscript"/>
              </w:rPr>
              <w:t>17</w:t>
            </w:r>
            <w:r>
              <w:rPr>
                <w:rFonts w:ascii="Arial" w:hAnsi="Arial" w:cs="Arial"/>
                <w:sz w:val="20"/>
                <w:szCs w:val="20"/>
              </w:rPr>
              <w:fldChar w:fldCharType="end"/>
            </w:r>
          </w:p>
        </w:tc>
      </w:tr>
      <w:tr w:rsidR="00D4206C" w:rsidRPr="004F1045" w14:paraId="20DC5123" w14:textId="77777777" w:rsidTr="004E1C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5F20E114" w14:textId="602313C5" w:rsidR="00D4206C" w:rsidRDefault="00D4206C" w:rsidP="00253BAF">
            <w:pPr>
              <w:jc w:val="left"/>
              <w:rPr>
                <w:rFonts w:ascii="Arial" w:hAnsi="Arial" w:cs="Arial"/>
                <w:sz w:val="20"/>
                <w:szCs w:val="20"/>
                <w:shd w:val="clear" w:color="auto" w:fill="FFFFFF"/>
              </w:rPr>
            </w:pPr>
            <w:proofErr w:type="spellStart"/>
            <w:r>
              <w:rPr>
                <w:rFonts w:ascii="Arial" w:hAnsi="Arial" w:cs="Arial"/>
                <w:sz w:val="20"/>
                <w:szCs w:val="20"/>
                <w:shd w:val="clear" w:color="auto" w:fill="FFFFFF"/>
              </w:rPr>
              <w:t>Smecuol</w:t>
            </w:r>
            <w:proofErr w:type="spellEnd"/>
            <w:r>
              <w:rPr>
                <w:rFonts w:ascii="Arial" w:hAnsi="Arial" w:cs="Arial"/>
                <w:sz w:val="20"/>
                <w:szCs w:val="20"/>
                <w:shd w:val="clear" w:color="auto" w:fill="FFFFFF"/>
              </w:rPr>
              <w:t xml:space="preserve"> 2013 (</w:t>
            </w:r>
            <w:r w:rsidR="0088761D">
              <w:rPr>
                <w:rFonts w:ascii="Arial" w:hAnsi="Arial" w:cs="Arial"/>
                <w:sz w:val="20"/>
                <w:szCs w:val="20"/>
                <w:shd w:val="clear" w:color="auto" w:fill="FFFFFF"/>
              </w:rPr>
              <w:t>2</w:t>
            </w:r>
            <w:r>
              <w:rPr>
                <w:rFonts w:ascii="Arial" w:hAnsi="Arial" w:cs="Arial"/>
                <w:sz w:val="20"/>
                <w:szCs w:val="20"/>
                <w:shd w:val="clear" w:color="auto" w:fill="FFFFFF"/>
              </w:rPr>
              <w:t>)</w:t>
            </w:r>
            <w:r w:rsidR="0088761D">
              <w:rPr>
                <w:rFonts w:ascii="Arial" w:hAnsi="Arial" w:cs="Arial"/>
                <w:sz w:val="20"/>
                <w:szCs w:val="20"/>
                <w:shd w:val="clear" w:color="auto" w:fill="FFFFFF"/>
              </w:rPr>
              <w:fldChar w:fldCharType="begin" w:fldLock="1"/>
            </w:r>
            <w:r w:rsidR="00E20811">
              <w:rPr>
                <w:rFonts w:ascii="Arial" w:hAnsi="Arial" w:cs="Arial"/>
                <w:sz w:val="20"/>
                <w:szCs w:val="20"/>
                <w:shd w:val="clear" w:color="auto" w:fill="FFFFFF"/>
              </w:rPr>
              <w:instrText>ADDIN CSL_CITATION {"citationItems":[{"id":"ITEM-1","itemData":{"author":[{"dropping-particle":"","family":"Smecuol","given":"E","non-dropping-particle":"","parse-names":false,"suffix":""},{"dropping-particle":"","family":"Hwang","given":"HJ","non-dropping-particle":"","parse-names":false,"suffix":""},{"dropping-particle":"","family":"Vázquez","given":"H","non-dropping-particle":"","parse-names":false,"suffix":""},{"dropping-particle":"","family":"Bellavite","given":"F","non-dropping-particle":"","parse-names":false,"suffix":""},{"dropping-particle":"","family":"Sugai","given":"E","non-dropping-particle":"","parse-names":false,"suffix":""},{"dropping-particle":"","family":"Moreno","given":"ML","non-dropping-particle":"","parse-names":false,"suffix":""},{"dropping-particle":"","family":"Pinto-Sánchez","given":"MI","non-dropping-particle":"","parse-names":false,"suffix":""},{"dropping-particle":"","family":"Mazure","given":"RM","non-dropping-particle":"","parse-names":false,"suffix":""},{"dropping-particle":"","family":"Niveloni","given":"S","non-dropping-particle":"","parse-names":false,"suffix":""},{"dropping-particle":"","family":"Mauriño","given":"E","non-dropping-particle":"","parse-names":false,"suffix":""},{"dropping-particle":"","family":"Bai","given":"JC","non-dropping-particle":"","parse-names":false,"suffix":""},{"dropping-particle":"","family":"Verdú","given":"EF","non-dropping-particle":"","parse-names":false,"suffix":""}],"container-title":"Acta Gastroenterológica Latinoamericana","id":"ITEM-1","issue":"2","issued":{"date-parts":[["2013"]]},"page":"165","title":"Bifidobacterium infantis NLS super strain reduces expression of alpha-defensin-5, a marker of innate immunity, in the mucosa of untreated celiac patients","type":"article-journal","volume":"43"},"uris":["http://www.mendeley.com/documents/?uuid=2c62cc3f-cde4-4d23-8eb9-c1bf4788883c"]}],"mendeley":{"formattedCitation":"&lt;sup&gt;56&lt;/sup&gt;","plainTextFormattedCitation":"56","previouslyFormattedCitation":"&lt;sup&gt;56&lt;/sup&gt;"},"properties":{"noteIndex":0},"schema":"https://github.com/citation-style-language/schema/raw/master/csl-citation.json"}</w:instrText>
            </w:r>
            <w:r w:rsidR="0088761D">
              <w:rPr>
                <w:rFonts w:ascii="Arial" w:hAnsi="Arial" w:cs="Arial"/>
                <w:sz w:val="20"/>
                <w:szCs w:val="20"/>
                <w:shd w:val="clear" w:color="auto" w:fill="FFFFFF"/>
              </w:rPr>
              <w:fldChar w:fldCharType="separate"/>
            </w:r>
            <w:r w:rsidR="006F46C4">
              <w:rPr>
                <w:rFonts w:ascii="Arial" w:hAnsi="Arial" w:cs="Arial"/>
                <w:i w:val="0"/>
                <w:noProof/>
                <w:sz w:val="20"/>
                <w:szCs w:val="20"/>
                <w:shd w:val="clear" w:color="auto" w:fill="FFFFFF"/>
                <w:vertAlign w:val="superscript"/>
              </w:rPr>
              <w:t>23</w:t>
            </w:r>
            <w:r w:rsidR="0088761D">
              <w:rPr>
                <w:rFonts w:ascii="Arial" w:hAnsi="Arial" w:cs="Arial"/>
                <w:sz w:val="20"/>
                <w:szCs w:val="20"/>
                <w:shd w:val="clear" w:color="auto" w:fill="FFFFFF"/>
              </w:rPr>
              <w:fldChar w:fldCharType="end"/>
            </w:r>
          </w:p>
        </w:tc>
        <w:tc>
          <w:tcPr>
            <w:tcW w:w="6765" w:type="dxa"/>
          </w:tcPr>
          <w:p w14:paraId="0B679C1A" w14:textId="6B7C6222" w:rsidR="00D4206C" w:rsidRPr="004F1045" w:rsidRDefault="00D4206C" w:rsidP="005A6DE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Duplicate of </w:t>
            </w:r>
            <w:proofErr w:type="spellStart"/>
            <w:r>
              <w:rPr>
                <w:rFonts w:ascii="Arial" w:hAnsi="Arial" w:cs="Arial"/>
                <w:sz w:val="20"/>
                <w:szCs w:val="20"/>
              </w:rPr>
              <w:t>Smecuol</w:t>
            </w:r>
            <w:proofErr w:type="spellEnd"/>
            <w:r>
              <w:rPr>
                <w:rFonts w:ascii="Arial" w:hAnsi="Arial" w:cs="Arial"/>
                <w:sz w:val="20"/>
                <w:szCs w:val="20"/>
              </w:rPr>
              <w:t xml:space="preserve"> 2013</w:t>
            </w:r>
            <w:r w:rsidR="000D6DFE">
              <w:rPr>
                <w:rFonts w:ascii="Arial" w:hAnsi="Arial" w:cs="Arial"/>
                <w:sz w:val="20"/>
                <w:szCs w:val="20"/>
              </w:rPr>
              <w:fldChar w:fldCharType="begin" w:fldLock="1"/>
            </w:r>
            <w:r w:rsidR="00E20811">
              <w:rPr>
                <w:rFonts w:ascii="Arial" w:hAnsi="Arial" w:cs="Arial"/>
                <w:sz w:val="20"/>
                <w:szCs w:val="20"/>
              </w:rPr>
              <w:instrText>ADDIN CSL_CITATION {"citationItems":[{"id":"ITEM-1","itemData":{"DOI":"10.1097/MCG.0b013e31827759ac","ISSN":"1539-2031","PMID":"23314670","abstract":"BACKGROUND/AIMS The aim of this exploratory trial was to establish if the probiotic Bifidobacterium natren life start (NLS) strain strain may affect the clinical course and pathophysiological features of patients with untreated celiac disease (CD). Positive findings would be helpful in directing future studies. METHODS Twenty-two adult patients having 2 positives CD-specific tests were enrolled. Patients were randomized to receive 2 capsules before meals for 3 weeks of either Bifidobacterium infantis natren life start strain super strain (Lifestart 2) (2×10(9) colony-forming units per capsule) (n = 12) or placebo (n = 10), whereas they also consumed at least 12 g of gluten/day. A biopsy at the end of the trial confirmed CD in all cases. The primary outcome was intestinal permeability changes. Secondary endpoints were changes in symptoms and the Gastrointestinal Symptom Rating Scale, and in immunologic indicators of inflammation. RESULTS The abnormal baseline intestinal permeability was not significantly affected by either treatment. In contrast to patients on placebo, those randomized to B. infantis experienced a significant improvement in Gastrointestinal Symptom Rating Scale (P = 0.0035 for indigestion; P = 0.0483 for constipation; P = 0.0586 for reflux). Final/baseline IgA tTG and IgA DGP antibody concentration ratios were lower in the B. infantis arm (P = 0.055 for IgA tTG and P = 0.181 for IgA DGP). Final serum macrophage inflammatory protein-1β increased significantly (P &lt; 0.04) only in patients receiving B. infantis. The administration of B. infantis was safe. CONCLUSIONS The study suggests that B. infantis may alleviate symptoms in untreated CD. The probiotic produced some immunologic changes but did not modify abnormal intestinal permeability. Further studies are necessary to confirm and/or expand these observations.","author":[{"dropping-particle":"","family":"Smecuol","given":"Edgardo","non-dropping-particle":"","parse-names":false,"suffix":""},{"dropping-particle":"","family":"Hwang","given":"Hui J","non-dropping-particle":"","parse-names":false,"suffix":""},{"dropping-particle":"","family":"Sugai","given":"Emilia","non-dropping-particle":"","parse-names":false,"suffix":""},{"dropping-particle":"","family":"Corso","given":"Laura","non-dropping-particle":"","parse-names":false,"suffix":""},{"dropping-particle":"","family":"Cherñavsky","given":"Alejandra C","non-dropping-particle":"","parse-names":false,"suffix":""},{"dropping-particle":"","family":"Bellavite","given":"Franco P","non-dropping-particle":"","parse-names":false,"suffix":""},{"dropping-particle":"","family":"González","given":"Andrea","non-dropping-particle":"","parse-names":false,"suffix":""},{"dropping-particle":"","family":"Vodánovich","given":"Florencia","non-dropping-particle":"","parse-names":false,"suffix":""},{"dropping-particle":"","family":"Moreno","given":"María L","non-dropping-particle":"","parse-names":false,"suffix":""},{"dropping-particle":"","family":"Vázquez","given":"Horacio","non-dropping-particle":"","parse-names":false,"suffix":""},{"dropping-particle":"","family":"Lozano","given":"Graciela","non-dropping-particle":"","parse-names":false,"suffix":""},{"dropping-particle":"","family":"Niveloni","given":"Sonia","non-dropping-particle":"","parse-names":false,"suffix":""},{"dropping-particle":"","family":"Mazure","given":"Roberto","non-dropping-particle":"","parse-names":false,"suffix":""},{"dropping-particle":"","family":"Meddings","given":"Jon","non-dropping-particle":"","parse-names":false,"suffix":""},{"dropping-particle":"","family":"Mauriño","given":"Eduardo","non-dropping-particle":"","parse-names":false,"suffix":""},{"dropping-particle":"","family":"Bai","given":"Julio C","non-dropping-particle":"","parse-names":false,"suffix":""}],"container-title":"Journal of clinical gastroenterology","id":"ITEM-1","issue":"2","issued":{"date-parts":[["2013","2"]]},"page":"139-47","title":"Exploratory, randomized, double-blind, placebo-controlled study on the effects of Bifidobacterium infantis natren life start strain super strain in active celiac disease.","type":"article-journal","volume":"47"},"uris":["http://www.mendeley.com/documents/?uuid=1d0db64b-c43d-4a7d-958e-ef3c059635c9"]}],"mendeley":{"formattedCitation":"&lt;sup&gt;17&lt;/sup&gt;","plainTextFormattedCitation":"17","previouslyFormattedCitation":"&lt;sup&gt;17&lt;/sup&gt;"},"properties":{"noteIndex":0},"schema":"https://github.com/citation-style-language/schema/raw/master/csl-citation.json"}</w:instrText>
            </w:r>
            <w:r w:rsidR="000D6DFE">
              <w:rPr>
                <w:rFonts w:ascii="Arial" w:hAnsi="Arial" w:cs="Arial"/>
                <w:sz w:val="20"/>
                <w:szCs w:val="20"/>
              </w:rPr>
              <w:fldChar w:fldCharType="separate"/>
            </w:r>
            <w:r w:rsidR="007A7261" w:rsidRPr="007A7261">
              <w:rPr>
                <w:rFonts w:ascii="Arial" w:hAnsi="Arial" w:cs="Arial"/>
                <w:noProof/>
                <w:sz w:val="20"/>
                <w:szCs w:val="20"/>
                <w:vertAlign w:val="superscript"/>
              </w:rPr>
              <w:t>17</w:t>
            </w:r>
            <w:r w:rsidR="000D6DFE">
              <w:rPr>
                <w:rFonts w:ascii="Arial" w:hAnsi="Arial" w:cs="Arial"/>
                <w:sz w:val="20"/>
                <w:szCs w:val="20"/>
              </w:rPr>
              <w:fldChar w:fldCharType="end"/>
            </w:r>
          </w:p>
        </w:tc>
      </w:tr>
      <w:tr w:rsidR="005A6DE6" w:rsidRPr="004F1045" w14:paraId="0220C833" w14:textId="77777777" w:rsidTr="004E1C9A">
        <w:tc>
          <w:tcPr>
            <w:cnfStyle w:val="001000000000" w:firstRow="0" w:lastRow="0" w:firstColumn="1" w:lastColumn="0" w:oddVBand="0" w:evenVBand="0" w:oddHBand="0" w:evenHBand="0" w:firstRowFirstColumn="0" w:firstRowLastColumn="0" w:lastRowFirstColumn="0" w:lastRowLastColumn="0"/>
            <w:tcW w:w="2235" w:type="dxa"/>
          </w:tcPr>
          <w:p w14:paraId="0FB56852" w14:textId="6C706A00" w:rsidR="005A6DE6" w:rsidRPr="004F1045" w:rsidRDefault="005A6DE6" w:rsidP="005A6DE6">
            <w:pPr>
              <w:jc w:val="left"/>
              <w:rPr>
                <w:rFonts w:ascii="Arial" w:hAnsi="Arial" w:cs="Arial"/>
                <w:sz w:val="20"/>
                <w:szCs w:val="20"/>
                <w:shd w:val="clear" w:color="auto" w:fill="FFFFFF"/>
              </w:rPr>
            </w:pPr>
            <w:proofErr w:type="spellStart"/>
            <w:r w:rsidRPr="004F1045">
              <w:rPr>
                <w:rFonts w:ascii="Arial" w:hAnsi="Arial" w:cs="Arial"/>
                <w:sz w:val="20"/>
                <w:szCs w:val="20"/>
                <w:shd w:val="clear" w:color="auto" w:fill="FFFFFF"/>
              </w:rPr>
              <w:t>Smecuol</w:t>
            </w:r>
            <w:proofErr w:type="spellEnd"/>
            <w:r w:rsidRPr="004F1045">
              <w:rPr>
                <w:rFonts w:ascii="Arial" w:hAnsi="Arial" w:cs="Arial"/>
                <w:sz w:val="20"/>
                <w:szCs w:val="20"/>
                <w:shd w:val="clear" w:color="auto" w:fill="FFFFFF"/>
              </w:rPr>
              <w:t xml:space="preserve"> 2015</w:t>
            </w:r>
            <w:r w:rsidR="006F46C4" w:rsidRPr="006F46C4">
              <w:rPr>
                <w:rFonts w:ascii="Arial" w:hAnsi="Arial" w:cs="Arial"/>
                <w:sz w:val="20"/>
                <w:szCs w:val="20"/>
                <w:shd w:val="clear" w:color="auto" w:fill="FFFFFF"/>
                <w:vertAlign w:val="superscript"/>
              </w:rPr>
              <w:t>24</w:t>
            </w:r>
          </w:p>
        </w:tc>
        <w:tc>
          <w:tcPr>
            <w:tcW w:w="6765" w:type="dxa"/>
          </w:tcPr>
          <w:p w14:paraId="3D6FB934" w14:textId="77777777" w:rsidR="005A6DE6" w:rsidRPr="004F1045" w:rsidRDefault="005A6DE6" w:rsidP="005A6D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F1045">
              <w:rPr>
                <w:rFonts w:ascii="Arial" w:hAnsi="Arial" w:cs="Arial"/>
                <w:sz w:val="20"/>
                <w:szCs w:val="20"/>
              </w:rPr>
              <w:t>Not a randomised controlled trial</w:t>
            </w:r>
          </w:p>
        </w:tc>
      </w:tr>
      <w:tr w:rsidR="005A6DE6" w:rsidRPr="004F1045" w14:paraId="404B5BCF" w14:textId="77777777" w:rsidTr="004E1C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3EAD0ADE" w14:textId="1A6A8936" w:rsidR="005A6DE6" w:rsidRPr="004F1045" w:rsidRDefault="005A6DE6" w:rsidP="005A6DE6">
            <w:pPr>
              <w:jc w:val="left"/>
              <w:rPr>
                <w:rFonts w:ascii="Arial" w:hAnsi="Arial" w:cs="Arial"/>
                <w:sz w:val="20"/>
                <w:szCs w:val="20"/>
                <w:shd w:val="clear" w:color="auto" w:fill="FFFFFF"/>
              </w:rPr>
            </w:pPr>
            <w:proofErr w:type="spellStart"/>
            <w:r w:rsidRPr="004F1045">
              <w:rPr>
                <w:rFonts w:ascii="Arial" w:hAnsi="Arial" w:cs="Arial"/>
                <w:sz w:val="20"/>
                <w:szCs w:val="20"/>
                <w:shd w:val="clear" w:color="auto" w:fill="FFFFFF"/>
              </w:rPr>
              <w:t>Tavakkoli</w:t>
            </w:r>
            <w:proofErr w:type="spellEnd"/>
            <w:r w:rsidRPr="004F1045">
              <w:rPr>
                <w:rFonts w:ascii="Arial" w:hAnsi="Arial" w:cs="Arial"/>
                <w:sz w:val="20"/>
                <w:szCs w:val="20"/>
                <w:shd w:val="clear" w:color="auto" w:fill="FFFFFF"/>
              </w:rPr>
              <w:t xml:space="preserve"> 2013</w:t>
            </w:r>
            <w:r w:rsidR="00E47FFD">
              <w:rPr>
                <w:rFonts w:ascii="Arial" w:hAnsi="Arial" w:cs="Arial"/>
                <w:sz w:val="20"/>
                <w:szCs w:val="20"/>
                <w:shd w:val="clear" w:color="auto" w:fill="FFFFFF"/>
              </w:rPr>
              <w:fldChar w:fldCharType="begin" w:fldLock="1"/>
            </w:r>
            <w:r w:rsidR="00E20811">
              <w:rPr>
                <w:rFonts w:ascii="Arial" w:hAnsi="Arial" w:cs="Arial"/>
                <w:sz w:val="20"/>
                <w:szCs w:val="20"/>
                <w:shd w:val="clear" w:color="auto" w:fill="FFFFFF"/>
              </w:rPr>
              <w:instrText>ADDIN CSL_CITATION {"citationItems":[{"id":"ITEM-1","itemData":{"DOI":"10.1097/MCG.0b013e31827b507d","ISSN":"1539-2031","PMID":"23314665","author":[{"dropping-particle":"","family":"Tavakkoli","given":"Anna","non-dropping-particle":"","parse-names":false,"suffix":""},{"dropping-particle":"","family":"Green","given":"Peter H.","non-dropping-particle":"","parse-names":false,"suffix":""}],"container-title":"Journal of clinical gastroenterology","id":"ITEM-1","issue":"2","issued":{"date-parts":[["2013","2"]]},"page":"101-3","title":"Probiotic therapy for celiac disease.","type":"article-journal","volume":"47"},"uris":["http://www.mendeley.com/documents/?uuid=563802c4-cd56-448e-bb0f-7b93aff11cf3"]}],"mendeley":{"formattedCitation":"&lt;sup&gt;58&lt;/sup&gt;","plainTextFormattedCitation":"58","previouslyFormattedCitation":"&lt;sup&gt;58&lt;/sup&gt;"},"properties":{"noteIndex":0},"schema":"https://github.com/citation-style-language/schema/raw/master/csl-citation.json"}</w:instrText>
            </w:r>
            <w:r w:rsidR="00E47FFD">
              <w:rPr>
                <w:rFonts w:ascii="Arial" w:hAnsi="Arial" w:cs="Arial"/>
                <w:sz w:val="20"/>
                <w:szCs w:val="20"/>
                <w:shd w:val="clear" w:color="auto" w:fill="FFFFFF"/>
              </w:rPr>
              <w:fldChar w:fldCharType="separate"/>
            </w:r>
            <w:r w:rsidR="006F46C4">
              <w:rPr>
                <w:rFonts w:ascii="Arial" w:hAnsi="Arial" w:cs="Arial"/>
                <w:i w:val="0"/>
                <w:noProof/>
                <w:sz w:val="20"/>
                <w:szCs w:val="20"/>
                <w:shd w:val="clear" w:color="auto" w:fill="FFFFFF"/>
                <w:vertAlign w:val="superscript"/>
              </w:rPr>
              <w:t>25</w:t>
            </w:r>
            <w:r w:rsidR="00E47FFD">
              <w:rPr>
                <w:rFonts w:ascii="Arial" w:hAnsi="Arial" w:cs="Arial"/>
                <w:sz w:val="20"/>
                <w:szCs w:val="20"/>
                <w:shd w:val="clear" w:color="auto" w:fill="FFFFFF"/>
              </w:rPr>
              <w:fldChar w:fldCharType="end"/>
            </w:r>
          </w:p>
        </w:tc>
        <w:tc>
          <w:tcPr>
            <w:tcW w:w="6765" w:type="dxa"/>
          </w:tcPr>
          <w:p w14:paraId="0F86C54A" w14:textId="77777777" w:rsidR="005A6DE6" w:rsidRPr="004F1045" w:rsidRDefault="005A6DE6" w:rsidP="005A6DE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F1045">
              <w:rPr>
                <w:rFonts w:ascii="Arial" w:hAnsi="Arial" w:cs="Arial"/>
                <w:sz w:val="20"/>
                <w:szCs w:val="20"/>
              </w:rPr>
              <w:t>Review article. Not a study</w:t>
            </w:r>
          </w:p>
        </w:tc>
      </w:tr>
      <w:tr w:rsidR="005A6DE6" w:rsidRPr="004F1045" w14:paraId="27A3C59E" w14:textId="77777777" w:rsidTr="004E1C9A">
        <w:tc>
          <w:tcPr>
            <w:cnfStyle w:val="001000000000" w:firstRow="0" w:lastRow="0" w:firstColumn="1" w:lastColumn="0" w:oddVBand="0" w:evenVBand="0" w:oddHBand="0" w:evenHBand="0" w:firstRowFirstColumn="0" w:firstRowLastColumn="0" w:lastRowFirstColumn="0" w:lastRowLastColumn="0"/>
            <w:tcW w:w="2235" w:type="dxa"/>
          </w:tcPr>
          <w:p w14:paraId="260DE952" w14:textId="5E15E477" w:rsidR="005A6DE6" w:rsidRPr="004F1045" w:rsidRDefault="005A6DE6" w:rsidP="005A6DE6">
            <w:pPr>
              <w:jc w:val="left"/>
              <w:rPr>
                <w:rFonts w:ascii="Arial" w:hAnsi="Arial" w:cs="Arial"/>
                <w:sz w:val="20"/>
                <w:szCs w:val="20"/>
                <w:shd w:val="clear" w:color="auto" w:fill="FFFFFF"/>
              </w:rPr>
            </w:pPr>
            <w:proofErr w:type="spellStart"/>
            <w:r w:rsidRPr="004F1045">
              <w:rPr>
                <w:rFonts w:ascii="Arial" w:hAnsi="Arial" w:cs="Arial"/>
                <w:sz w:val="20"/>
                <w:szCs w:val="20"/>
                <w:shd w:val="clear" w:color="auto" w:fill="FFFFFF"/>
              </w:rPr>
              <w:t>Tjellstrom</w:t>
            </w:r>
            <w:proofErr w:type="spellEnd"/>
            <w:r w:rsidRPr="004F1045">
              <w:rPr>
                <w:rFonts w:ascii="Arial" w:hAnsi="Arial" w:cs="Arial"/>
                <w:sz w:val="20"/>
                <w:szCs w:val="20"/>
                <w:shd w:val="clear" w:color="auto" w:fill="FFFFFF"/>
              </w:rPr>
              <w:t xml:space="preserve"> 201</w:t>
            </w:r>
            <w:r w:rsidR="006F46C4">
              <w:rPr>
                <w:rFonts w:ascii="Arial" w:hAnsi="Arial" w:cs="Arial"/>
                <w:sz w:val="20"/>
                <w:szCs w:val="20"/>
                <w:shd w:val="clear" w:color="auto" w:fill="FFFFFF"/>
              </w:rPr>
              <w:t>6</w:t>
            </w:r>
            <w:r w:rsidR="006F46C4" w:rsidRPr="006F46C4">
              <w:rPr>
                <w:rFonts w:ascii="Arial" w:hAnsi="Arial" w:cs="Arial"/>
                <w:sz w:val="20"/>
                <w:szCs w:val="20"/>
                <w:shd w:val="clear" w:color="auto" w:fill="FFFFFF"/>
                <w:vertAlign w:val="superscript"/>
              </w:rPr>
              <w:t>26</w:t>
            </w:r>
          </w:p>
        </w:tc>
        <w:tc>
          <w:tcPr>
            <w:tcW w:w="6765" w:type="dxa"/>
          </w:tcPr>
          <w:p w14:paraId="7EBCAF73" w14:textId="77777777" w:rsidR="005A6DE6" w:rsidRPr="004F1045" w:rsidRDefault="005A6DE6" w:rsidP="005A6D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F1045">
              <w:rPr>
                <w:rFonts w:ascii="Arial" w:hAnsi="Arial" w:cs="Arial"/>
                <w:sz w:val="20"/>
                <w:szCs w:val="20"/>
              </w:rPr>
              <w:t>Not a randomised controlled trial</w:t>
            </w:r>
          </w:p>
        </w:tc>
      </w:tr>
      <w:tr w:rsidR="00B420FA" w:rsidRPr="004F1045" w14:paraId="282662CB" w14:textId="77777777" w:rsidTr="004E1C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3324D667" w14:textId="16BEBC80" w:rsidR="00B420FA" w:rsidRPr="004F1045" w:rsidRDefault="00B420FA" w:rsidP="001723FA">
            <w:pPr>
              <w:jc w:val="left"/>
              <w:rPr>
                <w:rFonts w:ascii="Arial" w:hAnsi="Arial" w:cs="Arial"/>
                <w:sz w:val="20"/>
                <w:szCs w:val="20"/>
                <w:shd w:val="clear" w:color="auto" w:fill="FFFFFF"/>
              </w:rPr>
            </w:pPr>
            <w:proofErr w:type="spellStart"/>
            <w:r w:rsidRPr="00B420FA">
              <w:rPr>
                <w:rFonts w:ascii="Arial" w:hAnsi="Arial" w:cs="Arial"/>
                <w:sz w:val="20"/>
                <w:szCs w:val="20"/>
                <w:shd w:val="clear" w:color="auto" w:fill="FFFFFF"/>
              </w:rPr>
              <w:t>Uspenskaia</w:t>
            </w:r>
            <w:proofErr w:type="spellEnd"/>
            <w:r w:rsidRPr="00B420FA">
              <w:rPr>
                <w:rFonts w:ascii="Arial" w:hAnsi="Arial" w:cs="Arial"/>
                <w:sz w:val="20"/>
                <w:szCs w:val="20"/>
                <w:shd w:val="clear" w:color="auto" w:fill="FFFFFF"/>
              </w:rPr>
              <w:t xml:space="preserve"> 1991</w:t>
            </w:r>
            <w:r>
              <w:rPr>
                <w:rFonts w:ascii="Arial" w:hAnsi="Arial" w:cs="Arial"/>
                <w:sz w:val="20"/>
                <w:szCs w:val="20"/>
                <w:shd w:val="clear" w:color="auto" w:fill="FFFFFF"/>
              </w:rPr>
              <w:fldChar w:fldCharType="begin" w:fldLock="1"/>
            </w:r>
            <w:r w:rsidR="00E20811">
              <w:rPr>
                <w:rFonts w:ascii="Arial" w:hAnsi="Arial" w:cs="Arial"/>
                <w:sz w:val="20"/>
                <w:szCs w:val="20"/>
                <w:shd w:val="clear" w:color="auto" w:fill="FFFFFF"/>
              </w:rPr>
              <w:instrText>ADDIN CSL_CITATION {"citationItems":[{"id":"ITEM-1","itemData":{"ISSN":"0042-8833","PMID":"1792743","abstract":"Zinc sulfate-enriched lactic acid lactobacterin was used in the combined treatment of 23 children with celiac disease, aged from 1 to 10 years. A group of 23 children with celiac disease who received lactic acid lactobacterin without zinc were used as control. The patients treated with lactobacterin containing zinc showed a higher increase in body mass, total protein and zinc levels in the blood serum and elevated activity of metalloenzymes-ceruloplasmin and cytochrome oxidase.","author":[{"dropping-particle":"","family":"Uspenskaia","given":"I D","non-dropping-particle":"","parse-names":false,"suffix":""}],"container-title":"Voprosy pitaniia","id":"ITEM-1","issue":"4","issued":{"date-parts":[["1991"]]},"page":"24-7","title":"The efficacy of the use of lactic acid lactobacterin enriched with zinc in the treatment of patients with celiac disease","type":"article-journal"},"uris":["http://www.mendeley.com/documents/?uuid=448a5398-aca0-43ad-9c49-48b6f60f1579"]}],"mendeley":{"formattedCitation":"&lt;sup&gt;60&lt;/sup&gt;","plainTextFormattedCitation":"60","previouslyFormattedCitation":"&lt;sup&gt;60&lt;/sup&gt;"},"properties":{"noteIndex":0},"schema":"https://github.com/citation-style-language/schema/raw/master/csl-citation.json"}</w:instrText>
            </w:r>
            <w:r>
              <w:rPr>
                <w:rFonts w:ascii="Arial" w:hAnsi="Arial" w:cs="Arial"/>
                <w:sz w:val="20"/>
                <w:szCs w:val="20"/>
                <w:shd w:val="clear" w:color="auto" w:fill="FFFFFF"/>
              </w:rPr>
              <w:fldChar w:fldCharType="separate"/>
            </w:r>
            <w:r w:rsidR="006F46C4">
              <w:rPr>
                <w:rFonts w:ascii="Arial" w:hAnsi="Arial" w:cs="Arial"/>
                <w:i w:val="0"/>
                <w:noProof/>
                <w:sz w:val="20"/>
                <w:szCs w:val="20"/>
                <w:shd w:val="clear" w:color="auto" w:fill="FFFFFF"/>
                <w:vertAlign w:val="superscript"/>
              </w:rPr>
              <w:t>27</w:t>
            </w:r>
            <w:r>
              <w:rPr>
                <w:rFonts w:ascii="Arial" w:hAnsi="Arial" w:cs="Arial"/>
                <w:sz w:val="20"/>
                <w:szCs w:val="20"/>
                <w:shd w:val="clear" w:color="auto" w:fill="FFFFFF"/>
              </w:rPr>
              <w:fldChar w:fldCharType="end"/>
            </w:r>
          </w:p>
        </w:tc>
        <w:tc>
          <w:tcPr>
            <w:tcW w:w="6765" w:type="dxa"/>
          </w:tcPr>
          <w:p w14:paraId="2741F37A" w14:textId="720043E5" w:rsidR="00B420FA" w:rsidRPr="004F1045" w:rsidRDefault="00B420FA" w:rsidP="005A6DE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Probiotics in both intervention and placebo groups</w:t>
            </w:r>
          </w:p>
        </w:tc>
      </w:tr>
      <w:tr w:rsidR="005A6DE6" w:rsidRPr="004F1045" w14:paraId="333F08F0" w14:textId="77777777" w:rsidTr="004E1C9A">
        <w:tc>
          <w:tcPr>
            <w:cnfStyle w:val="001000000000" w:firstRow="0" w:lastRow="0" w:firstColumn="1" w:lastColumn="0" w:oddVBand="0" w:evenVBand="0" w:oddHBand="0" w:evenHBand="0" w:firstRowFirstColumn="0" w:firstRowLastColumn="0" w:lastRowFirstColumn="0" w:lastRowLastColumn="0"/>
            <w:tcW w:w="2235" w:type="dxa"/>
          </w:tcPr>
          <w:p w14:paraId="50E0F52C" w14:textId="0BC635D3" w:rsidR="005A6DE6" w:rsidRPr="004F1045" w:rsidRDefault="005A6DE6" w:rsidP="005A6DE6">
            <w:pPr>
              <w:jc w:val="left"/>
              <w:rPr>
                <w:rFonts w:ascii="Arial" w:hAnsi="Arial" w:cs="Arial"/>
                <w:sz w:val="20"/>
                <w:szCs w:val="20"/>
                <w:shd w:val="clear" w:color="auto" w:fill="FFFFFF"/>
              </w:rPr>
            </w:pPr>
            <w:r w:rsidRPr="004F1045">
              <w:rPr>
                <w:rFonts w:ascii="Arial" w:hAnsi="Arial" w:cs="Arial"/>
                <w:sz w:val="20"/>
                <w:szCs w:val="20"/>
                <w:shd w:val="clear" w:color="auto" w:fill="FFFFFF"/>
              </w:rPr>
              <w:t>Wilms 2016</w:t>
            </w:r>
            <w:r w:rsidR="006F46C4" w:rsidRPr="006F46C4">
              <w:rPr>
                <w:rFonts w:ascii="Arial" w:hAnsi="Arial" w:cs="Arial"/>
                <w:sz w:val="20"/>
                <w:szCs w:val="20"/>
                <w:shd w:val="clear" w:color="auto" w:fill="FFFFFF"/>
                <w:vertAlign w:val="superscript"/>
              </w:rPr>
              <w:t>28</w:t>
            </w:r>
          </w:p>
        </w:tc>
        <w:tc>
          <w:tcPr>
            <w:tcW w:w="6765" w:type="dxa"/>
          </w:tcPr>
          <w:p w14:paraId="612A6A5B" w14:textId="4D364F68" w:rsidR="005A6DE6" w:rsidRPr="004F1045" w:rsidRDefault="005A6DE6" w:rsidP="005A6D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F1045">
              <w:rPr>
                <w:rFonts w:ascii="Arial" w:hAnsi="Arial" w:cs="Arial"/>
                <w:sz w:val="20"/>
                <w:szCs w:val="20"/>
              </w:rPr>
              <w:t xml:space="preserve">Study population does not include </w:t>
            </w:r>
            <w:r w:rsidR="0019718B">
              <w:rPr>
                <w:rFonts w:ascii="Arial" w:hAnsi="Arial" w:cs="Arial"/>
                <w:sz w:val="20"/>
                <w:szCs w:val="20"/>
              </w:rPr>
              <w:t>CD</w:t>
            </w:r>
            <w:r w:rsidRPr="004F1045">
              <w:rPr>
                <w:rFonts w:ascii="Arial" w:hAnsi="Arial" w:cs="Arial"/>
                <w:sz w:val="20"/>
                <w:szCs w:val="20"/>
              </w:rPr>
              <w:t xml:space="preserve"> patients</w:t>
            </w:r>
          </w:p>
        </w:tc>
      </w:tr>
    </w:tbl>
    <w:p w14:paraId="1446BDE6" w14:textId="77777777" w:rsidR="00D76DF6" w:rsidRPr="004F1045" w:rsidRDefault="00D76DF6" w:rsidP="00D76DF6">
      <w:pPr>
        <w:rPr>
          <w:rFonts w:ascii="Arial" w:hAnsi="Arial" w:cs="Arial"/>
          <w:b/>
          <w:bCs/>
          <w:sz w:val="20"/>
          <w:szCs w:val="20"/>
        </w:rPr>
      </w:pPr>
    </w:p>
    <w:p w14:paraId="4A82CC18" w14:textId="77777777" w:rsidR="00FF515D" w:rsidRPr="00962FB2" w:rsidRDefault="00FF515D">
      <w:pPr>
        <w:rPr>
          <w:rFonts w:ascii="Arial" w:hAnsi="Arial" w:cs="Arial"/>
          <w:b/>
          <w:bCs/>
        </w:rPr>
      </w:pPr>
      <w:r w:rsidRPr="00962FB2">
        <w:rPr>
          <w:rFonts w:ascii="Arial" w:hAnsi="Arial" w:cs="Arial"/>
          <w:b/>
          <w:bCs/>
        </w:rPr>
        <w:t>References</w:t>
      </w:r>
    </w:p>
    <w:p w14:paraId="16DC8592" w14:textId="00104A47" w:rsidR="00FF515D" w:rsidRPr="00962FB2" w:rsidRDefault="00FF515D" w:rsidP="00FF515D">
      <w:pPr>
        <w:widowControl w:val="0"/>
        <w:autoSpaceDE w:val="0"/>
        <w:autoSpaceDN w:val="0"/>
        <w:adjustRightInd w:val="0"/>
        <w:spacing w:after="0" w:line="240" w:lineRule="auto"/>
        <w:ind w:left="640" w:hanging="640"/>
        <w:rPr>
          <w:rFonts w:ascii="Arial" w:hAnsi="Arial" w:cs="Arial"/>
          <w:noProof/>
          <w:sz w:val="20"/>
          <w:szCs w:val="20"/>
        </w:rPr>
      </w:pPr>
      <w:r>
        <w:rPr>
          <w:rFonts w:ascii="Arial" w:hAnsi="Arial" w:cs="Arial"/>
          <w:noProof/>
        </w:rPr>
        <w:t xml:space="preserve">1- </w:t>
      </w:r>
      <w:r>
        <w:rPr>
          <w:rFonts w:ascii="Arial" w:hAnsi="Arial" w:cs="Arial"/>
          <w:noProof/>
        </w:rPr>
        <w:tab/>
      </w:r>
      <w:r w:rsidRPr="00962FB2">
        <w:rPr>
          <w:rFonts w:ascii="Arial" w:hAnsi="Arial" w:cs="Arial"/>
          <w:noProof/>
          <w:sz w:val="20"/>
          <w:szCs w:val="20"/>
        </w:rPr>
        <w:t xml:space="preserve">Afifi L, Danesh MJ, Lee KM, et al. Dietary Behaviors in Psoriasis: Patient-Reported Outcomes from a U.S. National Survey. </w:t>
      </w:r>
      <w:r w:rsidRPr="00962FB2">
        <w:rPr>
          <w:rFonts w:ascii="Arial" w:hAnsi="Arial" w:cs="Arial"/>
          <w:i/>
          <w:iCs/>
          <w:noProof/>
          <w:sz w:val="20"/>
          <w:szCs w:val="20"/>
        </w:rPr>
        <w:t>Dermatol Ther (Heidelb)</w:t>
      </w:r>
      <w:r w:rsidRPr="00962FB2">
        <w:rPr>
          <w:rFonts w:ascii="Arial" w:hAnsi="Arial" w:cs="Arial"/>
          <w:noProof/>
          <w:sz w:val="20"/>
          <w:szCs w:val="20"/>
        </w:rPr>
        <w:t xml:space="preserve">. 2017;7(2):227-242. </w:t>
      </w:r>
    </w:p>
    <w:p w14:paraId="24FCE524" w14:textId="319FEB20" w:rsidR="00FF515D" w:rsidRPr="00962FB2" w:rsidRDefault="00FF515D" w:rsidP="00FF515D">
      <w:pPr>
        <w:widowControl w:val="0"/>
        <w:autoSpaceDE w:val="0"/>
        <w:autoSpaceDN w:val="0"/>
        <w:adjustRightInd w:val="0"/>
        <w:spacing w:after="0" w:line="240" w:lineRule="auto"/>
        <w:ind w:left="640" w:hanging="640"/>
        <w:rPr>
          <w:rFonts w:ascii="Arial" w:hAnsi="Arial" w:cs="Arial"/>
          <w:noProof/>
          <w:sz w:val="20"/>
          <w:szCs w:val="20"/>
        </w:rPr>
      </w:pPr>
      <w:r w:rsidRPr="00962FB2">
        <w:rPr>
          <w:rFonts w:ascii="Arial" w:hAnsi="Arial" w:cs="Arial"/>
          <w:noProof/>
          <w:sz w:val="20"/>
          <w:szCs w:val="20"/>
        </w:rPr>
        <w:t xml:space="preserve">2- </w:t>
      </w:r>
      <w:r w:rsidRPr="00962FB2">
        <w:rPr>
          <w:rFonts w:ascii="Arial" w:hAnsi="Arial" w:cs="Arial"/>
          <w:noProof/>
          <w:sz w:val="20"/>
          <w:szCs w:val="20"/>
        </w:rPr>
        <w:tab/>
        <w:t xml:space="preserve">Coqueiro AY, Bonvini A, Tirapegui J, Rogero MM. Probiotics supplementation as an alternative method for celiac disease treatment. </w:t>
      </w:r>
      <w:r w:rsidRPr="00962FB2">
        <w:rPr>
          <w:rFonts w:ascii="Arial" w:hAnsi="Arial" w:cs="Arial"/>
          <w:i/>
          <w:iCs/>
          <w:noProof/>
          <w:sz w:val="20"/>
          <w:szCs w:val="20"/>
        </w:rPr>
        <w:t>Int J Probiotics Prebiotics</w:t>
      </w:r>
      <w:r w:rsidRPr="00962FB2">
        <w:rPr>
          <w:rFonts w:ascii="Arial" w:hAnsi="Arial" w:cs="Arial"/>
          <w:noProof/>
          <w:sz w:val="20"/>
          <w:szCs w:val="20"/>
        </w:rPr>
        <w:t>. 2017;12(1):23-31.</w:t>
      </w:r>
    </w:p>
    <w:p w14:paraId="5F0C005F" w14:textId="57AF295A" w:rsidR="00FF515D" w:rsidRPr="00962FB2" w:rsidRDefault="00FF515D" w:rsidP="00FF515D">
      <w:pPr>
        <w:widowControl w:val="0"/>
        <w:autoSpaceDE w:val="0"/>
        <w:autoSpaceDN w:val="0"/>
        <w:adjustRightInd w:val="0"/>
        <w:spacing w:after="0" w:line="240" w:lineRule="auto"/>
        <w:ind w:left="640" w:hanging="640"/>
        <w:rPr>
          <w:rFonts w:ascii="Arial" w:hAnsi="Arial" w:cs="Arial"/>
          <w:noProof/>
          <w:sz w:val="20"/>
          <w:szCs w:val="20"/>
        </w:rPr>
      </w:pPr>
      <w:r w:rsidRPr="00962FB2">
        <w:rPr>
          <w:rFonts w:ascii="Arial" w:hAnsi="Arial" w:cs="Arial"/>
          <w:noProof/>
          <w:sz w:val="20"/>
          <w:szCs w:val="20"/>
        </w:rPr>
        <w:t>3-</w:t>
      </w:r>
      <w:r w:rsidRPr="00962FB2">
        <w:rPr>
          <w:rFonts w:ascii="Arial" w:hAnsi="Arial" w:cs="Arial"/>
          <w:noProof/>
          <w:sz w:val="20"/>
          <w:szCs w:val="20"/>
        </w:rPr>
        <w:tab/>
        <w:t xml:space="preserve">Cristofori F, Indrio F, Miniello V, De Angelis M, Francavilla R. Probiotics in Celiac Disease. </w:t>
      </w:r>
      <w:r w:rsidRPr="00962FB2">
        <w:rPr>
          <w:rFonts w:ascii="Arial" w:hAnsi="Arial" w:cs="Arial"/>
          <w:i/>
          <w:iCs/>
          <w:noProof/>
          <w:sz w:val="20"/>
          <w:szCs w:val="20"/>
        </w:rPr>
        <w:t>Nutrients</w:t>
      </w:r>
      <w:r w:rsidRPr="00962FB2">
        <w:rPr>
          <w:rFonts w:ascii="Arial" w:hAnsi="Arial" w:cs="Arial"/>
          <w:noProof/>
          <w:sz w:val="20"/>
          <w:szCs w:val="20"/>
        </w:rPr>
        <w:t xml:space="preserve">. 2018;10(12):1824. </w:t>
      </w:r>
    </w:p>
    <w:p w14:paraId="1E56BC07" w14:textId="3C5E36D1" w:rsidR="00FF515D" w:rsidRPr="00962FB2" w:rsidRDefault="00FF515D" w:rsidP="00FF515D">
      <w:pPr>
        <w:widowControl w:val="0"/>
        <w:autoSpaceDE w:val="0"/>
        <w:autoSpaceDN w:val="0"/>
        <w:adjustRightInd w:val="0"/>
        <w:spacing w:after="0" w:line="240" w:lineRule="auto"/>
        <w:ind w:left="640" w:hanging="640"/>
        <w:rPr>
          <w:rFonts w:ascii="Arial" w:hAnsi="Arial" w:cs="Arial"/>
          <w:noProof/>
          <w:sz w:val="20"/>
          <w:szCs w:val="20"/>
        </w:rPr>
      </w:pPr>
      <w:r w:rsidRPr="00962FB2">
        <w:rPr>
          <w:rFonts w:ascii="Arial" w:hAnsi="Arial" w:cs="Arial"/>
          <w:noProof/>
          <w:sz w:val="20"/>
          <w:szCs w:val="20"/>
        </w:rPr>
        <w:t>4-</w:t>
      </w:r>
      <w:r w:rsidRPr="00962FB2">
        <w:rPr>
          <w:rFonts w:ascii="Arial" w:hAnsi="Arial" w:cs="Arial"/>
          <w:noProof/>
          <w:sz w:val="20"/>
          <w:szCs w:val="20"/>
        </w:rPr>
        <w:tab/>
        <w:t xml:space="preserve">Darby W, Jones E, Johnson H. Effect of synthetic Lactobacillus casei factor in the treatment of sprue. </w:t>
      </w:r>
      <w:r w:rsidRPr="00962FB2">
        <w:rPr>
          <w:rFonts w:ascii="Arial" w:hAnsi="Arial" w:cs="Arial"/>
          <w:i/>
          <w:iCs/>
          <w:noProof/>
          <w:sz w:val="20"/>
          <w:szCs w:val="20"/>
        </w:rPr>
        <w:t>J Am Med Assoc</w:t>
      </w:r>
      <w:r w:rsidRPr="00962FB2">
        <w:rPr>
          <w:rFonts w:ascii="Arial" w:hAnsi="Arial" w:cs="Arial"/>
          <w:noProof/>
          <w:sz w:val="20"/>
          <w:szCs w:val="20"/>
        </w:rPr>
        <w:t xml:space="preserve">. 1946;130:780-786. </w:t>
      </w:r>
    </w:p>
    <w:p w14:paraId="00782619" w14:textId="3647162E" w:rsidR="00FF515D" w:rsidRPr="00962FB2" w:rsidRDefault="00FF515D" w:rsidP="00FF515D">
      <w:pPr>
        <w:widowControl w:val="0"/>
        <w:autoSpaceDE w:val="0"/>
        <w:autoSpaceDN w:val="0"/>
        <w:adjustRightInd w:val="0"/>
        <w:spacing w:after="0" w:line="240" w:lineRule="auto"/>
        <w:ind w:left="640" w:hanging="640"/>
        <w:rPr>
          <w:rFonts w:ascii="Arial" w:hAnsi="Arial" w:cs="Arial"/>
          <w:noProof/>
          <w:sz w:val="20"/>
          <w:szCs w:val="20"/>
        </w:rPr>
      </w:pPr>
      <w:r w:rsidRPr="00962FB2">
        <w:rPr>
          <w:rFonts w:ascii="Arial" w:hAnsi="Arial" w:cs="Arial"/>
          <w:noProof/>
          <w:sz w:val="20"/>
          <w:szCs w:val="20"/>
        </w:rPr>
        <w:t xml:space="preserve">5- </w:t>
      </w:r>
      <w:r w:rsidRPr="00962FB2">
        <w:rPr>
          <w:rFonts w:ascii="Arial" w:hAnsi="Arial" w:cs="Arial"/>
          <w:noProof/>
          <w:sz w:val="20"/>
          <w:szCs w:val="20"/>
        </w:rPr>
        <w:tab/>
        <w:t xml:space="preserve">Kim L, Hilli L, Orlowski J, Kupperman JL, Baral M, F Waters R. Efficacy of probiotics and nutrients in functional gastrointestinal disorders: a preliminary clinical trial. </w:t>
      </w:r>
      <w:r w:rsidRPr="00962FB2">
        <w:rPr>
          <w:rFonts w:ascii="Arial" w:hAnsi="Arial" w:cs="Arial"/>
          <w:i/>
          <w:iCs/>
          <w:noProof/>
          <w:sz w:val="20"/>
          <w:szCs w:val="20"/>
        </w:rPr>
        <w:t>Dig Dis Sci</w:t>
      </w:r>
      <w:r w:rsidRPr="00962FB2">
        <w:rPr>
          <w:rFonts w:ascii="Arial" w:hAnsi="Arial" w:cs="Arial"/>
          <w:noProof/>
          <w:sz w:val="20"/>
          <w:szCs w:val="20"/>
        </w:rPr>
        <w:t xml:space="preserve">. 2006;51(12):2134-2144. </w:t>
      </w:r>
    </w:p>
    <w:p w14:paraId="1C5A407C" w14:textId="39365001" w:rsidR="00FF515D" w:rsidRPr="00962FB2" w:rsidRDefault="00FF515D" w:rsidP="00FF515D">
      <w:pPr>
        <w:widowControl w:val="0"/>
        <w:autoSpaceDE w:val="0"/>
        <w:autoSpaceDN w:val="0"/>
        <w:adjustRightInd w:val="0"/>
        <w:spacing w:after="0" w:line="240" w:lineRule="auto"/>
        <w:ind w:left="640" w:hanging="640"/>
        <w:rPr>
          <w:rFonts w:ascii="Arial" w:hAnsi="Arial" w:cs="Arial"/>
          <w:noProof/>
          <w:sz w:val="20"/>
          <w:szCs w:val="20"/>
        </w:rPr>
      </w:pPr>
      <w:r w:rsidRPr="00962FB2">
        <w:rPr>
          <w:rFonts w:ascii="Arial" w:hAnsi="Arial" w:cs="Arial"/>
          <w:noProof/>
          <w:sz w:val="20"/>
          <w:szCs w:val="20"/>
        </w:rPr>
        <w:t xml:space="preserve">6- </w:t>
      </w:r>
      <w:r w:rsidRPr="00962FB2">
        <w:rPr>
          <w:rFonts w:ascii="Arial" w:hAnsi="Arial" w:cs="Arial"/>
          <w:noProof/>
          <w:sz w:val="20"/>
          <w:szCs w:val="20"/>
        </w:rPr>
        <w:tab/>
        <w:t xml:space="preserve">Klemenak M, Dolinšek J, Langerholc T, Mičetić-Turk D. Administration of Bifidobacterium breve decreases the production of TNF-a and faecal fermentation index in children with celiac disease. </w:t>
      </w:r>
      <w:r w:rsidRPr="00962FB2">
        <w:rPr>
          <w:rFonts w:ascii="Arial" w:hAnsi="Arial" w:cs="Arial"/>
          <w:i/>
          <w:iCs/>
          <w:noProof/>
          <w:sz w:val="20"/>
          <w:szCs w:val="20"/>
        </w:rPr>
        <w:t>Gastroenterology</w:t>
      </w:r>
      <w:r w:rsidRPr="00962FB2">
        <w:rPr>
          <w:rFonts w:ascii="Arial" w:hAnsi="Arial" w:cs="Arial"/>
          <w:noProof/>
          <w:sz w:val="20"/>
          <w:szCs w:val="20"/>
        </w:rPr>
        <w:t>. 2016;62 (Supple(May):199.</w:t>
      </w:r>
    </w:p>
    <w:p w14:paraId="75D242B9" w14:textId="0ACB98F4" w:rsidR="00FF515D" w:rsidRPr="00962FB2" w:rsidRDefault="00FF515D" w:rsidP="00FF515D">
      <w:pPr>
        <w:widowControl w:val="0"/>
        <w:autoSpaceDE w:val="0"/>
        <w:autoSpaceDN w:val="0"/>
        <w:adjustRightInd w:val="0"/>
        <w:spacing w:after="0" w:line="240" w:lineRule="auto"/>
        <w:ind w:left="640" w:hanging="640"/>
        <w:rPr>
          <w:rFonts w:ascii="Arial" w:hAnsi="Arial" w:cs="Arial"/>
          <w:noProof/>
          <w:sz w:val="20"/>
          <w:szCs w:val="20"/>
        </w:rPr>
      </w:pPr>
      <w:r w:rsidRPr="00962FB2">
        <w:rPr>
          <w:rFonts w:ascii="Arial" w:hAnsi="Arial" w:cs="Arial"/>
          <w:noProof/>
          <w:sz w:val="20"/>
          <w:szCs w:val="20"/>
        </w:rPr>
        <w:t xml:space="preserve">7- </w:t>
      </w:r>
      <w:r w:rsidRPr="00962FB2">
        <w:rPr>
          <w:rFonts w:ascii="Arial" w:hAnsi="Arial" w:cs="Arial"/>
          <w:noProof/>
          <w:sz w:val="20"/>
          <w:szCs w:val="20"/>
        </w:rPr>
        <w:tab/>
        <w:t xml:space="preserve">Martinello F, Roman CF, Souza PA de. Effects of Probiotic Intake on Intestinal Bifidobacteria of Celiac Patients. </w:t>
      </w:r>
      <w:r w:rsidRPr="00962FB2">
        <w:rPr>
          <w:rFonts w:ascii="Arial" w:hAnsi="Arial" w:cs="Arial"/>
          <w:i/>
          <w:iCs/>
          <w:noProof/>
          <w:sz w:val="20"/>
          <w:szCs w:val="20"/>
        </w:rPr>
        <w:t>Arq Gastroenterol</w:t>
      </w:r>
      <w:r w:rsidRPr="00962FB2">
        <w:rPr>
          <w:rFonts w:ascii="Arial" w:hAnsi="Arial" w:cs="Arial"/>
          <w:noProof/>
          <w:sz w:val="20"/>
          <w:szCs w:val="20"/>
        </w:rPr>
        <w:t>. 2017;54(2):85-90</w:t>
      </w:r>
    </w:p>
    <w:p w14:paraId="656DFFF1" w14:textId="0EC47916" w:rsidR="00FF515D" w:rsidRPr="00962FB2" w:rsidRDefault="00FF515D" w:rsidP="00FF515D">
      <w:pPr>
        <w:widowControl w:val="0"/>
        <w:autoSpaceDE w:val="0"/>
        <w:autoSpaceDN w:val="0"/>
        <w:adjustRightInd w:val="0"/>
        <w:spacing w:after="0" w:line="240" w:lineRule="auto"/>
        <w:ind w:left="640" w:hanging="640"/>
        <w:rPr>
          <w:rFonts w:ascii="Arial" w:hAnsi="Arial" w:cs="Arial"/>
          <w:noProof/>
          <w:sz w:val="20"/>
          <w:szCs w:val="20"/>
        </w:rPr>
      </w:pPr>
      <w:r w:rsidRPr="00962FB2">
        <w:rPr>
          <w:rFonts w:ascii="Arial" w:hAnsi="Arial" w:cs="Arial"/>
          <w:sz w:val="20"/>
          <w:szCs w:val="20"/>
        </w:rPr>
        <w:fldChar w:fldCharType="begin" w:fldLock="1"/>
      </w:r>
      <w:r w:rsidRPr="00962FB2">
        <w:rPr>
          <w:rFonts w:ascii="Arial" w:hAnsi="Arial" w:cs="Arial"/>
          <w:sz w:val="20"/>
          <w:szCs w:val="20"/>
        </w:rPr>
        <w:instrText xml:space="preserve">ADDIN Mendeley Bibliography CSL_BIBLIOGRAPHY </w:instrText>
      </w:r>
      <w:r w:rsidRPr="00962FB2">
        <w:rPr>
          <w:rFonts w:ascii="Arial" w:hAnsi="Arial" w:cs="Arial"/>
          <w:sz w:val="20"/>
          <w:szCs w:val="20"/>
        </w:rPr>
        <w:fldChar w:fldCharType="separate"/>
      </w:r>
      <w:r w:rsidRPr="00962FB2">
        <w:rPr>
          <w:rFonts w:ascii="Arial" w:hAnsi="Arial" w:cs="Arial"/>
          <w:noProof/>
          <w:sz w:val="20"/>
          <w:szCs w:val="20"/>
        </w:rPr>
        <w:t xml:space="preserve">8- </w:t>
      </w:r>
      <w:r w:rsidRPr="00962FB2">
        <w:rPr>
          <w:rFonts w:ascii="Arial" w:hAnsi="Arial" w:cs="Arial"/>
          <w:noProof/>
          <w:sz w:val="20"/>
          <w:szCs w:val="20"/>
        </w:rPr>
        <w:tab/>
        <w:t>ClinicalTrials.gov. Clinical Trial on the Effects of Bifidobacterium Infantis in Active Celiac Disease (Celiac). Bethesda (MD): National Library of Medicine (US). https://clinicaltrials.gov/ct2/show/NCT01257620. Published 2012.</w:t>
      </w:r>
    </w:p>
    <w:p w14:paraId="4800A1A8" w14:textId="4F74D2EC" w:rsidR="00FF515D" w:rsidRPr="00962FB2" w:rsidRDefault="00FF515D" w:rsidP="00FF515D">
      <w:pPr>
        <w:widowControl w:val="0"/>
        <w:autoSpaceDE w:val="0"/>
        <w:autoSpaceDN w:val="0"/>
        <w:adjustRightInd w:val="0"/>
        <w:spacing w:after="0" w:line="240" w:lineRule="auto"/>
        <w:ind w:left="640" w:hanging="640"/>
        <w:rPr>
          <w:rFonts w:ascii="Arial" w:hAnsi="Arial" w:cs="Arial"/>
          <w:noProof/>
          <w:sz w:val="20"/>
          <w:szCs w:val="20"/>
        </w:rPr>
      </w:pPr>
      <w:r w:rsidRPr="00962FB2">
        <w:rPr>
          <w:rFonts w:ascii="Arial" w:hAnsi="Arial" w:cs="Arial"/>
          <w:noProof/>
          <w:sz w:val="20"/>
          <w:szCs w:val="20"/>
        </w:rPr>
        <w:t xml:space="preserve">9- </w:t>
      </w:r>
      <w:r w:rsidRPr="00962FB2">
        <w:rPr>
          <w:rFonts w:ascii="Arial" w:hAnsi="Arial" w:cs="Arial"/>
          <w:noProof/>
          <w:sz w:val="20"/>
          <w:szCs w:val="20"/>
        </w:rPr>
        <w:tab/>
        <w:t>ClinicalTrials.gov. Probiotics for the Treatment of Irritable Bowel Syndrome in Celiac Patients (ProCel). Bethesda (MD): National Library of Medicine (US). https://clinicaltrials.gov/show/nct01699191. Published 2012.</w:t>
      </w:r>
    </w:p>
    <w:p w14:paraId="5B469374" w14:textId="3DAC3A4B" w:rsidR="00FF515D" w:rsidRPr="00962FB2" w:rsidRDefault="00FF515D" w:rsidP="00FF515D">
      <w:pPr>
        <w:widowControl w:val="0"/>
        <w:autoSpaceDE w:val="0"/>
        <w:autoSpaceDN w:val="0"/>
        <w:adjustRightInd w:val="0"/>
        <w:spacing w:after="0" w:line="240" w:lineRule="auto"/>
        <w:ind w:left="640" w:hanging="640"/>
        <w:rPr>
          <w:rFonts w:ascii="Arial" w:hAnsi="Arial" w:cs="Arial"/>
          <w:noProof/>
          <w:sz w:val="20"/>
          <w:szCs w:val="20"/>
        </w:rPr>
      </w:pPr>
      <w:r w:rsidRPr="00962FB2">
        <w:rPr>
          <w:rFonts w:ascii="Arial" w:hAnsi="Arial" w:cs="Arial"/>
          <w:noProof/>
          <w:sz w:val="20"/>
          <w:szCs w:val="20"/>
        </w:rPr>
        <w:t>10-</w:t>
      </w:r>
      <w:r w:rsidRPr="00962FB2">
        <w:rPr>
          <w:rFonts w:ascii="Arial" w:hAnsi="Arial" w:cs="Arial"/>
          <w:noProof/>
          <w:sz w:val="20"/>
          <w:szCs w:val="20"/>
        </w:rPr>
        <w:tab/>
        <w:t>ClinicalTrials.gov. Efficacy of Probiotic ES1 for the Treatment of Non-Celiac Gluten Sensitivity. Bethesda (MD): National Library of Medicine (US). https://clinicaltrials.gov/show/nct02810301. Published 2016.</w:t>
      </w:r>
    </w:p>
    <w:p w14:paraId="3D93B8C9" w14:textId="46C93B72" w:rsidR="00FF515D" w:rsidRPr="00962FB2" w:rsidRDefault="00FF515D" w:rsidP="00FF515D">
      <w:pPr>
        <w:widowControl w:val="0"/>
        <w:autoSpaceDE w:val="0"/>
        <w:autoSpaceDN w:val="0"/>
        <w:adjustRightInd w:val="0"/>
        <w:spacing w:after="0" w:line="240" w:lineRule="auto"/>
        <w:ind w:left="640" w:hanging="640"/>
        <w:rPr>
          <w:rFonts w:ascii="Arial" w:hAnsi="Arial" w:cs="Arial"/>
          <w:noProof/>
          <w:sz w:val="20"/>
          <w:szCs w:val="20"/>
        </w:rPr>
      </w:pPr>
      <w:r w:rsidRPr="00962FB2">
        <w:rPr>
          <w:rFonts w:ascii="Arial" w:hAnsi="Arial" w:cs="Arial"/>
          <w:noProof/>
          <w:sz w:val="20"/>
          <w:szCs w:val="20"/>
        </w:rPr>
        <w:lastRenderedPageBreak/>
        <w:t>11-</w:t>
      </w:r>
      <w:r w:rsidRPr="00962FB2">
        <w:rPr>
          <w:rFonts w:ascii="Arial" w:hAnsi="Arial" w:cs="Arial"/>
          <w:noProof/>
          <w:sz w:val="20"/>
          <w:szCs w:val="20"/>
        </w:rPr>
        <w:tab/>
        <w:t>ClinicalTrials.gov. Celiac Disease Prevention With Probiotics (CiPP). Bethesda (MD): National Library of Medicine (US). https://clinicaltrials.gov/ct2/show/NCT03176095. Published 2017.</w:t>
      </w:r>
    </w:p>
    <w:p w14:paraId="6724C338" w14:textId="3230145D" w:rsidR="00FF515D" w:rsidRPr="00962FB2" w:rsidRDefault="00FF515D" w:rsidP="00FF515D">
      <w:pPr>
        <w:widowControl w:val="0"/>
        <w:autoSpaceDE w:val="0"/>
        <w:autoSpaceDN w:val="0"/>
        <w:adjustRightInd w:val="0"/>
        <w:spacing w:after="0" w:line="240" w:lineRule="auto"/>
        <w:ind w:left="640" w:hanging="640"/>
        <w:rPr>
          <w:rFonts w:ascii="Arial" w:hAnsi="Arial" w:cs="Arial"/>
          <w:noProof/>
          <w:sz w:val="20"/>
          <w:szCs w:val="20"/>
        </w:rPr>
      </w:pPr>
      <w:r w:rsidRPr="00962FB2">
        <w:rPr>
          <w:rFonts w:ascii="Arial" w:hAnsi="Arial" w:cs="Arial"/>
          <w:noProof/>
          <w:sz w:val="20"/>
          <w:szCs w:val="20"/>
        </w:rPr>
        <w:t>12-</w:t>
      </w:r>
      <w:r w:rsidRPr="00962FB2">
        <w:rPr>
          <w:rFonts w:ascii="Arial" w:hAnsi="Arial" w:cs="Arial"/>
          <w:noProof/>
          <w:sz w:val="20"/>
          <w:szCs w:val="20"/>
        </w:rPr>
        <w:tab/>
        <w:t>ClinicalTrials.gov. Effects of GlutenShield, a Prebiotic, Probiotic, and Enzyme Supplement, on the Gut Microbiome of Adults With GI Symptoms. Bethesda (MD): National Library of Medicine (US). https://clinicaltrials.gov/show/nct03403387. Published 2018.</w:t>
      </w:r>
    </w:p>
    <w:p w14:paraId="08623122" w14:textId="1F46DD25" w:rsidR="00FF515D" w:rsidRPr="00962FB2" w:rsidRDefault="00FF515D" w:rsidP="00FF515D">
      <w:pPr>
        <w:widowControl w:val="0"/>
        <w:autoSpaceDE w:val="0"/>
        <w:autoSpaceDN w:val="0"/>
        <w:adjustRightInd w:val="0"/>
        <w:spacing w:after="0" w:line="240" w:lineRule="auto"/>
        <w:ind w:left="640" w:hanging="640"/>
        <w:rPr>
          <w:rFonts w:ascii="Arial" w:hAnsi="Arial" w:cs="Arial"/>
          <w:noProof/>
          <w:sz w:val="20"/>
          <w:szCs w:val="20"/>
        </w:rPr>
      </w:pPr>
      <w:r w:rsidRPr="00962FB2">
        <w:rPr>
          <w:rFonts w:ascii="Arial" w:hAnsi="Arial" w:cs="Arial"/>
          <w:noProof/>
          <w:sz w:val="20"/>
          <w:szCs w:val="20"/>
        </w:rPr>
        <w:t>13-</w:t>
      </w:r>
      <w:r w:rsidRPr="00962FB2">
        <w:rPr>
          <w:rFonts w:ascii="Arial" w:hAnsi="Arial" w:cs="Arial"/>
          <w:noProof/>
          <w:sz w:val="20"/>
          <w:szCs w:val="20"/>
        </w:rPr>
        <w:tab/>
        <w:t>ClinicalTrials.gov. Effects of a Nutritional Solution to Improve Intestinal Permeability in Celiac Patients (Protalsafe). Bethesda (MD): National Library of Medicine (US). https://clinicaltrials.gov/ct2/show/NCT03483805. Published 2018.</w:t>
      </w:r>
    </w:p>
    <w:p w14:paraId="3A03AD82" w14:textId="764B7682" w:rsidR="00FF515D" w:rsidRPr="00962FB2" w:rsidRDefault="00FF515D" w:rsidP="00FF515D">
      <w:pPr>
        <w:widowControl w:val="0"/>
        <w:autoSpaceDE w:val="0"/>
        <w:autoSpaceDN w:val="0"/>
        <w:adjustRightInd w:val="0"/>
        <w:spacing w:after="0" w:line="240" w:lineRule="auto"/>
        <w:ind w:left="640" w:hanging="640"/>
        <w:rPr>
          <w:rFonts w:ascii="Arial" w:hAnsi="Arial" w:cs="Arial"/>
          <w:noProof/>
          <w:sz w:val="20"/>
          <w:szCs w:val="20"/>
        </w:rPr>
      </w:pPr>
      <w:r w:rsidRPr="00962FB2">
        <w:rPr>
          <w:rFonts w:ascii="Arial" w:hAnsi="Arial" w:cs="Arial"/>
          <w:noProof/>
          <w:sz w:val="20"/>
          <w:szCs w:val="20"/>
        </w:rPr>
        <w:t>14-</w:t>
      </w:r>
      <w:r w:rsidRPr="00962FB2">
        <w:rPr>
          <w:rFonts w:ascii="Arial" w:hAnsi="Arial" w:cs="Arial"/>
          <w:noProof/>
          <w:sz w:val="20"/>
          <w:szCs w:val="20"/>
        </w:rPr>
        <w:tab/>
        <w:t>ClinicalTrials.gov. Probiotic BL NCC 2705 and Gluten Sensitivity. Bethesda (MD): National Library of Medicine (US). https://clinicaltrials.gov/ct2/show/NCT03775499. Published 2019.</w:t>
      </w:r>
    </w:p>
    <w:p w14:paraId="3A242AFF" w14:textId="6C1E7B3A" w:rsidR="00FF515D" w:rsidRPr="00962FB2" w:rsidRDefault="00FF515D" w:rsidP="00FF515D">
      <w:pPr>
        <w:widowControl w:val="0"/>
        <w:autoSpaceDE w:val="0"/>
        <w:autoSpaceDN w:val="0"/>
        <w:adjustRightInd w:val="0"/>
        <w:spacing w:after="0" w:line="240" w:lineRule="auto"/>
        <w:ind w:left="640" w:hanging="640"/>
        <w:rPr>
          <w:rFonts w:ascii="Arial" w:hAnsi="Arial" w:cs="Arial"/>
          <w:noProof/>
          <w:sz w:val="20"/>
          <w:szCs w:val="20"/>
          <w:lang w:val="es-ES"/>
        </w:rPr>
      </w:pPr>
      <w:r w:rsidRPr="00962FB2">
        <w:rPr>
          <w:rFonts w:ascii="Arial" w:hAnsi="Arial" w:cs="Arial"/>
          <w:noProof/>
          <w:sz w:val="20"/>
          <w:szCs w:val="20"/>
        </w:rPr>
        <w:t xml:space="preserve">15- </w:t>
      </w:r>
      <w:r w:rsidRPr="00962FB2">
        <w:rPr>
          <w:rFonts w:ascii="Arial" w:hAnsi="Arial" w:cs="Arial"/>
          <w:noProof/>
          <w:sz w:val="20"/>
          <w:szCs w:val="20"/>
        </w:rPr>
        <w:tab/>
        <w:t xml:space="preserve">Novik G, Mikhailopulo K, Knirel Y, Kiseleva E. Linear low molecular weight alpha-1,6-glucan from Bifidobacterium bifidum BIM B-733D is implicated in pathogenesis of celiac disease. </w:t>
      </w:r>
      <w:r w:rsidRPr="00962FB2">
        <w:rPr>
          <w:rFonts w:ascii="Arial" w:hAnsi="Arial" w:cs="Arial"/>
          <w:i/>
          <w:iCs/>
          <w:noProof/>
          <w:sz w:val="20"/>
          <w:szCs w:val="20"/>
          <w:lang w:val="es-ES"/>
        </w:rPr>
        <w:t>FEBS J</w:t>
      </w:r>
      <w:r w:rsidRPr="00962FB2">
        <w:rPr>
          <w:rFonts w:ascii="Arial" w:hAnsi="Arial" w:cs="Arial"/>
          <w:noProof/>
          <w:sz w:val="20"/>
          <w:szCs w:val="20"/>
          <w:lang w:val="es-ES"/>
        </w:rPr>
        <w:t>. 2016;283 (Suppl:296-297.</w:t>
      </w:r>
    </w:p>
    <w:p w14:paraId="18923927" w14:textId="56145698" w:rsidR="00FF515D" w:rsidRPr="00962FB2" w:rsidRDefault="00FF515D" w:rsidP="00FF515D">
      <w:pPr>
        <w:widowControl w:val="0"/>
        <w:autoSpaceDE w:val="0"/>
        <w:autoSpaceDN w:val="0"/>
        <w:adjustRightInd w:val="0"/>
        <w:spacing w:after="0" w:line="240" w:lineRule="auto"/>
        <w:ind w:left="640" w:hanging="640"/>
        <w:rPr>
          <w:rFonts w:ascii="Arial" w:hAnsi="Arial" w:cs="Arial"/>
          <w:noProof/>
          <w:sz w:val="20"/>
          <w:szCs w:val="20"/>
          <w:lang w:val="es-ES"/>
        </w:rPr>
      </w:pPr>
      <w:r w:rsidRPr="00962FB2">
        <w:rPr>
          <w:rFonts w:ascii="Arial" w:hAnsi="Arial" w:cs="Arial"/>
          <w:noProof/>
          <w:sz w:val="20"/>
          <w:szCs w:val="20"/>
          <w:lang w:val="es-ES"/>
        </w:rPr>
        <w:t>16-</w:t>
      </w:r>
      <w:r w:rsidRPr="00962FB2">
        <w:rPr>
          <w:rFonts w:ascii="Arial" w:hAnsi="Arial" w:cs="Arial"/>
          <w:noProof/>
          <w:sz w:val="20"/>
          <w:szCs w:val="20"/>
          <w:lang w:val="es-ES"/>
        </w:rPr>
        <w:tab/>
        <w:t xml:space="preserve">Pinto-Sánchez MI, Smecuol EC, Temprano MP, et al. </w:t>
      </w:r>
      <w:r w:rsidRPr="00962FB2">
        <w:rPr>
          <w:rFonts w:ascii="Arial" w:hAnsi="Arial" w:cs="Arial"/>
          <w:noProof/>
          <w:sz w:val="20"/>
          <w:szCs w:val="20"/>
        </w:rPr>
        <w:t xml:space="preserve">Bifidobacterium infantis NLS Super Strain Reduces the Expression of α-Defensin-5, a Marker of Innate Immunity, in the Mucosa of Active Celiac Disease Patients. </w:t>
      </w:r>
      <w:r w:rsidRPr="00962FB2">
        <w:rPr>
          <w:rFonts w:ascii="Arial" w:hAnsi="Arial" w:cs="Arial"/>
          <w:i/>
          <w:iCs/>
          <w:noProof/>
          <w:sz w:val="20"/>
          <w:szCs w:val="20"/>
          <w:lang w:val="es-ES"/>
        </w:rPr>
        <w:t>J Clin Gastroenterol</w:t>
      </w:r>
      <w:r w:rsidRPr="00962FB2">
        <w:rPr>
          <w:rFonts w:ascii="Arial" w:hAnsi="Arial" w:cs="Arial"/>
          <w:noProof/>
          <w:sz w:val="20"/>
          <w:szCs w:val="20"/>
          <w:lang w:val="es-ES"/>
        </w:rPr>
        <w:t xml:space="preserve">. 2017;51(9):814-817. </w:t>
      </w:r>
    </w:p>
    <w:p w14:paraId="3CA74FB4" w14:textId="654AE367" w:rsidR="00FF515D" w:rsidRPr="00962FB2" w:rsidRDefault="00FF515D" w:rsidP="00FF515D">
      <w:pPr>
        <w:widowControl w:val="0"/>
        <w:autoSpaceDE w:val="0"/>
        <w:autoSpaceDN w:val="0"/>
        <w:adjustRightInd w:val="0"/>
        <w:spacing w:after="0" w:line="240" w:lineRule="auto"/>
        <w:ind w:left="640" w:hanging="640"/>
        <w:rPr>
          <w:rFonts w:ascii="Arial" w:hAnsi="Arial" w:cs="Arial"/>
          <w:noProof/>
          <w:sz w:val="20"/>
          <w:szCs w:val="20"/>
        </w:rPr>
      </w:pPr>
      <w:r w:rsidRPr="00962FB2">
        <w:rPr>
          <w:rFonts w:ascii="Arial" w:hAnsi="Arial" w:cs="Arial"/>
          <w:noProof/>
          <w:sz w:val="20"/>
          <w:szCs w:val="20"/>
          <w:lang w:val="es-ES"/>
        </w:rPr>
        <w:t xml:space="preserve">17- </w:t>
      </w:r>
      <w:r w:rsidRPr="00962FB2">
        <w:rPr>
          <w:rFonts w:ascii="Arial" w:hAnsi="Arial" w:cs="Arial"/>
          <w:noProof/>
          <w:sz w:val="20"/>
          <w:szCs w:val="20"/>
          <w:lang w:val="es-ES"/>
        </w:rPr>
        <w:tab/>
        <w:t xml:space="preserve">Pisarello MJL, Vintiñi EO, González SN, Pagani F, Medina MS. </w:t>
      </w:r>
      <w:r w:rsidRPr="00962FB2">
        <w:rPr>
          <w:rFonts w:ascii="Arial" w:hAnsi="Arial" w:cs="Arial"/>
          <w:noProof/>
          <w:sz w:val="20"/>
          <w:szCs w:val="20"/>
        </w:rPr>
        <w:t xml:space="preserve">Decrease in lactobacilli in the intestinal microbiota of celiac children with a gluten-free diet, and selection of potentially probiotic strains. </w:t>
      </w:r>
      <w:r w:rsidRPr="00962FB2">
        <w:rPr>
          <w:rFonts w:ascii="Arial" w:hAnsi="Arial" w:cs="Arial"/>
          <w:i/>
          <w:iCs/>
          <w:noProof/>
          <w:sz w:val="20"/>
          <w:szCs w:val="20"/>
        </w:rPr>
        <w:t>Can J Microbiol</w:t>
      </w:r>
      <w:r w:rsidRPr="00962FB2">
        <w:rPr>
          <w:rFonts w:ascii="Arial" w:hAnsi="Arial" w:cs="Arial"/>
          <w:noProof/>
          <w:sz w:val="20"/>
          <w:szCs w:val="20"/>
        </w:rPr>
        <w:t xml:space="preserve">. 2015;61(1):32-37. </w:t>
      </w:r>
    </w:p>
    <w:p w14:paraId="79A9919E" w14:textId="5020CCA1" w:rsidR="00FF515D" w:rsidRPr="00962FB2" w:rsidRDefault="00FF515D" w:rsidP="00FF515D">
      <w:pPr>
        <w:widowControl w:val="0"/>
        <w:autoSpaceDE w:val="0"/>
        <w:autoSpaceDN w:val="0"/>
        <w:adjustRightInd w:val="0"/>
        <w:spacing w:after="0" w:line="240" w:lineRule="auto"/>
        <w:ind w:left="640" w:hanging="640"/>
        <w:rPr>
          <w:rFonts w:ascii="Arial" w:hAnsi="Arial" w:cs="Arial"/>
          <w:noProof/>
          <w:sz w:val="20"/>
          <w:szCs w:val="20"/>
        </w:rPr>
      </w:pPr>
      <w:r w:rsidRPr="00962FB2">
        <w:rPr>
          <w:rFonts w:ascii="Arial" w:hAnsi="Arial" w:cs="Arial"/>
          <w:noProof/>
          <w:sz w:val="20"/>
          <w:szCs w:val="20"/>
        </w:rPr>
        <w:t xml:space="preserve">18- </w:t>
      </w:r>
      <w:r w:rsidRPr="00962FB2">
        <w:rPr>
          <w:rFonts w:ascii="Arial" w:hAnsi="Arial" w:cs="Arial"/>
          <w:noProof/>
          <w:sz w:val="20"/>
          <w:szCs w:val="20"/>
        </w:rPr>
        <w:tab/>
        <w:t xml:space="preserve">Rall B. Probiotika zeigen bei Zöliakie Benefit Probiotische Bakterien können bei Patienten mit einer gluteninduzierten Enteropathie das Krankheitsgeschehen positiv beeinflussen . Das ist das Ergebnis eines Laborversuchs , den spanische Wissenschaftler aktuell dur. </w:t>
      </w:r>
      <w:r w:rsidRPr="00962FB2">
        <w:rPr>
          <w:rFonts w:ascii="Arial" w:hAnsi="Arial" w:cs="Arial"/>
          <w:i/>
          <w:iCs/>
          <w:noProof/>
          <w:sz w:val="20"/>
          <w:szCs w:val="20"/>
        </w:rPr>
        <w:t>Dtsch Apotheker Zeitung</w:t>
      </w:r>
      <w:r w:rsidRPr="00962FB2">
        <w:rPr>
          <w:rFonts w:ascii="Arial" w:hAnsi="Arial" w:cs="Arial"/>
          <w:noProof/>
          <w:sz w:val="20"/>
          <w:szCs w:val="20"/>
        </w:rPr>
        <w:t>. 2010;150(18):72.</w:t>
      </w:r>
    </w:p>
    <w:p w14:paraId="79444372" w14:textId="2A07935F" w:rsidR="00FF515D" w:rsidRPr="00962FB2" w:rsidRDefault="00FF515D" w:rsidP="00FF515D">
      <w:pPr>
        <w:widowControl w:val="0"/>
        <w:autoSpaceDE w:val="0"/>
        <w:autoSpaceDN w:val="0"/>
        <w:adjustRightInd w:val="0"/>
        <w:spacing w:after="0" w:line="240" w:lineRule="auto"/>
        <w:ind w:left="640" w:hanging="640"/>
        <w:rPr>
          <w:rFonts w:ascii="Arial" w:hAnsi="Arial" w:cs="Arial"/>
          <w:noProof/>
          <w:sz w:val="20"/>
          <w:szCs w:val="20"/>
        </w:rPr>
      </w:pPr>
      <w:r w:rsidRPr="00962FB2">
        <w:rPr>
          <w:rFonts w:ascii="Arial" w:hAnsi="Arial" w:cs="Arial"/>
          <w:noProof/>
          <w:sz w:val="20"/>
          <w:szCs w:val="20"/>
        </w:rPr>
        <w:t>19-</w:t>
      </w:r>
      <w:r w:rsidRPr="00962FB2">
        <w:rPr>
          <w:rFonts w:ascii="Arial" w:hAnsi="Arial" w:cs="Arial"/>
          <w:noProof/>
          <w:sz w:val="20"/>
          <w:szCs w:val="20"/>
        </w:rPr>
        <w:tab/>
        <w:t xml:space="preserve">Respondek W, Traczyk I, Jarosz M, Mekus M, Tomasiuk R. Effectiveness of the gluten reduction intake, with and without priobotic, in IBS patients with positive serological test for coeliac disease. </w:t>
      </w:r>
      <w:r w:rsidRPr="00962FB2">
        <w:rPr>
          <w:rFonts w:ascii="Arial" w:hAnsi="Arial" w:cs="Arial"/>
          <w:i/>
          <w:iCs/>
          <w:noProof/>
          <w:sz w:val="20"/>
          <w:szCs w:val="20"/>
        </w:rPr>
        <w:t>Ann Nutr Metab</w:t>
      </w:r>
      <w:r w:rsidRPr="00962FB2">
        <w:rPr>
          <w:rFonts w:ascii="Arial" w:hAnsi="Arial" w:cs="Arial"/>
          <w:noProof/>
          <w:sz w:val="20"/>
          <w:szCs w:val="20"/>
        </w:rPr>
        <w:t>. 2013;63(suppl 1):2043.</w:t>
      </w:r>
    </w:p>
    <w:p w14:paraId="4ADC5FBA" w14:textId="0502CCA0" w:rsidR="00FF515D" w:rsidRPr="00962FB2" w:rsidRDefault="00FF515D" w:rsidP="00FF515D">
      <w:pPr>
        <w:widowControl w:val="0"/>
        <w:autoSpaceDE w:val="0"/>
        <w:autoSpaceDN w:val="0"/>
        <w:adjustRightInd w:val="0"/>
        <w:spacing w:after="0" w:line="240" w:lineRule="auto"/>
        <w:ind w:left="640" w:hanging="640"/>
        <w:rPr>
          <w:rFonts w:ascii="Arial" w:hAnsi="Arial" w:cs="Arial"/>
          <w:noProof/>
          <w:sz w:val="20"/>
          <w:szCs w:val="20"/>
        </w:rPr>
      </w:pPr>
      <w:r w:rsidRPr="00962FB2">
        <w:rPr>
          <w:rFonts w:ascii="Arial" w:hAnsi="Arial" w:cs="Arial"/>
          <w:noProof/>
          <w:sz w:val="20"/>
          <w:szCs w:val="20"/>
        </w:rPr>
        <w:t>20-</w:t>
      </w:r>
      <w:r w:rsidRPr="00962FB2">
        <w:rPr>
          <w:rFonts w:ascii="Arial" w:hAnsi="Arial" w:cs="Arial"/>
          <w:noProof/>
          <w:sz w:val="20"/>
          <w:szCs w:val="20"/>
        </w:rPr>
        <w:tab/>
        <w:t xml:space="preserve">Savilahti EM, Ilonen J, Kukkonen AK, Savilahti E, Kuitunen M. Celiac Disease by the Age of 13 Years Is Not Associated With Probiotics Administration in Infancy. </w:t>
      </w:r>
      <w:r w:rsidRPr="00962FB2">
        <w:rPr>
          <w:rFonts w:ascii="Arial" w:hAnsi="Arial" w:cs="Arial"/>
          <w:i/>
          <w:iCs/>
          <w:noProof/>
          <w:sz w:val="20"/>
          <w:szCs w:val="20"/>
        </w:rPr>
        <w:t>J Pediatr Gastroenterol Nutr</w:t>
      </w:r>
      <w:r w:rsidRPr="00962FB2">
        <w:rPr>
          <w:rFonts w:ascii="Arial" w:hAnsi="Arial" w:cs="Arial"/>
          <w:noProof/>
          <w:sz w:val="20"/>
          <w:szCs w:val="20"/>
        </w:rPr>
        <w:t xml:space="preserve">. 2018;66(6):937-940. </w:t>
      </w:r>
    </w:p>
    <w:p w14:paraId="03515165" w14:textId="5770C04F" w:rsidR="00FF515D" w:rsidRPr="00962FB2" w:rsidRDefault="00FF515D" w:rsidP="00FF515D">
      <w:pPr>
        <w:widowControl w:val="0"/>
        <w:autoSpaceDE w:val="0"/>
        <w:autoSpaceDN w:val="0"/>
        <w:adjustRightInd w:val="0"/>
        <w:spacing w:after="0" w:line="240" w:lineRule="auto"/>
        <w:ind w:left="640" w:hanging="640"/>
        <w:rPr>
          <w:rFonts w:ascii="Arial" w:hAnsi="Arial" w:cs="Arial"/>
          <w:noProof/>
          <w:sz w:val="20"/>
          <w:szCs w:val="20"/>
        </w:rPr>
      </w:pPr>
      <w:r w:rsidRPr="00962FB2">
        <w:rPr>
          <w:rFonts w:ascii="Arial" w:hAnsi="Arial" w:cs="Arial"/>
          <w:noProof/>
          <w:sz w:val="20"/>
          <w:szCs w:val="20"/>
        </w:rPr>
        <w:t xml:space="preserve">21- </w:t>
      </w:r>
      <w:r w:rsidRPr="00962FB2">
        <w:rPr>
          <w:rFonts w:ascii="Arial" w:hAnsi="Arial" w:cs="Arial"/>
          <w:noProof/>
          <w:sz w:val="20"/>
          <w:szCs w:val="20"/>
        </w:rPr>
        <w:tab/>
        <w:t xml:space="preserve">Serena G, Fasano A. Use of Probiotics to Prevent Celiac Disease and IBD in Pediatrics. </w:t>
      </w:r>
      <w:r w:rsidRPr="00962FB2">
        <w:rPr>
          <w:rFonts w:ascii="Arial" w:hAnsi="Arial" w:cs="Arial"/>
          <w:i/>
          <w:iCs/>
          <w:noProof/>
          <w:sz w:val="20"/>
          <w:szCs w:val="20"/>
        </w:rPr>
        <w:t>Adv Exp Med Biol</w:t>
      </w:r>
      <w:r w:rsidRPr="00962FB2">
        <w:rPr>
          <w:rFonts w:ascii="Arial" w:hAnsi="Arial" w:cs="Arial"/>
          <w:noProof/>
          <w:sz w:val="20"/>
          <w:szCs w:val="20"/>
        </w:rPr>
        <w:t xml:space="preserve">. 2019;1125:69-81. </w:t>
      </w:r>
    </w:p>
    <w:p w14:paraId="61AC359A" w14:textId="1B8E7AA8" w:rsidR="00FF515D" w:rsidRPr="00962FB2" w:rsidRDefault="00FF515D" w:rsidP="00FF515D">
      <w:pPr>
        <w:widowControl w:val="0"/>
        <w:autoSpaceDE w:val="0"/>
        <w:autoSpaceDN w:val="0"/>
        <w:adjustRightInd w:val="0"/>
        <w:spacing w:after="0" w:line="240" w:lineRule="auto"/>
        <w:ind w:left="640" w:hanging="640"/>
        <w:rPr>
          <w:rFonts w:ascii="Arial" w:hAnsi="Arial" w:cs="Arial"/>
          <w:noProof/>
          <w:sz w:val="20"/>
          <w:szCs w:val="20"/>
          <w:lang w:val="es-ES"/>
        </w:rPr>
      </w:pPr>
      <w:r w:rsidRPr="00962FB2">
        <w:rPr>
          <w:rFonts w:ascii="Arial" w:hAnsi="Arial" w:cs="Arial"/>
          <w:noProof/>
          <w:sz w:val="20"/>
          <w:szCs w:val="20"/>
        </w:rPr>
        <w:t xml:space="preserve">22- </w:t>
      </w:r>
      <w:r w:rsidRPr="00962FB2">
        <w:rPr>
          <w:rFonts w:ascii="Arial" w:hAnsi="Arial" w:cs="Arial"/>
          <w:noProof/>
          <w:sz w:val="20"/>
          <w:szCs w:val="20"/>
        </w:rPr>
        <w:tab/>
        <w:t xml:space="preserve">Smecuol E, Hwang HJ, Chernavsky AC, et al. 340 Exploratory, Randomized, Double-Blind, Placebo-Controlled Trial on the Effects of Bifidobacterium Infantis in Untreated Celiac Disease. </w:t>
      </w:r>
      <w:r w:rsidRPr="00962FB2">
        <w:rPr>
          <w:rFonts w:ascii="Arial" w:hAnsi="Arial" w:cs="Arial"/>
          <w:i/>
          <w:iCs/>
          <w:noProof/>
          <w:sz w:val="20"/>
          <w:szCs w:val="20"/>
          <w:lang w:val="es-ES"/>
        </w:rPr>
        <w:t>Gastroenterology</w:t>
      </w:r>
      <w:r w:rsidRPr="00962FB2">
        <w:rPr>
          <w:rFonts w:ascii="Arial" w:hAnsi="Arial" w:cs="Arial"/>
          <w:noProof/>
          <w:sz w:val="20"/>
          <w:szCs w:val="20"/>
          <w:lang w:val="es-ES"/>
        </w:rPr>
        <w:t xml:space="preserve">. 2012;142(5):S-79. </w:t>
      </w:r>
    </w:p>
    <w:p w14:paraId="269151B5" w14:textId="38F81121" w:rsidR="00FF515D" w:rsidRPr="00962FB2" w:rsidRDefault="00FF515D" w:rsidP="00FF515D">
      <w:pPr>
        <w:widowControl w:val="0"/>
        <w:autoSpaceDE w:val="0"/>
        <w:autoSpaceDN w:val="0"/>
        <w:adjustRightInd w:val="0"/>
        <w:spacing w:after="0" w:line="240" w:lineRule="auto"/>
        <w:ind w:left="640" w:hanging="640"/>
        <w:rPr>
          <w:rFonts w:ascii="Arial" w:hAnsi="Arial" w:cs="Arial"/>
          <w:noProof/>
          <w:sz w:val="20"/>
          <w:szCs w:val="20"/>
          <w:lang w:val="es-ES"/>
        </w:rPr>
      </w:pPr>
      <w:r w:rsidRPr="00962FB2">
        <w:rPr>
          <w:rFonts w:ascii="Arial" w:hAnsi="Arial" w:cs="Arial"/>
          <w:noProof/>
          <w:sz w:val="20"/>
          <w:szCs w:val="20"/>
          <w:lang w:val="es-ES"/>
        </w:rPr>
        <w:t xml:space="preserve">23- </w:t>
      </w:r>
      <w:r w:rsidRPr="00962FB2">
        <w:rPr>
          <w:rFonts w:ascii="Arial" w:hAnsi="Arial" w:cs="Arial"/>
          <w:noProof/>
          <w:sz w:val="20"/>
          <w:szCs w:val="20"/>
          <w:lang w:val="es-ES"/>
        </w:rPr>
        <w:tab/>
        <w:t xml:space="preserve">Smecuol E, Hwang H, Vázquez H, et al. </w:t>
      </w:r>
      <w:r w:rsidRPr="00962FB2">
        <w:rPr>
          <w:rFonts w:ascii="Arial" w:hAnsi="Arial" w:cs="Arial"/>
          <w:noProof/>
          <w:sz w:val="20"/>
          <w:szCs w:val="20"/>
        </w:rPr>
        <w:t xml:space="preserve">Bifidobacterium infantis NLS super strain reduces expression of alpha-defensin-5, a marker of innate immunity, in the mucosa of untreated celiac patients. </w:t>
      </w:r>
      <w:r w:rsidRPr="00962FB2">
        <w:rPr>
          <w:rFonts w:ascii="Arial" w:hAnsi="Arial" w:cs="Arial"/>
          <w:i/>
          <w:iCs/>
          <w:noProof/>
          <w:sz w:val="20"/>
          <w:szCs w:val="20"/>
          <w:lang w:val="es-ES"/>
        </w:rPr>
        <w:t>Acta Gastroenterológica Latinoam</w:t>
      </w:r>
      <w:r w:rsidRPr="00962FB2">
        <w:rPr>
          <w:rFonts w:ascii="Arial" w:hAnsi="Arial" w:cs="Arial"/>
          <w:noProof/>
          <w:sz w:val="20"/>
          <w:szCs w:val="20"/>
          <w:lang w:val="es-ES"/>
        </w:rPr>
        <w:t>. 2013;43(2):165.</w:t>
      </w:r>
    </w:p>
    <w:p w14:paraId="2FF8416E" w14:textId="44043E59" w:rsidR="00FF515D" w:rsidRPr="00962FB2" w:rsidRDefault="00FF515D" w:rsidP="00FF515D">
      <w:pPr>
        <w:widowControl w:val="0"/>
        <w:autoSpaceDE w:val="0"/>
        <w:autoSpaceDN w:val="0"/>
        <w:adjustRightInd w:val="0"/>
        <w:spacing w:after="0" w:line="240" w:lineRule="auto"/>
        <w:ind w:left="640" w:hanging="640"/>
        <w:rPr>
          <w:rFonts w:ascii="Arial" w:hAnsi="Arial" w:cs="Arial"/>
          <w:noProof/>
          <w:sz w:val="20"/>
          <w:szCs w:val="20"/>
        </w:rPr>
      </w:pPr>
      <w:r w:rsidRPr="00962FB2">
        <w:rPr>
          <w:rFonts w:ascii="Arial" w:hAnsi="Arial" w:cs="Arial"/>
          <w:noProof/>
          <w:sz w:val="20"/>
          <w:szCs w:val="20"/>
          <w:lang w:val="es-ES"/>
        </w:rPr>
        <w:t>24-</w:t>
      </w:r>
      <w:r w:rsidRPr="00962FB2">
        <w:rPr>
          <w:rFonts w:ascii="Arial" w:hAnsi="Arial" w:cs="Arial"/>
          <w:noProof/>
          <w:sz w:val="20"/>
          <w:szCs w:val="20"/>
          <w:lang w:val="es-ES"/>
        </w:rPr>
        <w:tab/>
        <w:t xml:space="preserve">Smecuol E, Pinto-Sánchez MI, Bai JC. </w:t>
      </w:r>
      <w:r w:rsidRPr="00962FB2">
        <w:rPr>
          <w:rFonts w:ascii="Arial" w:hAnsi="Arial" w:cs="Arial"/>
          <w:noProof/>
          <w:sz w:val="20"/>
          <w:szCs w:val="20"/>
        </w:rPr>
        <w:t xml:space="preserve">Understanding the role of probiotics in coeliac disease. </w:t>
      </w:r>
      <w:r w:rsidRPr="00962FB2">
        <w:rPr>
          <w:rFonts w:ascii="Arial" w:hAnsi="Arial" w:cs="Arial"/>
          <w:i/>
          <w:iCs/>
          <w:noProof/>
          <w:sz w:val="20"/>
          <w:szCs w:val="20"/>
        </w:rPr>
        <w:t>Br J Nutr</w:t>
      </w:r>
      <w:r w:rsidRPr="00962FB2">
        <w:rPr>
          <w:rFonts w:ascii="Arial" w:hAnsi="Arial" w:cs="Arial"/>
          <w:noProof/>
          <w:sz w:val="20"/>
          <w:szCs w:val="20"/>
        </w:rPr>
        <w:t xml:space="preserve">. 2015;113(10):1664-1665. </w:t>
      </w:r>
    </w:p>
    <w:p w14:paraId="61F2E709" w14:textId="71D8A276" w:rsidR="00FF515D" w:rsidRPr="00962FB2" w:rsidRDefault="00FF515D" w:rsidP="00FF515D">
      <w:pPr>
        <w:widowControl w:val="0"/>
        <w:autoSpaceDE w:val="0"/>
        <w:autoSpaceDN w:val="0"/>
        <w:adjustRightInd w:val="0"/>
        <w:spacing w:after="0" w:line="240" w:lineRule="auto"/>
        <w:ind w:left="640" w:hanging="640"/>
        <w:rPr>
          <w:rFonts w:ascii="Arial" w:hAnsi="Arial" w:cs="Arial"/>
          <w:noProof/>
          <w:sz w:val="20"/>
          <w:szCs w:val="20"/>
        </w:rPr>
      </w:pPr>
      <w:r w:rsidRPr="00962FB2">
        <w:rPr>
          <w:rFonts w:ascii="Arial" w:hAnsi="Arial" w:cs="Arial"/>
          <w:noProof/>
          <w:sz w:val="20"/>
          <w:szCs w:val="20"/>
        </w:rPr>
        <w:t xml:space="preserve">25- </w:t>
      </w:r>
      <w:r w:rsidRPr="00962FB2">
        <w:rPr>
          <w:rFonts w:ascii="Arial" w:hAnsi="Arial" w:cs="Arial"/>
          <w:noProof/>
          <w:sz w:val="20"/>
          <w:szCs w:val="20"/>
        </w:rPr>
        <w:tab/>
        <w:t xml:space="preserve">Tavakkoli A, Green PH. Probiotic therapy for celiac disease. </w:t>
      </w:r>
      <w:r w:rsidRPr="00962FB2">
        <w:rPr>
          <w:rFonts w:ascii="Arial" w:hAnsi="Arial" w:cs="Arial"/>
          <w:i/>
          <w:iCs/>
          <w:noProof/>
          <w:sz w:val="20"/>
          <w:szCs w:val="20"/>
        </w:rPr>
        <w:t>J Clin Gastroenterol</w:t>
      </w:r>
      <w:r w:rsidRPr="00962FB2">
        <w:rPr>
          <w:rFonts w:ascii="Arial" w:hAnsi="Arial" w:cs="Arial"/>
          <w:noProof/>
          <w:sz w:val="20"/>
          <w:szCs w:val="20"/>
        </w:rPr>
        <w:t xml:space="preserve">. 2013;47(2):101-103. </w:t>
      </w:r>
    </w:p>
    <w:p w14:paraId="3E962873" w14:textId="33F74841" w:rsidR="00FF515D" w:rsidRPr="00962FB2" w:rsidRDefault="00FF515D" w:rsidP="00FF515D">
      <w:pPr>
        <w:widowControl w:val="0"/>
        <w:autoSpaceDE w:val="0"/>
        <w:autoSpaceDN w:val="0"/>
        <w:adjustRightInd w:val="0"/>
        <w:spacing w:after="0" w:line="240" w:lineRule="auto"/>
        <w:ind w:left="640" w:hanging="640"/>
        <w:rPr>
          <w:rFonts w:ascii="Arial" w:hAnsi="Arial" w:cs="Arial"/>
          <w:noProof/>
          <w:sz w:val="20"/>
          <w:szCs w:val="20"/>
        </w:rPr>
      </w:pPr>
      <w:r w:rsidRPr="00962FB2">
        <w:rPr>
          <w:rFonts w:ascii="Arial" w:hAnsi="Arial" w:cs="Arial"/>
          <w:noProof/>
          <w:sz w:val="20"/>
          <w:szCs w:val="20"/>
        </w:rPr>
        <w:t xml:space="preserve">26- </w:t>
      </w:r>
      <w:r w:rsidRPr="00962FB2">
        <w:rPr>
          <w:rFonts w:ascii="Arial" w:hAnsi="Arial" w:cs="Arial"/>
          <w:noProof/>
          <w:sz w:val="20"/>
          <w:szCs w:val="20"/>
        </w:rPr>
        <w:tab/>
        <w:t xml:space="preserve">Tjellström B, Högberg L, Stenhammar L, et al. A Role for Bacteria in Celiac Disease? </w:t>
      </w:r>
      <w:r w:rsidRPr="00962FB2">
        <w:rPr>
          <w:rFonts w:ascii="Arial" w:hAnsi="Arial" w:cs="Arial"/>
          <w:i/>
          <w:iCs/>
          <w:noProof/>
          <w:sz w:val="20"/>
          <w:szCs w:val="20"/>
        </w:rPr>
        <w:t>Dig Dis Sci</w:t>
      </w:r>
      <w:r w:rsidRPr="00962FB2">
        <w:rPr>
          <w:rFonts w:ascii="Arial" w:hAnsi="Arial" w:cs="Arial"/>
          <w:noProof/>
          <w:sz w:val="20"/>
          <w:szCs w:val="20"/>
        </w:rPr>
        <w:t xml:space="preserve">. 2016;61(7):2140-2141. </w:t>
      </w:r>
    </w:p>
    <w:p w14:paraId="219A9800" w14:textId="51F34845" w:rsidR="00FF515D" w:rsidRPr="00962FB2" w:rsidRDefault="00FF515D" w:rsidP="00FF515D">
      <w:pPr>
        <w:widowControl w:val="0"/>
        <w:autoSpaceDE w:val="0"/>
        <w:autoSpaceDN w:val="0"/>
        <w:adjustRightInd w:val="0"/>
        <w:spacing w:after="0" w:line="240" w:lineRule="auto"/>
        <w:ind w:left="640" w:hanging="640"/>
        <w:rPr>
          <w:rFonts w:ascii="Arial" w:hAnsi="Arial" w:cs="Arial"/>
          <w:noProof/>
          <w:sz w:val="20"/>
          <w:szCs w:val="20"/>
        </w:rPr>
      </w:pPr>
      <w:r w:rsidRPr="00962FB2">
        <w:rPr>
          <w:rFonts w:ascii="Arial" w:hAnsi="Arial" w:cs="Arial"/>
          <w:noProof/>
          <w:sz w:val="20"/>
          <w:szCs w:val="20"/>
        </w:rPr>
        <w:t>27-</w:t>
      </w:r>
      <w:r w:rsidRPr="00962FB2">
        <w:rPr>
          <w:rFonts w:ascii="Arial" w:hAnsi="Arial" w:cs="Arial"/>
          <w:noProof/>
          <w:sz w:val="20"/>
          <w:szCs w:val="20"/>
        </w:rPr>
        <w:tab/>
        <w:t xml:space="preserve">Uspenskaia ID. The efficacy of the use of lactic acid lactobacterin enriched with zinc in the treatment of patients with celiac disease. </w:t>
      </w:r>
      <w:r w:rsidRPr="00962FB2">
        <w:rPr>
          <w:rFonts w:ascii="Arial" w:hAnsi="Arial" w:cs="Arial"/>
          <w:i/>
          <w:iCs/>
          <w:noProof/>
          <w:sz w:val="20"/>
          <w:szCs w:val="20"/>
        </w:rPr>
        <w:t>Vopr Pitan</w:t>
      </w:r>
      <w:r w:rsidRPr="00962FB2">
        <w:rPr>
          <w:rFonts w:ascii="Arial" w:hAnsi="Arial" w:cs="Arial"/>
          <w:noProof/>
          <w:sz w:val="20"/>
          <w:szCs w:val="20"/>
        </w:rPr>
        <w:t>. 1991;(4):24-27. http://www.ncbi.nlm.nih.gov/pubmed/1792743.</w:t>
      </w:r>
    </w:p>
    <w:p w14:paraId="42C5F1C5" w14:textId="309BA501" w:rsidR="00FF515D" w:rsidRPr="00962FB2" w:rsidRDefault="00FF515D" w:rsidP="00FF515D">
      <w:pPr>
        <w:widowControl w:val="0"/>
        <w:autoSpaceDE w:val="0"/>
        <w:autoSpaceDN w:val="0"/>
        <w:adjustRightInd w:val="0"/>
        <w:spacing w:after="0" w:line="240" w:lineRule="auto"/>
        <w:ind w:left="640" w:hanging="640"/>
        <w:rPr>
          <w:rFonts w:ascii="Arial" w:hAnsi="Arial" w:cs="Arial"/>
          <w:noProof/>
          <w:sz w:val="20"/>
          <w:szCs w:val="20"/>
        </w:rPr>
      </w:pPr>
      <w:r w:rsidRPr="00962FB2">
        <w:rPr>
          <w:rFonts w:ascii="Arial" w:hAnsi="Arial" w:cs="Arial"/>
          <w:noProof/>
          <w:sz w:val="20"/>
          <w:szCs w:val="20"/>
        </w:rPr>
        <w:t xml:space="preserve">28- </w:t>
      </w:r>
      <w:r w:rsidRPr="00962FB2">
        <w:rPr>
          <w:rFonts w:ascii="Arial" w:hAnsi="Arial" w:cs="Arial"/>
          <w:noProof/>
          <w:sz w:val="20"/>
          <w:szCs w:val="20"/>
        </w:rPr>
        <w:tab/>
        <w:t xml:space="preserve">Wilms E, Gerritsen J, Smidt H, et al. Effects of Supplementation of the Synbiotic Ecologic® 825/FOS P6 on Intestinal Barrier Function in Healthy Humans: A Randomized Controlled Trial. </w:t>
      </w:r>
      <w:r w:rsidRPr="00962FB2">
        <w:rPr>
          <w:rFonts w:ascii="Arial" w:hAnsi="Arial" w:cs="Arial"/>
          <w:i/>
          <w:iCs/>
          <w:noProof/>
          <w:sz w:val="20"/>
          <w:szCs w:val="20"/>
        </w:rPr>
        <w:t>PLoS One</w:t>
      </w:r>
      <w:r w:rsidRPr="00962FB2">
        <w:rPr>
          <w:rFonts w:ascii="Arial" w:hAnsi="Arial" w:cs="Arial"/>
          <w:noProof/>
          <w:sz w:val="20"/>
          <w:szCs w:val="20"/>
        </w:rPr>
        <w:t xml:space="preserve">. 2016;11(12):e0167775. </w:t>
      </w:r>
    </w:p>
    <w:p w14:paraId="3FB78914" w14:textId="3ED8EE21" w:rsidR="00FF515D" w:rsidRPr="007D7059" w:rsidRDefault="00FF515D" w:rsidP="00FF515D">
      <w:pPr>
        <w:widowControl w:val="0"/>
        <w:autoSpaceDE w:val="0"/>
        <w:autoSpaceDN w:val="0"/>
        <w:adjustRightInd w:val="0"/>
        <w:spacing w:after="0" w:line="240" w:lineRule="auto"/>
        <w:ind w:left="640" w:hanging="640"/>
        <w:rPr>
          <w:rFonts w:ascii="Arial" w:hAnsi="Arial" w:cs="Arial"/>
          <w:noProof/>
        </w:rPr>
      </w:pPr>
      <w:r w:rsidRPr="00962FB2">
        <w:rPr>
          <w:rFonts w:ascii="Arial" w:hAnsi="Arial" w:cs="Arial"/>
          <w:sz w:val="20"/>
          <w:szCs w:val="20"/>
        </w:rPr>
        <w:fldChar w:fldCharType="end"/>
      </w:r>
    </w:p>
    <w:p w14:paraId="2B88FE73" w14:textId="77777777" w:rsidR="002A779F" w:rsidRDefault="002A779F">
      <w:pPr>
        <w:rPr>
          <w:rFonts w:ascii="Arial" w:hAnsi="Arial" w:cs="Arial"/>
          <w:b/>
          <w:bCs/>
        </w:rPr>
      </w:pPr>
      <w:r>
        <w:rPr>
          <w:rFonts w:ascii="Arial" w:hAnsi="Arial" w:cs="Arial"/>
          <w:b/>
          <w:bCs/>
        </w:rPr>
        <w:br w:type="page"/>
      </w:r>
    </w:p>
    <w:p w14:paraId="78EFEACE" w14:textId="4B317324" w:rsidR="00D76DF6" w:rsidRPr="00962FB2" w:rsidRDefault="00E66676" w:rsidP="00D76DF6">
      <w:pPr>
        <w:rPr>
          <w:rFonts w:ascii="Arial" w:hAnsi="Arial" w:cs="Arial"/>
          <w:b/>
          <w:bCs/>
        </w:rPr>
      </w:pPr>
      <w:r w:rsidRPr="00962FB2">
        <w:rPr>
          <w:rFonts w:ascii="Arial" w:hAnsi="Arial" w:cs="Arial"/>
          <w:b/>
          <w:bCs/>
        </w:rPr>
        <w:lastRenderedPageBreak/>
        <w:t xml:space="preserve">Appendix </w:t>
      </w:r>
      <w:r w:rsidR="00D76DF6" w:rsidRPr="00962FB2">
        <w:rPr>
          <w:rFonts w:ascii="Arial" w:hAnsi="Arial" w:cs="Arial"/>
          <w:b/>
          <w:bCs/>
        </w:rPr>
        <w:t xml:space="preserve">3. Summary of </w:t>
      </w:r>
      <w:r w:rsidR="00874DC4">
        <w:rPr>
          <w:rFonts w:ascii="Arial" w:hAnsi="Arial" w:cs="Arial"/>
          <w:b/>
          <w:bCs/>
        </w:rPr>
        <w:t>s</w:t>
      </w:r>
      <w:r w:rsidR="00D76DF6" w:rsidRPr="00962FB2">
        <w:rPr>
          <w:rFonts w:ascii="Arial" w:hAnsi="Arial" w:cs="Arial"/>
          <w:b/>
          <w:bCs/>
        </w:rPr>
        <w:t xml:space="preserve">tudies </w:t>
      </w:r>
      <w:r w:rsidR="00874DC4">
        <w:rPr>
          <w:rFonts w:ascii="Arial" w:hAnsi="Arial" w:cs="Arial"/>
          <w:b/>
          <w:bCs/>
        </w:rPr>
        <w:t>e</w:t>
      </w:r>
      <w:r w:rsidR="00D76DF6" w:rsidRPr="00962FB2">
        <w:rPr>
          <w:rFonts w:ascii="Arial" w:hAnsi="Arial" w:cs="Arial"/>
          <w:b/>
          <w:bCs/>
        </w:rPr>
        <w:t xml:space="preserve">valuating the </w:t>
      </w:r>
      <w:r w:rsidR="00874DC4">
        <w:rPr>
          <w:rFonts w:ascii="Arial" w:hAnsi="Arial" w:cs="Arial"/>
          <w:b/>
          <w:bCs/>
        </w:rPr>
        <w:t>e</w:t>
      </w:r>
      <w:r w:rsidR="00D76DF6" w:rsidRPr="00962FB2">
        <w:rPr>
          <w:rFonts w:ascii="Arial" w:hAnsi="Arial" w:cs="Arial"/>
          <w:b/>
          <w:bCs/>
        </w:rPr>
        <w:t>ffect</w:t>
      </w:r>
      <w:r w:rsidR="00551D35" w:rsidRPr="00962FB2">
        <w:rPr>
          <w:rFonts w:ascii="Arial" w:hAnsi="Arial" w:cs="Arial"/>
          <w:b/>
          <w:bCs/>
        </w:rPr>
        <w:t>s</w:t>
      </w:r>
      <w:r w:rsidR="00D76DF6" w:rsidRPr="00962FB2">
        <w:rPr>
          <w:rFonts w:ascii="Arial" w:hAnsi="Arial" w:cs="Arial"/>
          <w:b/>
          <w:bCs/>
        </w:rPr>
        <w:t xml:space="preserve"> of </w:t>
      </w:r>
      <w:r w:rsidR="00874DC4">
        <w:rPr>
          <w:rFonts w:ascii="Arial" w:hAnsi="Arial" w:cs="Arial"/>
          <w:b/>
          <w:bCs/>
        </w:rPr>
        <w:t>p</w:t>
      </w:r>
      <w:r w:rsidR="00D76DF6" w:rsidRPr="00962FB2">
        <w:rPr>
          <w:rFonts w:ascii="Arial" w:hAnsi="Arial" w:cs="Arial"/>
          <w:b/>
          <w:bCs/>
        </w:rPr>
        <w:t>robiotics in CD</w:t>
      </w:r>
      <w:r w:rsidR="002A779F">
        <w:rPr>
          <w:rFonts w:ascii="Arial" w:hAnsi="Arial" w:cs="Arial"/>
          <w:b/>
          <w:bCs/>
        </w:rPr>
        <w:t>.</w:t>
      </w:r>
    </w:p>
    <w:tbl>
      <w:tblPr>
        <w:tblStyle w:val="TableGrid"/>
        <w:tblW w:w="0" w:type="auto"/>
        <w:tblLook w:val="04A0" w:firstRow="1" w:lastRow="0" w:firstColumn="1" w:lastColumn="0" w:noHBand="0" w:noVBand="1"/>
      </w:tblPr>
      <w:tblGrid>
        <w:gridCol w:w="1351"/>
        <w:gridCol w:w="617"/>
        <w:gridCol w:w="987"/>
        <w:gridCol w:w="907"/>
        <w:gridCol w:w="517"/>
        <w:gridCol w:w="867"/>
        <w:gridCol w:w="578"/>
        <w:gridCol w:w="750"/>
        <w:gridCol w:w="967"/>
        <w:gridCol w:w="789"/>
        <w:gridCol w:w="534"/>
        <w:gridCol w:w="667"/>
        <w:gridCol w:w="657"/>
      </w:tblGrid>
      <w:tr w:rsidR="00E47FFD" w:rsidRPr="004F1045" w14:paraId="6B08404D" w14:textId="77777777" w:rsidTr="004E1C9A">
        <w:tc>
          <w:tcPr>
            <w:tcW w:w="0" w:type="auto"/>
            <w:vMerge w:val="restart"/>
            <w:shd w:val="clear" w:color="auto" w:fill="D9D9D9" w:themeFill="background1" w:themeFillShade="D9"/>
          </w:tcPr>
          <w:p w14:paraId="270FE144" w14:textId="77777777" w:rsidR="00D76DF6" w:rsidRPr="004F1045" w:rsidRDefault="00D76DF6" w:rsidP="004E1C9A">
            <w:pPr>
              <w:jc w:val="center"/>
              <w:rPr>
                <w:rFonts w:ascii="Arial" w:hAnsi="Arial" w:cs="Arial"/>
                <w:sz w:val="18"/>
                <w:szCs w:val="18"/>
              </w:rPr>
            </w:pPr>
            <w:r w:rsidRPr="004F1045">
              <w:rPr>
                <w:rFonts w:ascii="Arial" w:hAnsi="Arial" w:cs="Arial"/>
                <w:sz w:val="18"/>
                <w:szCs w:val="18"/>
              </w:rPr>
              <w:t>Study</w:t>
            </w:r>
          </w:p>
        </w:tc>
        <w:tc>
          <w:tcPr>
            <w:tcW w:w="0" w:type="auto"/>
            <w:vMerge w:val="restart"/>
            <w:shd w:val="clear" w:color="auto" w:fill="D9D9D9" w:themeFill="background1" w:themeFillShade="D9"/>
          </w:tcPr>
          <w:p w14:paraId="2741AE12" w14:textId="77777777" w:rsidR="00D76DF6" w:rsidRPr="004F1045" w:rsidRDefault="00D76DF6" w:rsidP="004E1C9A">
            <w:pPr>
              <w:jc w:val="center"/>
              <w:rPr>
                <w:rFonts w:ascii="Arial" w:hAnsi="Arial" w:cs="Arial"/>
                <w:sz w:val="18"/>
                <w:szCs w:val="18"/>
              </w:rPr>
            </w:pPr>
            <w:r w:rsidRPr="004F1045">
              <w:rPr>
                <w:rFonts w:ascii="Arial" w:hAnsi="Arial" w:cs="Arial"/>
                <w:sz w:val="18"/>
                <w:szCs w:val="18"/>
              </w:rPr>
              <w:t>Year</w:t>
            </w:r>
          </w:p>
        </w:tc>
        <w:tc>
          <w:tcPr>
            <w:tcW w:w="0" w:type="auto"/>
            <w:vMerge w:val="restart"/>
            <w:shd w:val="clear" w:color="auto" w:fill="D9D9D9" w:themeFill="background1" w:themeFillShade="D9"/>
          </w:tcPr>
          <w:p w14:paraId="1DBF9D24" w14:textId="77777777" w:rsidR="00D76DF6" w:rsidRPr="004F1045" w:rsidRDefault="00D76DF6" w:rsidP="004E1C9A">
            <w:pPr>
              <w:jc w:val="center"/>
              <w:rPr>
                <w:rFonts w:ascii="Arial" w:hAnsi="Arial" w:cs="Arial"/>
                <w:sz w:val="18"/>
                <w:szCs w:val="18"/>
              </w:rPr>
            </w:pPr>
            <w:r w:rsidRPr="004F1045">
              <w:rPr>
                <w:rFonts w:ascii="Arial" w:hAnsi="Arial" w:cs="Arial"/>
                <w:sz w:val="18"/>
                <w:szCs w:val="18"/>
              </w:rPr>
              <w:t>Country</w:t>
            </w:r>
          </w:p>
        </w:tc>
        <w:tc>
          <w:tcPr>
            <w:tcW w:w="0" w:type="auto"/>
            <w:vMerge w:val="restart"/>
            <w:shd w:val="clear" w:color="auto" w:fill="D9D9D9" w:themeFill="background1" w:themeFillShade="D9"/>
          </w:tcPr>
          <w:p w14:paraId="5AFC352F" w14:textId="77777777" w:rsidR="00D76DF6" w:rsidRPr="004F1045" w:rsidRDefault="00D76DF6" w:rsidP="004E1C9A">
            <w:pPr>
              <w:jc w:val="center"/>
              <w:rPr>
                <w:rFonts w:ascii="Arial" w:hAnsi="Arial" w:cs="Arial"/>
                <w:sz w:val="18"/>
                <w:szCs w:val="18"/>
              </w:rPr>
            </w:pPr>
            <w:r w:rsidRPr="004F1045">
              <w:rPr>
                <w:rFonts w:ascii="Arial" w:hAnsi="Arial" w:cs="Arial"/>
                <w:sz w:val="18"/>
                <w:szCs w:val="18"/>
              </w:rPr>
              <w:t>Age category</w:t>
            </w:r>
          </w:p>
        </w:tc>
        <w:tc>
          <w:tcPr>
            <w:tcW w:w="0" w:type="auto"/>
            <w:vMerge w:val="restart"/>
            <w:shd w:val="clear" w:color="auto" w:fill="D9D9D9" w:themeFill="background1" w:themeFillShade="D9"/>
          </w:tcPr>
          <w:p w14:paraId="18913461" w14:textId="77777777" w:rsidR="00D76DF6" w:rsidRPr="004F1045" w:rsidRDefault="00D76DF6" w:rsidP="004E1C9A">
            <w:pPr>
              <w:jc w:val="center"/>
              <w:rPr>
                <w:rFonts w:ascii="Arial" w:hAnsi="Arial" w:cs="Arial"/>
                <w:sz w:val="18"/>
                <w:szCs w:val="18"/>
              </w:rPr>
            </w:pPr>
            <w:r w:rsidRPr="004F1045">
              <w:rPr>
                <w:rFonts w:ascii="Arial" w:hAnsi="Arial" w:cs="Arial"/>
                <w:sz w:val="18"/>
                <w:szCs w:val="18"/>
              </w:rPr>
              <w:t>N</w:t>
            </w:r>
          </w:p>
        </w:tc>
        <w:tc>
          <w:tcPr>
            <w:tcW w:w="0" w:type="auto"/>
            <w:vMerge w:val="restart"/>
            <w:shd w:val="clear" w:color="auto" w:fill="D9D9D9" w:themeFill="background1" w:themeFillShade="D9"/>
          </w:tcPr>
          <w:p w14:paraId="15931AB9" w14:textId="77777777" w:rsidR="00D76DF6" w:rsidRPr="004F1045" w:rsidRDefault="00D76DF6" w:rsidP="004E1C9A">
            <w:pPr>
              <w:jc w:val="center"/>
              <w:rPr>
                <w:rFonts w:ascii="Arial" w:hAnsi="Arial" w:cs="Arial"/>
                <w:sz w:val="18"/>
                <w:szCs w:val="18"/>
              </w:rPr>
            </w:pPr>
            <w:r>
              <w:rPr>
                <w:rFonts w:ascii="Arial" w:hAnsi="Arial" w:cs="Arial"/>
                <w:sz w:val="18"/>
                <w:szCs w:val="18"/>
              </w:rPr>
              <w:t>Funding</w:t>
            </w:r>
          </w:p>
        </w:tc>
        <w:tc>
          <w:tcPr>
            <w:tcW w:w="0" w:type="auto"/>
            <w:gridSpan w:val="7"/>
            <w:shd w:val="clear" w:color="auto" w:fill="D9D9D9" w:themeFill="background1" w:themeFillShade="D9"/>
          </w:tcPr>
          <w:p w14:paraId="4774E880" w14:textId="77777777" w:rsidR="00D76DF6" w:rsidRPr="004F1045" w:rsidRDefault="00D76DF6" w:rsidP="004E1C9A">
            <w:pPr>
              <w:jc w:val="center"/>
              <w:rPr>
                <w:rFonts w:ascii="Arial" w:hAnsi="Arial" w:cs="Arial"/>
                <w:sz w:val="18"/>
                <w:szCs w:val="18"/>
              </w:rPr>
            </w:pPr>
            <w:r w:rsidRPr="004F1045">
              <w:rPr>
                <w:rFonts w:ascii="Arial" w:hAnsi="Arial" w:cs="Arial"/>
                <w:sz w:val="18"/>
                <w:szCs w:val="18"/>
              </w:rPr>
              <w:t>Outcomes</w:t>
            </w:r>
          </w:p>
        </w:tc>
      </w:tr>
      <w:tr w:rsidR="001723FA" w:rsidRPr="004F1045" w14:paraId="0266DE80" w14:textId="77777777" w:rsidTr="00253BAF">
        <w:tc>
          <w:tcPr>
            <w:tcW w:w="0" w:type="auto"/>
            <w:vMerge/>
            <w:shd w:val="clear" w:color="auto" w:fill="D9D9D9" w:themeFill="background1" w:themeFillShade="D9"/>
          </w:tcPr>
          <w:p w14:paraId="3697C6F4" w14:textId="77777777" w:rsidR="00D76DF6" w:rsidRPr="004F1045" w:rsidRDefault="00D76DF6" w:rsidP="004E1C9A">
            <w:pPr>
              <w:jc w:val="center"/>
              <w:rPr>
                <w:rFonts w:ascii="Arial" w:hAnsi="Arial" w:cs="Arial"/>
                <w:sz w:val="18"/>
                <w:szCs w:val="18"/>
              </w:rPr>
            </w:pPr>
          </w:p>
        </w:tc>
        <w:tc>
          <w:tcPr>
            <w:tcW w:w="0" w:type="auto"/>
            <w:vMerge/>
            <w:shd w:val="clear" w:color="auto" w:fill="D9D9D9" w:themeFill="background1" w:themeFillShade="D9"/>
          </w:tcPr>
          <w:p w14:paraId="77B85794" w14:textId="77777777" w:rsidR="00D76DF6" w:rsidRPr="004F1045" w:rsidRDefault="00D76DF6" w:rsidP="004E1C9A">
            <w:pPr>
              <w:jc w:val="center"/>
              <w:rPr>
                <w:rFonts w:ascii="Arial" w:hAnsi="Arial" w:cs="Arial"/>
                <w:sz w:val="18"/>
                <w:szCs w:val="18"/>
              </w:rPr>
            </w:pPr>
          </w:p>
        </w:tc>
        <w:tc>
          <w:tcPr>
            <w:tcW w:w="0" w:type="auto"/>
            <w:vMerge/>
            <w:shd w:val="clear" w:color="auto" w:fill="D9D9D9" w:themeFill="background1" w:themeFillShade="D9"/>
          </w:tcPr>
          <w:p w14:paraId="7604B9E8" w14:textId="77777777" w:rsidR="00D76DF6" w:rsidRPr="004F1045" w:rsidRDefault="00D76DF6" w:rsidP="004E1C9A">
            <w:pPr>
              <w:jc w:val="center"/>
              <w:rPr>
                <w:rFonts w:ascii="Arial" w:hAnsi="Arial" w:cs="Arial"/>
                <w:sz w:val="18"/>
                <w:szCs w:val="18"/>
              </w:rPr>
            </w:pPr>
          </w:p>
        </w:tc>
        <w:tc>
          <w:tcPr>
            <w:tcW w:w="0" w:type="auto"/>
            <w:vMerge/>
            <w:shd w:val="clear" w:color="auto" w:fill="D9D9D9" w:themeFill="background1" w:themeFillShade="D9"/>
          </w:tcPr>
          <w:p w14:paraId="2E5CDDE9" w14:textId="77777777" w:rsidR="00D76DF6" w:rsidRPr="004F1045" w:rsidRDefault="00D76DF6" w:rsidP="004E1C9A">
            <w:pPr>
              <w:jc w:val="center"/>
              <w:rPr>
                <w:rFonts w:ascii="Arial" w:hAnsi="Arial" w:cs="Arial"/>
                <w:sz w:val="18"/>
                <w:szCs w:val="18"/>
              </w:rPr>
            </w:pPr>
          </w:p>
        </w:tc>
        <w:tc>
          <w:tcPr>
            <w:tcW w:w="0" w:type="auto"/>
            <w:vMerge/>
            <w:shd w:val="clear" w:color="auto" w:fill="D9D9D9" w:themeFill="background1" w:themeFillShade="D9"/>
          </w:tcPr>
          <w:p w14:paraId="3BBA0B63" w14:textId="77777777" w:rsidR="00D76DF6" w:rsidRPr="004F1045" w:rsidRDefault="00D76DF6" w:rsidP="004E1C9A">
            <w:pPr>
              <w:jc w:val="center"/>
              <w:rPr>
                <w:rFonts w:ascii="Arial" w:hAnsi="Arial" w:cs="Arial"/>
                <w:sz w:val="18"/>
                <w:szCs w:val="18"/>
              </w:rPr>
            </w:pPr>
          </w:p>
        </w:tc>
        <w:tc>
          <w:tcPr>
            <w:tcW w:w="0" w:type="auto"/>
            <w:vMerge/>
            <w:shd w:val="clear" w:color="auto" w:fill="D9D9D9" w:themeFill="background1" w:themeFillShade="D9"/>
          </w:tcPr>
          <w:p w14:paraId="6B53A356" w14:textId="77777777" w:rsidR="00D76DF6" w:rsidRPr="004F1045" w:rsidRDefault="00D76DF6" w:rsidP="004E1C9A">
            <w:pPr>
              <w:jc w:val="center"/>
              <w:rPr>
                <w:rFonts w:ascii="Arial" w:hAnsi="Arial" w:cs="Arial"/>
                <w:sz w:val="18"/>
                <w:szCs w:val="18"/>
              </w:rPr>
            </w:pPr>
          </w:p>
        </w:tc>
        <w:tc>
          <w:tcPr>
            <w:tcW w:w="578" w:type="dxa"/>
            <w:shd w:val="clear" w:color="auto" w:fill="D9D9D9" w:themeFill="background1" w:themeFillShade="D9"/>
          </w:tcPr>
          <w:p w14:paraId="02AE1A4C" w14:textId="77777777" w:rsidR="00D76DF6" w:rsidRPr="004F1045" w:rsidRDefault="00D76DF6" w:rsidP="004E1C9A">
            <w:pPr>
              <w:jc w:val="center"/>
              <w:rPr>
                <w:rFonts w:ascii="Arial" w:hAnsi="Arial" w:cs="Arial"/>
                <w:sz w:val="18"/>
                <w:szCs w:val="18"/>
              </w:rPr>
            </w:pPr>
            <w:r w:rsidRPr="004F1045">
              <w:rPr>
                <w:rFonts w:ascii="Arial" w:hAnsi="Arial" w:cs="Arial"/>
                <w:sz w:val="18"/>
                <w:szCs w:val="18"/>
              </w:rPr>
              <w:t>GI</w:t>
            </w:r>
          </w:p>
        </w:tc>
        <w:tc>
          <w:tcPr>
            <w:tcW w:w="750" w:type="dxa"/>
            <w:shd w:val="clear" w:color="auto" w:fill="D9D9D9" w:themeFill="background1" w:themeFillShade="D9"/>
          </w:tcPr>
          <w:p w14:paraId="6C33996B" w14:textId="77777777" w:rsidR="00D76DF6" w:rsidRPr="004F1045" w:rsidRDefault="00D76DF6" w:rsidP="004E1C9A">
            <w:pPr>
              <w:jc w:val="center"/>
              <w:rPr>
                <w:rFonts w:ascii="Arial" w:hAnsi="Arial" w:cs="Arial"/>
                <w:sz w:val="18"/>
                <w:szCs w:val="18"/>
              </w:rPr>
            </w:pPr>
            <w:r w:rsidRPr="004F1045">
              <w:rPr>
                <w:rFonts w:ascii="Arial" w:hAnsi="Arial" w:cs="Arial"/>
                <w:sz w:val="18"/>
                <w:szCs w:val="18"/>
              </w:rPr>
              <w:t>Q</w:t>
            </w:r>
            <w:r>
              <w:rPr>
                <w:rFonts w:ascii="Arial" w:hAnsi="Arial" w:cs="Arial"/>
                <w:sz w:val="18"/>
                <w:szCs w:val="18"/>
              </w:rPr>
              <w:t>O</w:t>
            </w:r>
            <w:r w:rsidRPr="004F1045">
              <w:rPr>
                <w:rFonts w:ascii="Arial" w:hAnsi="Arial" w:cs="Arial"/>
                <w:sz w:val="18"/>
                <w:szCs w:val="18"/>
              </w:rPr>
              <w:t>L</w:t>
            </w:r>
          </w:p>
        </w:tc>
        <w:tc>
          <w:tcPr>
            <w:tcW w:w="967" w:type="dxa"/>
            <w:shd w:val="clear" w:color="auto" w:fill="D9D9D9" w:themeFill="background1" w:themeFillShade="D9"/>
          </w:tcPr>
          <w:p w14:paraId="1291867A" w14:textId="5DB2B4A3" w:rsidR="00D76DF6" w:rsidRPr="004F1045" w:rsidRDefault="00086B42" w:rsidP="004E1C9A">
            <w:pPr>
              <w:jc w:val="center"/>
              <w:rPr>
                <w:rFonts w:ascii="Arial" w:hAnsi="Arial" w:cs="Arial"/>
                <w:sz w:val="18"/>
                <w:szCs w:val="18"/>
              </w:rPr>
            </w:pPr>
            <w:r>
              <w:rPr>
                <w:rFonts w:ascii="Arial" w:hAnsi="Arial" w:cs="Arial"/>
                <w:sz w:val="18"/>
                <w:szCs w:val="18"/>
              </w:rPr>
              <w:t>AE</w:t>
            </w:r>
          </w:p>
        </w:tc>
        <w:tc>
          <w:tcPr>
            <w:tcW w:w="789" w:type="dxa"/>
            <w:shd w:val="clear" w:color="auto" w:fill="D9D9D9" w:themeFill="background1" w:themeFillShade="D9"/>
          </w:tcPr>
          <w:p w14:paraId="73E0B063" w14:textId="77777777" w:rsidR="00D76DF6" w:rsidRPr="004F1045" w:rsidRDefault="00D76DF6" w:rsidP="004E1C9A">
            <w:pPr>
              <w:jc w:val="center"/>
              <w:rPr>
                <w:rFonts w:ascii="Arial" w:hAnsi="Arial" w:cs="Arial"/>
                <w:sz w:val="18"/>
                <w:szCs w:val="18"/>
              </w:rPr>
            </w:pPr>
            <w:r w:rsidRPr="004F1045">
              <w:rPr>
                <w:rFonts w:ascii="Arial" w:hAnsi="Arial" w:cs="Arial"/>
                <w:sz w:val="18"/>
                <w:szCs w:val="18"/>
              </w:rPr>
              <w:t>TNF-</w:t>
            </w:r>
            <w:r>
              <w:rPr>
                <w:rFonts w:ascii="Arial" w:hAnsi="Arial" w:cs="Arial"/>
                <w:sz w:val="18"/>
                <w:szCs w:val="18"/>
              </w:rPr>
              <w:t>α</w:t>
            </w:r>
          </w:p>
        </w:tc>
        <w:tc>
          <w:tcPr>
            <w:tcW w:w="534" w:type="dxa"/>
            <w:shd w:val="clear" w:color="auto" w:fill="D9D9D9" w:themeFill="background1" w:themeFillShade="D9"/>
          </w:tcPr>
          <w:p w14:paraId="0DDBBD67" w14:textId="77777777" w:rsidR="00D76DF6" w:rsidRPr="004F1045" w:rsidRDefault="00D76DF6" w:rsidP="004E1C9A">
            <w:pPr>
              <w:jc w:val="center"/>
              <w:rPr>
                <w:rFonts w:ascii="Arial" w:hAnsi="Arial" w:cs="Arial"/>
                <w:sz w:val="18"/>
                <w:szCs w:val="18"/>
              </w:rPr>
            </w:pPr>
            <w:r w:rsidRPr="004F1045">
              <w:rPr>
                <w:rFonts w:ascii="Arial" w:hAnsi="Arial" w:cs="Arial"/>
                <w:sz w:val="18"/>
                <w:szCs w:val="18"/>
              </w:rPr>
              <w:t>IP</w:t>
            </w:r>
          </w:p>
        </w:tc>
        <w:tc>
          <w:tcPr>
            <w:tcW w:w="0" w:type="auto"/>
            <w:shd w:val="clear" w:color="auto" w:fill="D9D9D9" w:themeFill="background1" w:themeFillShade="D9"/>
          </w:tcPr>
          <w:p w14:paraId="41FDE093" w14:textId="77777777" w:rsidR="00D76DF6" w:rsidRPr="004F1045" w:rsidRDefault="00D76DF6" w:rsidP="004E1C9A">
            <w:pPr>
              <w:jc w:val="center"/>
              <w:rPr>
                <w:rFonts w:ascii="Arial" w:hAnsi="Arial" w:cs="Arial"/>
                <w:sz w:val="18"/>
                <w:szCs w:val="18"/>
              </w:rPr>
            </w:pPr>
            <w:proofErr w:type="spellStart"/>
            <w:r w:rsidRPr="004F1045">
              <w:rPr>
                <w:rFonts w:ascii="Arial" w:hAnsi="Arial" w:cs="Arial"/>
                <w:sz w:val="18"/>
                <w:szCs w:val="18"/>
              </w:rPr>
              <w:t>Bifido</w:t>
            </w:r>
            <w:proofErr w:type="spellEnd"/>
          </w:p>
        </w:tc>
        <w:tc>
          <w:tcPr>
            <w:tcW w:w="0" w:type="auto"/>
            <w:shd w:val="clear" w:color="auto" w:fill="D9D9D9" w:themeFill="background1" w:themeFillShade="D9"/>
          </w:tcPr>
          <w:p w14:paraId="439D3E2B" w14:textId="77777777" w:rsidR="00D76DF6" w:rsidRPr="004F1045" w:rsidRDefault="00D76DF6" w:rsidP="004E1C9A">
            <w:pPr>
              <w:jc w:val="center"/>
              <w:rPr>
                <w:rFonts w:ascii="Arial" w:hAnsi="Arial" w:cs="Arial"/>
                <w:sz w:val="18"/>
                <w:szCs w:val="18"/>
              </w:rPr>
            </w:pPr>
            <w:proofErr w:type="spellStart"/>
            <w:r w:rsidRPr="004F1045">
              <w:rPr>
                <w:rFonts w:ascii="Arial" w:hAnsi="Arial" w:cs="Arial"/>
                <w:sz w:val="18"/>
                <w:szCs w:val="18"/>
              </w:rPr>
              <w:t>Lacto</w:t>
            </w:r>
            <w:proofErr w:type="spellEnd"/>
          </w:p>
        </w:tc>
      </w:tr>
      <w:tr w:rsidR="001723FA" w:rsidRPr="004F1045" w14:paraId="693AD916" w14:textId="77777777" w:rsidTr="00E54558">
        <w:tc>
          <w:tcPr>
            <w:tcW w:w="0" w:type="auto"/>
          </w:tcPr>
          <w:p w14:paraId="3F729709" w14:textId="45DA7DCC" w:rsidR="00D76DF6" w:rsidRPr="004F1045" w:rsidRDefault="00D76DF6" w:rsidP="004E1C9A">
            <w:pPr>
              <w:rPr>
                <w:rFonts w:ascii="Arial" w:hAnsi="Arial" w:cs="Arial"/>
                <w:sz w:val="18"/>
                <w:szCs w:val="18"/>
              </w:rPr>
            </w:pPr>
            <w:r w:rsidRPr="004F1045">
              <w:rPr>
                <w:rFonts w:ascii="Arial" w:hAnsi="Arial" w:cs="Arial"/>
                <w:sz w:val="18"/>
                <w:szCs w:val="18"/>
              </w:rPr>
              <w:t>Francavilla</w:t>
            </w:r>
            <w:r w:rsidR="00E47FFD" w:rsidRPr="004A0E8A">
              <w:rPr>
                <w:rFonts w:ascii="Arial" w:hAnsi="Arial" w:cs="Arial"/>
                <w:sz w:val="18"/>
                <w:szCs w:val="18"/>
                <w:vertAlign w:val="superscript"/>
              </w:rPr>
              <w:fldChar w:fldCharType="begin" w:fldLock="1"/>
            </w:r>
            <w:r w:rsidR="00E20811" w:rsidRPr="004A0E8A">
              <w:rPr>
                <w:rFonts w:ascii="Arial" w:hAnsi="Arial" w:cs="Arial"/>
                <w:sz w:val="18"/>
                <w:szCs w:val="18"/>
                <w:vertAlign w:val="superscript"/>
              </w:rPr>
              <w:instrText>ADDIN CSL_CITATION {"citationItems":[{"id":"ITEM-1","itemData":{"DOI":"10.1097/MCG.0000000000001023","ISBN":"0001425900","ISSN":"1539-2031","PMID":"29688915","abstract":"GOALS The goals of this study were to evaluate the efficacy and safety of a probiotic mixture in patients with celiac disease (CD) with irritable bowel syndrome (IBS)-type symptoms despite a strict gluten-free diet (GFD). BACKGROUND About 30% of patients with CD adherent to a GFD suffer from IBS-type symptoms; a possible cause resides in the imbalances of the intestinal microbiota in CD. Probiotics may represent a potential treatment. STUDY CD patients with IBS-type symptoms entered a prospective, double-blind, randomized placebo-controlled study. A 6-week treatment period was preceded by a 2-week run-in and followed by a 6-week follow-up phase. Clinical data were monitored throughout the study by validated questionnaires: IBS Severity Scoring System (IBS-SSS); Gastrointestinal Symptom Rating Scale (GSRS); Bristol Stool Form Scale (BSFS); and IBS Quality of Life Questionnaire (IBS-QOL). The fecal microbiota were assayed using plate counts and 16S rRNA gene-based analysis. RESULTS In total, 109 patients were randomized to probiotics (n=54) or placebo (n=55). IBS-SSS and GSRS decreased significantly in probiotics, as compared with placebo [(-15.9%±14.8% vs. 8.2%±25.9%; P&lt;0.001) and (-19.8%±16.6% vs. 12.9%±31.6%; P&lt;0.001)], respectively. Treatment success was significantly higher in patients receiving probiotics, as compared with placebo (15.3% vs. 3.8%; P&lt;0.04). Presumptive lactic acid bacteria, Staphylococcus and Bifidobacterium, increased in patients receiving probiotic treatment. No adverse events were reported. CONCLUSIONS A 6-week probiotic treatment is effective in improving the severity of IBS-type symptoms, in CD patients on strict GFD, and is associated with a modification of gut microbiota, characterized by an increase of bifidobacteria.","author":[{"dropping-particle":"","family":"Francavilla","given":"Ruggiero","non-dropping-particle":"","parse-names":false,"suffix":""},{"dropping-particle":"","family":"Piccolo","given":"Maria","non-dropping-particle":"","parse-names":false,"suffix":""},{"dropping-particle":"","family":"Francavilla","given":"Antonio","non-dropping-particle":"","parse-names":false,"suffix":""},{"dropping-particle":"","family":"Polimeno","given":"Lorenzo","non-dropping-particle":"","parse-names":false,"suffix":""},{"dropping-particle":"","family":"Semeraro","given":"Francesco","non-dropping-particle":"","parse-names":false,"suffix":""},{"dropping-particle":"","family":"Cristofori","given":"Fernanda","non-dropping-particle":"","parse-names":false,"suffix":""},{"dropping-particle":"","family":"Castellaneta","given":"Stefania","non-dropping-particle":"","parse-names":false,"suffix":""},{"dropping-particle":"","family":"Barone","given":"Michele","non-dropping-particle":"","parse-names":false,"suffix":""},{"dropping-particle":"","family":"Indrio","given":"Flavia","non-dropping-particle":"","parse-names":false,"suffix":""},{"dropping-particle":"","family":"Gobbetti","given":"Marco","non-dropping-particle":"","parse-names":false,"suffix":""},{"dropping-particle":"","family":"Angelis","given":"Maria","non-dropping-particle":"De","parse-names":false,"suffix":""}],"container-title":"Journal of clinical gastroenterology","id":"ITEM-1","issue":"3","issued":{"date-parts":[["2019","3"]]},"page":"e117-e125","title":"Clinical and Microbiological Effect of a Multispecies Probiotic Supplementation in Celiac Patients With Persistent IBS-type Symptoms: A Randomized, Double-Blind, Placebo-controlled, Multicenter Trial.","type":"article-journal","volume":"53"},"uris":["http://www.mendeley.com/documents/?uuid=ada93141-8e6c-473f-9927-264a51df517d"]}],"mendeley":{"formattedCitation":"&lt;sup&gt;16&lt;/sup&gt;","plainTextFormattedCitation":"16","previouslyFormattedCitation":"&lt;sup&gt;16&lt;/sup&gt;"},"properties":{"noteIndex":0},"schema":"https://github.com/citation-style-language/schema/raw/master/csl-citation.json"}</w:instrText>
            </w:r>
            <w:r w:rsidR="00E47FFD" w:rsidRPr="004A0E8A">
              <w:rPr>
                <w:rFonts w:ascii="Arial" w:hAnsi="Arial" w:cs="Arial"/>
                <w:sz w:val="18"/>
                <w:szCs w:val="18"/>
                <w:vertAlign w:val="superscript"/>
              </w:rPr>
              <w:fldChar w:fldCharType="separate"/>
            </w:r>
            <w:r w:rsidR="004A0E8A" w:rsidRPr="004A0E8A">
              <w:rPr>
                <w:rFonts w:ascii="Arial" w:hAnsi="Arial" w:cs="Arial"/>
                <w:sz w:val="18"/>
                <w:szCs w:val="18"/>
                <w:vertAlign w:val="superscript"/>
              </w:rPr>
              <w:t>9</w:t>
            </w:r>
            <w:r w:rsidR="00E47FFD" w:rsidRPr="004A0E8A">
              <w:rPr>
                <w:rFonts w:ascii="Arial" w:hAnsi="Arial" w:cs="Arial"/>
                <w:sz w:val="18"/>
                <w:szCs w:val="18"/>
                <w:vertAlign w:val="superscript"/>
              </w:rPr>
              <w:fldChar w:fldCharType="end"/>
            </w:r>
          </w:p>
        </w:tc>
        <w:tc>
          <w:tcPr>
            <w:tcW w:w="0" w:type="auto"/>
          </w:tcPr>
          <w:p w14:paraId="2A191980" w14:textId="77777777" w:rsidR="00D76DF6" w:rsidRPr="004F1045" w:rsidRDefault="00D76DF6" w:rsidP="004E1C9A">
            <w:pPr>
              <w:jc w:val="center"/>
              <w:rPr>
                <w:rFonts w:ascii="Arial" w:hAnsi="Arial" w:cs="Arial"/>
                <w:sz w:val="18"/>
                <w:szCs w:val="18"/>
              </w:rPr>
            </w:pPr>
            <w:r w:rsidRPr="004F1045">
              <w:rPr>
                <w:rFonts w:ascii="Arial" w:hAnsi="Arial" w:cs="Arial"/>
                <w:sz w:val="18"/>
                <w:szCs w:val="18"/>
              </w:rPr>
              <w:t>2019</w:t>
            </w:r>
          </w:p>
        </w:tc>
        <w:tc>
          <w:tcPr>
            <w:tcW w:w="0" w:type="auto"/>
          </w:tcPr>
          <w:p w14:paraId="1FF41D31" w14:textId="77777777" w:rsidR="00D76DF6" w:rsidRPr="004F1045" w:rsidRDefault="00D76DF6" w:rsidP="004E1C9A">
            <w:pPr>
              <w:jc w:val="center"/>
              <w:rPr>
                <w:rFonts w:ascii="Arial" w:hAnsi="Arial" w:cs="Arial"/>
                <w:sz w:val="18"/>
                <w:szCs w:val="18"/>
              </w:rPr>
            </w:pPr>
            <w:r w:rsidRPr="004F1045">
              <w:rPr>
                <w:rFonts w:ascii="Arial" w:hAnsi="Arial" w:cs="Arial"/>
                <w:sz w:val="18"/>
                <w:szCs w:val="18"/>
              </w:rPr>
              <w:t>Italy</w:t>
            </w:r>
          </w:p>
        </w:tc>
        <w:tc>
          <w:tcPr>
            <w:tcW w:w="0" w:type="auto"/>
          </w:tcPr>
          <w:p w14:paraId="7310A488" w14:textId="77777777" w:rsidR="00D76DF6" w:rsidRPr="004F1045" w:rsidRDefault="00D76DF6" w:rsidP="004E1C9A">
            <w:pPr>
              <w:jc w:val="center"/>
              <w:rPr>
                <w:rFonts w:ascii="Arial" w:hAnsi="Arial" w:cs="Arial"/>
                <w:sz w:val="18"/>
                <w:szCs w:val="18"/>
              </w:rPr>
            </w:pPr>
            <w:r w:rsidRPr="004F1045">
              <w:rPr>
                <w:rFonts w:ascii="Arial" w:hAnsi="Arial" w:cs="Arial"/>
                <w:sz w:val="18"/>
                <w:szCs w:val="18"/>
              </w:rPr>
              <w:t>Adults</w:t>
            </w:r>
          </w:p>
        </w:tc>
        <w:tc>
          <w:tcPr>
            <w:tcW w:w="0" w:type="auto"/>
          </w:tcPr>
          <w:p w14:paraId="6084FD66" w14:textId="77777777" w:rsidR="00D76DF6" w:rsidRPr="004F1045" w:rsidRDefault="00D76DF6" w:rsidP="004E1C9A">
            <w:pPr>
              <w:jc w:val="center"/>
              <w:rPr>
                <w:rFonts w:ascii="Arial" w:hAnsi="Arial" w:cs="Arial"/>
                <w:sz w:val="18"/>
                <w:szCs w:val="18"/>
              </w:rPr>
            </w:pPr>
            <w:r w:rsidRPr="004F1045">
              <w:rPr>
                <w:rFonts w:ascii="Arial" w:hAnsi="Arial" w:cs="Arial"/>
                <w:sz w:val="18"/>
                <w:szCs w:val="18"/>
              </w:rPr>
              <w:t>109</w:t>
            </w:r>
          </w:p>
        </w:tc>
        <w:tc>
          <w:tcPr>
            <w:tcW w:w="0" w:type="auto"/>
          </w:tcPr>
          <w:p w14:paraId="68FA25F7" w14:textId="77777777" w:rsidR="00D76DF6" w:rsidRPr="004F1045" w:rsidRDefault="00D76DF6" w:rsidP="004E1C9A">
            <w:pPr>
              <w:jc w:val="center"/>
              <w:rPr>
                <w:rFonts w:ascii="Arial" w:hAnsi="Arial" w:cs="Arial"/>
                <w:sz w:val="18"/>
                <w:szCs w:val="18"/>
              </w:rPr>
            </w:pPr>
            <w:r>
              <w:rPr>
                <w:rFonts w:ascii="Arial" w:hAnsi="Arial" w:cs="Arial"/>
                <w:sz w:val="18"/>
                <w:szCs w:val="18"/>
              </w:rPr>
              <w:t>NR</w:t>
            </w:r>
          </w:p>
        </w:tc>
        <w:tc>
          <w:tcPr>
            <w:tcW w:w="578" w:type="dxa"/>
            <w:shd w:val="clear" w:color="auto" w:fill="538135" w:themeFill="accent6" w:themeFillShade="BF"/>
          </w:tcPr>
          <w:p w14:paraId="5F8F74DB" w14:textId="1F6D4E42" w:rsidR="00D76DF6" w:rsidRPr="004F1045" w:rsidRDefault="00E54558" w:rsidP="004E1C9A">
            <w:pPr>
              <w:jc w:val="center"/>
              <w:rPr>
                <w:rFonts w:ascii="Arial" w:hAnsi="Arial" w:cs="Arial"/>
                <w:sz w:val="18"/>
                <w:szCs w:val="18"/>
              </w:rPr>
            </w:pPr>
            <w:r>
              <w:rPr>
                <w:rFonts w:ascii="Arial" w:hAnsi="Arial" w:cs="Arial"/>
                <w:sz w:val="18"/>
                <w:szCs w:val="18"/>
              </w:rPr>
              <w:t>↓</w:t>
            </w:r>
          </w:p>
        </w:tc>
        <w:tc>
          <w:tcPr>
            <w:tcW w:w="750" w:type="dxa"/>
            <w:shd w:val="clear" w:color="auto" w:fill="FFFF00"/>
          </w:tcPr>
          <w:p w14:paraId="1D82E6A1" w14:textId="4332A489" w:rsidR="00D76DF6" w:rsidRPr="004F1045" w:rsidRDefault="00D76DF6" w:rsidP="004E1C9A">
            <w:pPr>
              <w:jc w:val="center"/>
              <w:rPr>
                <w:rFonts w:ascii="Arial" w:hAnsi="Arial" w:cs="Arial"/>
                <w:sz w:val="18"/>
                <w:szCs w:val="18"/>
              </w:rPr>
            </w:pPr>
          </w:p>
        </w:tc>
        <w:tc>
          <w:tcPr>
            <w:tcW w:w="967" w:type="dxa"/>
            <w:shd w:val="clear" w:color="auto" w:fill="FFFF00"/>
          </w:tcPr>
          <w:p w14:paraId="41D665A3" w14:textId="08DEEF78" w:rsidR="00D76DF6" w:rsidRPr="004F1045" w:rsidRDefault="00D76DF6" w:rsidP="004E1C9A">
            <w:pPr>
              <w:jc w:val="center"/>
              <w:rPr>
                <w:rFonts w:ascii="Arial" w:hAnsi="Arial" w:cs="Arial"/>
                <w:sz w:val="18"/>
                <w:szCs w:val="18"/>
              </w:rPr>
            </w:pPr>
          </w:p>
        </w:tc>
        <w:tc>
          <w:tcPr>
            <w:tcW w:w="789" w:type="dxa"/>
          </w:tcPr>
          <w:p w14:paraId="5905EC10" w14:textId="77777777" w:rsidR="00D76DF6" w:rsidRPr="004F1045" w:rsidRDefault="00D76DF6" w:rsidP="004E1C9A">
            <w:pPr>
              <w:jc w:val="center"/>
              <w:rPr>
                <w:rFonts w:ascii="Arial" w:hAnsi="Arial" w:cs="Arial"/>
                <w:sz w:val="18"/>
                <w:szCs w:val="18"/>
              </w:rPr>
            </w:pPr>
          </w:p>
        </w:tc>
        <w:tc>
          <w:tcPr>
            <w:tcW w:w="534" w:type="dxa"/>
          </w:tcPr>
          <w:p w14:paraId="533E1773" w14:textId="77777777" w:rsidR="00D76DF6" w:rsidRPr="004F1045" w:rsidRDefault="00D76DF6" w:rsidP="004E1C9A">
            <w:pPr>
              <w:jc w:val="center"/>
              <w:rPr>
                <w:rFonts w:ascii="Arial" w:hAnsi="Arial" w:cs="Arial"/>
                <w:sz w:val="18"/>
                <w:szCs w:val="18"/>
              </w:rPr>
            </w:pPr>
          </w:p>
        </w:tc>
        <w:tc>
          <w:tcPr>
            <w:tcW w:w="0" w:type="auto"/>
            <w:shd w:val="clear" w:color="auto" w:fill="538135" w:themeFill="accent6" w:themeFillShade="BF"/>
          </w:tcPr>
          <w:p w14:paraId="1016775D" w14:textId="7F0BDB69" w:rsidR="00D76DF6" w:rsidRPr="004F1045" w:rsidRDefault="00E54558" w:rsidP="004E1C9A">
            <w:pPr>
              <w:jc w:val="center"/>
              <w:rPr>
                <w:rFonts w:ascii="Arial" w:hAnsi="Arial" w:cs="Arial"/>
                <w:sz w:val="18"/>
                <w:szCs w:val="18"/>
              </w:rPr>
            </w:pPr>
            <w:r>
              <w:rPr>
                <w:rFonts w:ascii="Arial" w:hAnsi="Arial" w:cs="Arial"/>
                <w:sz w:val="18"/>
                <w:szCs w:val="18"/>
              </w:rPr>
              <w:t>↑</w:t>
            </w:r>
          </w:p>
        </w:tc>
        <w:tc>
          <w:tcPr>
            <w:tcW w:w="0" w:type="auto"/>
            <w:shd w:val="clear" w:color="auto" w:fill="538135" w:themeFill="accent6" w:themeFillShade="BF"/>
          </w:tcPr>
          <w:p w14:paraId="48EDE36E" w14:textId="04ED4ECC" w:rsidR="00D76DF6" w:rsidRPr="004F1045" w:rsidRDefault="00E54558" w:rsidP="004E1C9A">
            <w:pPr>
              <w:jc w:val="center"/>
              <w:rPr>
                <w:rFonts w:ascii="Arial" w:hAnsi="Arial" w:cs="Arial"/>
                <w:sz w:val="18"/>
                <w:szCs w:val="18"/>
              </w:rPr>
            </w:pPr>
            <w:r>
              <w:rPr>
                <w:rFonts w:ascii="Arial" w:hAnsi="Arial" w:cs="Arial"/>
                <w:sz w:val="18"/>
                <w:szCs w:val="18"/>
              </w:rPr>
              <w:t>↑</w:t>
            </w:r>
          </w:p>
        </w:tc>
      </w:tr>
      <w:tr w:rsidR="001723FA" w:rsidRPr="004F1045" w14:paraId="06E78ACE" w14:textId="77777777" w:rsidTr="00253BAF">
        <w:tc>
          <w:tcPr>
            <w:tcW w:w="0" w:type="auto"/>
          </w:tcPr>
          <w:p w14:paraId="11A710F0" w14:textId="26A4D78B" w:rsidR="00D76DF6" w:rsidRPr="004F1045" w:rsidRDefault="00D76DF6" w:rsidP="004E1C9A">
            <w:pPr>
              <w:rPr>
                <w:rFonts w:ascii="Arial" w:hAnsi="Arial" w:cs="Arial"/>
                <w:sz w:val="18"/>
                <w:szCs w:val="18"/>
              </w:rPr>
            </w:pPr>
            <w:r w:rsidRPr="004F1045">
              <w:rPr>
                <w:rFonts w:ascii="Arial" w:hAnsi="Arial" w:cs="Arial"/>
                <w:sz w:val="18"/>
                <w:szCs w:val="18"/>
              </w:rPr>
              <w:t>Harnett</w:t>
            </w:r>
            <w:r w:rsidR="004A0E8A" w:rsidRPr="004A0E8A">
              <w:rPr>
                <w:rFonts w:ascii="Arial" w:hAnsi="Arial" w:cs="Arial"/>
                <w:sz w:val="18"/>
                <w:szCs w:val="18"/>
                <w:vertAlign w:val="superscript"/>
              </w:rPr>
              <w:t>11</w:t>
            </w:r>
          </w:p>
        </w:tc>
        <w:tc>
          <w:tcPr>
            <w:tcW w:w="0" w:type="auto"/>
          </w:tcPr>
          <w:p w14:paraId="514188E6" w14:textId="77777777" w:rsidR="00D76DF6" w:rsidRPr="004F1045" w:rsidRDefault="00D76DF6" w:rsidP="004E1C9A">
            <w:pPr>
              <w:jc w:val="center"/>
              <w:rPr>
                <w:rFonts w:ascii="Arial" w:hAnsi="Arial" w:cs="Arial"/>
                <w:sz w:val="18"/>
                <w:szCs w:val="18"/>
              </w:rPr>
            </w:pPr>
            <w:r w:rsidRPr="004F1045">
              <w:rPr>
                <w:rFonts w:ascii="Arial" w:hAnsi="Arial" w:cs="Arial"/>
                <w:sz w:val="18"/>
                <w:szCs w:val="18"/>
              </w:rPr>
              <w:t>2</w:t>
            </w:r>
            <w:bookmarkStart w:id="0" w:name="_GoBack"/>
            <w:bookmarkEnd w:id="0"/>
            <w:r w:rsidRPr="004F1045">
              <w:rPr>
                <w:rFonts w:ascii="Arial" w:hAnsi="Arial" w:cs="Arial"/>
                <w:sz w:val="18"/>
                <w:szCs w:val="18"/>
              </w:rPr>
              <w:t>016</w:t>
            </w:r>
          </w:p>
        </w:tc>
        <w:tc>
          <w:tcPr>
            <w:tcW w:w="0" w:type="auto"/>
          </w:tcPr>
          <w:p w14:paraId="5A2DC4DB" w14:textId="77777777" w:rsidR="00D76DF6" w:rsidRPr="004F1045" w:rsidRDefault="00D76DF6" w:rsidP="004E1C9A">
            <w:pPr>
              <w:jc w:val="center"/>
              <w:rPr>
                <w:rFonts w:ascii="Arial" w:hAnsi="Arial" w:cs="Arial"/>
                <w:sz w:val="18"/>
                <w:szCs w:val="18"/>
              </w:rPr>
            </w:pPr>
            <w:r w:rsidRPr="004F1045">
              <w:rPr>
                <w:rFonts w:ascii="Arial" w:hAnsi="Arial" w:cs="Arial"/>
                <w:sz w:val="18"/>
                <w:szCs w:val="18"/>
              </w:rPr>
              <w:t>Australia</w:t>
            </w:r>
          </w:p>
        </w:tc>
        <w:tc>
          <w:tcPr>
            <w:tcW w:w="0" w:type="auto"/>
          </w:tcPr>
          <w:p w14:paraId="28E5F594" w14:textId="77777777" w:rsidR="00D76DF6" w:rsidRPr="004F1045" w:rsidRDefault="00D76DF6" w:rsidP="004E1C9A">
            <w:pPr>
              <w:jc w:val="center"/>
              <w:rPr>
                <w:rFonts w:ascii="Arial" w:hAnsi="Arial" w:cs="Arial"/>
                <w:sz w:val="18"/>
                <w:szCs w:val="18"/>
              </w:rPr>
            </w:pPr>
            <w:r w:rsidRPr="004F1045">
              <w:rPr>
                <w:rFonts w:ascii="Arial" w:hAnsi="Arial" w:cs="Arial"/>
                <w:sz w:val="18"/>
                <w:szCs w:val="18"/>
              </w:rPr>
              <w:t>Adults</w:t>
            </w:r>
          </w:p>
        </w:tc>
        <w:tc>
          <w:tcPr>
            <w:tcW w:w="0" w:type="auto"/>
          </w:tcPr>
          <w:p w14:paraId="190AF773" w14:textId="77777777" w:rsidR="00D76DF6" w:rsidRPr="004F1045" w:rsidRDefault="00D76DF6" w:rsidP="004E1C9A">
            <w:pPr>
              <w:jc w:val="center"/>
              <w:rPr>
                <w:rFonts w:ascii="Arial" w:hAnsi="Arial" w:cs="Arial"/>
                <w:sz w:val="18"/>
                <w:szCs w:val="18"/>
              </w:rPr>
            </w:pPr>
            <w:r w:rsidRPr="004F1045">
              <w:rPr>
                <w:rFonts w:ascii="Arial" w:hAnsi="Arial" w:cs="Arial"/>
                <w:sz w:val="18"/>
                <w:szCs w:val="18"/>
              </w:rPr>
              <w:t>45</w:t>
            </w:r>
          </w:p>
        </w:tc>
        <w:tc>
          <w:tcPr>
            <w:tcW w:w="0" w:type="auto"/>
          </w:tcPr>
          <w:p w14:paraId="54C3B198" w14:textId="77777777" w:rsidR="00D76DF6" w:rsidRPr="004F1045" w:rsidRDefault="00D76DF6" w:rsidP="004E1C9A">
            <w:pPr>
              <w:jc w:val="center"/>
              <w:rPr>
                <w:rFonts w:ascii="Arial" w:hAnsi="Arial" w:cs="Arial"/>
                <w:sz w:val="18"/>
                <w:szCs w:val="18"/>
              </w:rPr>
            </w:pPr>
            <w:r>
              <w:rPr>
                <w:rFonts w:ascii="Arial" w:hAnsi="Arial" w:cs="Arial"/>
                <w:sz w:val="18"/>
                <w:szCs w:val="18"/>
              </w:rPr>
              <w:t>NR</w:t>
            </w:r>
          </w:p>
        </w:tc>
        <w:tc>
          <w:tcPr>
            <w:tcW w:w="578" w:type="dxa"/>
            <w:shd w:val="clear" w:color="auto" w:fill="FFFF00"/>
          </w:tcPr>
          <w:p w14:paraId="7281049C" w14:textId="77777777" w:rsidR="00D76DF6" w:rsidRPr="004F1045" w:rsidRDefault="00D76DF6" w:rsidP="004E1C9A">
            <w:pPr>
              <w:jc w:val="center"/>
              <w:rPr>
                <w:rFonts w:ascii="Arial" w:hAnsi="Arial" w:cs="Arial"/>
                <w:sz w:val="18"/>
                <w:szCs w:val="18"/>
              </w:rPr>
            </w:pPr>
          </w:p>
        </w:tc>
        <w:tc>
          <w:tcPr>
            <w:tcW w:w="750" w:type="dxa"/>
            <w:shd w:val="clear" w:color="auto" w:fill="FFFF00"/>
          </w:tcPr>
          <w:p w14:paraId="5A9AC031" w14:textId="77777777" w:rsidR="00D76DF6" w:rsidRPr="004F1045" w:rsidRDefault="00D76DF6" w:rsidP="004E1C9A">
            <w:pPr>
              <w:jc w:val="center"/>
              <w:rPr>
                <w:rFonts w:ascii="Arial" w:hAnsi="Arial" w:cs="Arial"/>
                <w:sz w:val="18"/>
                <w:szCs w:val="18"/>
              </w:rPr>
            </w:pPr>
          </w:p>
        </w:tc>
        <w:tc>
          <w:tcPr>
            <w:tcW w:w="967" w:type="dxa"/>
            <w:shd w:val="clear" w:color="auto" w:fill="FFFF00"/>
          </w:tcPr>
          <w:p w14:paraId="7DCC0AD0" w14:textId="77777777" w:rsidR="00D76DF6" w:rsidRPr="004F1045" w:rsidRDefault="00D76DF6" w:rsidP="004E1C9A">
            <w:pPr>
              <w:jc w:val="center"/>
              <w:rPr>
                <w:rFonts w:ascii="Arial" w:hAnsi="Arial" w:cs="Arial"/>
                <w:sz w:val="18"/>
                <w:szCs w:val="18"/>
              </w:rPr>
            </w:pPr>
          </w:p>
        </w:tc>
        <w:tc>
          <w:tcPr>
            <w:tcW w:w="789" w:type="dxa"/>
          </w:tcPr>
          <w:p w14:paraId="17C7C6CD" w14:textId="77777777" w:rsidR="00D76DF6" w:rsidRPr="004F1045" w:rsidRDefault="00D76DF6" w:rsidP="004E1C9A">
            <w:pPr>
              <w:jc w:val="center"/>
              <w:rPr>
                <w:rFonts w:ascii="Arial" w:hAnsi="Arial" w:cs="Arial"/>
                <w:sz w:val="18"/>
                <w:szCs w:val="18"/>
              </w:rPr>
            </w:pPr>
          </w:p>
        </w:tc>
        <w:tc>
          <w:tcPr>
            <w:tcW w:w="534" w:type="dxa"/>
          </w:tcPr>
          <w:p w14:paraId="6622560D" w14:textId="77777777" w:rsidR="00D76DF6" w:rsidRPr="004F1045" w:rsidRDefault="00D76DF6" w:rsidP="004E1C9A">
            <w:pPr>
              <w:jc w:val="center"/>
              <w:rPr>
                <w:rFonts w:ascii="Arial" w:hAnsi="Arial" w:cs="Arial"/>
                <w:sz w:val="18"/>
                <w:szCs w:val="18"/>
              </w:rPr>
            </w:pPr>
          </w:p>
        </w:tc>
        <w:tc>
          <w:tcPr>
            <w:tcW w:w="0" w:type="auto"/>
            <w:shd w:val="clear" w:color="auto" w:fill="FFFF00"/>
          </w:tcPr>
          <w:p w14:paraId="4E4C17AC" w14:textId="77777777" w:rsidR="00D76DF6" w:rsidRPr="004F1045" w:rsidRDefault="00D76DF6" w:rsidP="004E1C9A">
            <w:pPr>
              <w:jc w:val="center"/>
              <w:rPr>
                <w:rFonts w:ascii="Arial" w:hAnsi="Arial" w:cs="Arial"/>
                <w:sz w:val="18"/>
                <w:szCs w:val="18"/>
              </w:rPr>
            </w:pPr>
          </w:p>
        </w:tc>
        <w:tc>
          <w:tcPr>
            <w:tcW w:w="0" w:type="auto"/>
            <w:shd w:val="clear" w:color="auto" w:fill="FFFF00"/>
          </w:tcPr>
          <w:p w14:paraId="5835115A" w14:textId="77777777" w:rsidR="00D76DF6" w:rsidRPr="004F1045" w:rsidRDefault="00D76DF6" w:rsidP="004E1C9A">
            <w:pPr>
              <w:jc w:val="center"/>
              <w:rPr>
                <w:rFonts w:ascii="Arial" w:hAnsi="Arial" w:cs="Arial"/>
                <w:sz w:val="18"/>
                <w:szCs w:val="18"/>
              </w:rPr>
            </w:pPr>
          </w:p>
        </w:tc>
      </w:tr>
      <w:tr w:rsidR="001723FA" w:rsidRPr="004F1045" w14:paraId="7B7A5A6E" w14:textId="77777777" w:rsidTr="00E54558">
        <w:tc>
          <w:tcPr>
            <w:tcW w:w="0" w:type="auto"/>
          </w:tcPr>
          <w:p w14:paraId="7BC4C3E5" w14:textId="7FB376B7" w:rsidR="00D76DF6" w:rsidRPr="004F1045" w:rsidRDefault="00D76DF6" w:rsidP="004E1C9A">
            <w:pPr>
              <w:rPr>
                <w:rFonts w:ascii="Arial" w:hAnsi="Arial" w:cs="Arial"/>
                <w:sz w:val="18"/>
                <w:szCs w:val="18"/>
              </w:rPr>
            </w:pPr>
            <w:r w:rsidRPr="004F1045">
              <w:rPr>
                <w:rFonts w:ascii="Arial" w:hAnsi="Arial" w:cs="Arial"/>
                <w:sz w:val="18"/>
                <w:szCs w:val="18"/>
              </w:rPr>
              <w:t>Klemenak</w:t>
            </w:r>
            <w:r w:rsidR="004A0E8A" w:rsidRPr="004A0E8A">
              <w:rPr>
                <w:rFonts w:ascii="Arial" w:hAnsi="Arial" w:cs="Arial"/>
                <w:sz w:val="18"/>
                <w:szCs w:val="18"/>
                <w:vertAlign w:val="superscript"/>
              </w:rPr>
              <w:t>20</w:t>
            </w:r>
          </w:p>
        </w:tc>
        <w:tc>
          <w:tcPr>
            <w:tcW w:w="0" w:type="auto"/>
          </w:tcPr>
          <w:p w14:paraId="469C17D6" w14:textId="77777777" w:rsidR="00D76DF6" w:rsidRPr="004F1045" w:rsidRDefault="00D76DF6" w:rsidP="004E1C9A">
            <w:pPr>
              <w:jc w:val="center"/>
              <w:rPr>
                <w:rFonts w:ascii="Arial" w:hAnsi="Arial" w:cs="Arial"/>
                <w:sz w:val="18"/>
                <w:szCs w:val="18"/>
              </w:rPr>
            </w:pPr>
            <w:r w:rsidRPr="004F1045">
              <w:rPr>
                <w:rFonts w:ascii="Arial" w:hAnsi="Arial" w:cs="Arial"/>
                <w:sz w:val="18"/>
                <w:szCs w:val="18"/>
              </w:rPr>
              <w:t>2015</w:t>
            </w:r>
          </w:p>
        </w:tc>
        <w:tc>
          <w:tcPr>
            <w:tcW w:w="0" w:type="auto"/>
          </w:tcPr>
          <w:p w14:paraId="6D4B3917" w14:textId="77777777" w:rsidR="00D76DF6" w:rsidRPr="004F1045" w:rsidRDefault="00D76DF6" w:rsidP="004E1C9A">
            <w:pPr>
              <w:jc w:val="center"/>
              <w:rPr>
                <w:rFonts w:ascii="Arial" w:hAnsi="Arial" w:cs="Arial"/>
                <w:sz w:val="18"/>
                <w:szCs w:val="18"/>
              </w:rPr>
            </w:pPr>
            <w:r w:rsidRPr="004F1045">
              <w:rPr>
                <w:rFonts w:ascii="Arial" w:hAnsi="Arial" w:cs="Arial"/>
                <w:sz w:val="18"/>
                <w:szCs w:val="18"/>
              </w:rPr>
              <w:t>Slovenia</w:t>
            </w:r>
          </w:p>
        </w:tc>
        <w:tc>
          <w:tcPr>
            <w:tcW w:w="0" w:type="auto"/>
          </w:tcPr>
          <w:p w14:paraId="79DA2B14" w14:textId="77777777" w:rsidR="00D76DF6" w:rsidRPr="004F1045" w:rsidRDefault="00D76DF6" w:rsidP="004E1C9A">
            <w:pPr>
              <w:jc w:val="center"/>
              <w:rPr>
                <w:rFonts w:ascii="Arial" w:hAnsi="Arial" w:cs="Arial"/>
                <w:sz w:val="18"/>
                <w:szCs w:val="18"/>
              </w:rPr>
            </w:pPr>
            <w:r w:rsidRPr="004F1045">
              <w:rPr>
                <w:rFonts w:ascii="Arial" w:hAnsi="Arial" w:cs="Arial"/>
                <w:sz w:val="18"/>
                <w:szCs w:val="18"/>
              </w:rPr>
              <w:t>Children</w:t>
            </w:r>
          </w:p>
        </w:tc>
        <w:tc>
          <w:tcPr>
            <w:tcW w:w="0" w:type="auto"/>
          </w:tcPr>
          <w:p w14:paraId="41B384B1" w14:textId="77777777" w:rsidR="00D76DF6" w:rsidRPr="004F1045" w:rsidRDefault="00D76DF6" w:rsidP="004E1C9A">
            <w:pPr>
              <w:jc w:val="center"/>
              <w:rPr>
                <w:rFonts w:ascii="Arial" w:hAnsi="Arial" w:cs="Arial"/>
                <w:sz w:val="18"/>
                <w:szCs w:val="18"/>
              </w:rPr>
            </w:pPr>
            <w:r w:rsidRPr="004F1045">
              <w:rPr>
                <w:rFonts w:ascii="Arial" w:hAnsi="Arial" w:cs="Arial"/>
                <w:sz w:val="18"/>
                <w:szCs w:val="18"/>
              </w:rPr>
              <w:t>49</w:t>
            </w:r>
          </w:p>
        </w:tc>
        <w:tc>
          <w:tcPr>
            <w:tcW w:w="0" w:type="auto"/>
          </w:tcPr>
          <w:p w14:paraId="1EF65FD5" w14:textId="77777777" w:rsidR="00D76DF6" w:rsidRPr="004F1045" w:rsidRDefault="00D76DF6" w:rsidP="004E1C9A">
            <w:pPr>
              <w:jc w:val="center"/>
              <w:rPr>
                <w:rFonts w:ascii="Arial" w:hAnsi="Arial" w:cs="Arial"/>
                <w:sz w:val="18"/>
                <w:szCs w:val="18"/>
              </w:rPr>
            </w:pPr>
            <w:r>
              <w:rPr>
                <w:rFonts w:ascii="Arial" w:hAnsi="Arial" w:cs="Arial"/>
                <w:sz w:val="18"/>
                <w:szCs w:val="18"/>
              </w:rPr>
              <w:t>G &amp; I</w:t>
            </w:r>
          </w:p>
        </w:tc>
        <w:tc>
          <w:tcPr>
            <w:tcW w:w="578" w:type="dxa"/>
          </w:tcPr>
          <w:p w14:paraId="6CC72693" w14:textId="77777777" w:rsidR="00D76DF6" w:rsidRPr="004F1045" w:rsidRDefault="00D76DF6" w:rsidP="004E1C9A">
            <w:pPr>
              <w:jc w:val="center"/>
              <w:rPr>
                <w:rFonts w:ascii="Arial" w:hAnsi="Arial" w:cs="Arial"/>
                <w:sz w:val="18"/>
                <w:szCs w:val="18"/>
              </w:rPr>
            </w:pPr>
          </w:p>
        </w:tc>
        <w:tc>
          <w:tcPr>
            <w:tcW w:w="750" w:type="dxa"/>
          </w:tcPr>
          <w:p w14:paraId="2F1FB816" w14:textId="77777777" w:rsidR="00D76DF6" w:rsidRPr="004F1045" w:rsidRDefault="00D76DF6" w:rsidP="004E1C9A">
            <w:pPr>
              <w:jc w:val="center"/>
              <w:rPr>
                <w:rFonts w:ascii="Arial" w:hAnsi="Arial" w:cs="Arial"/>
                <w:sz w:val="18"/>
                <w:szCs w:val="18"/>
              </w:rPr>
            </w:pPr>
          </w:p>
        </w:tc>
        <w:tc>
          <w:tcPr>
            <w:tcW w:w="967" w:type="dxa"/>
            <w:shd w:val="clear" w:color="auto" w:fill="FFFF00"/>
          </w:tcPr>
          <w:p w14:paraId="6EE5E002" w14:textId="77777777" w:rsidR="00D76DF6" w:rsidRPr="004F1045" w:rsidRDefault="00D76DF6" w:rsidP="004E1C9A">
            <w:pPr>
              <w:jc w:val="center"/>
              <w:rPr>
                <w:rFonts w:ascii="Arial" w:hAnsi="Arial" w:cs="Arial"/>
                <w:sz w:val="18"/>
                <w:szCs w:val="18"/>
              </w:rPr>
            </w:pPr>
          </w:p>
        </w:tc>
        <w:tc>
          <w:tcPr>
            <w:tcW w:w="789" w:type="dxa"/>
            <w:shd w:val="clear" w:color="auto" w:fill="538135" w:themeFill="accent6" w:themeFillShade="BF"/>
          </w:tcPr>
          <w:p w14:paraId="03CF9987" w14:textId="2D004961" w:rsidR="00D76DF6" w:rsidRPr="004F1045" w:rsidRDefault="00E54558" w:rsidP="004E1C9A">
            <w:pPr>
              <w:jc w:val="center"/>
              <w:rPr>
                <w:rFonts w:ascii="Arial" w:hAnsi="Arial" w:cs="Arial"/>
                <w:sz w:val="18"/>
                <w:szCs w:val="18"/>
              </w:rPr>
            </w:pPr>
            <w:r>
              <w:rPr>
                <w:rFonts w:ascii="Arial" w:hAnsi="Arial" w:cs="Arial"/>
                <w:sz w:val="18"/>
                <w:szCs w:val="18"/>
              </w:rPr>
              <w:t>↓</w:t>
            </w:r>
          </w:p>
        </w:tc>
        <w:tc>
          <w:tcPr>
            <w:tcW w:w="534" w:type="dxa"/>
          </w:tcPr>
          <w:p w14:paraId="4E4179A1" w14:textId="77777777" w:rsidR="00D76DF6" w:rsidRPr="004F1045" w:rsidRDefault="00D76DF6" w:rsidP="004E1C9A">
            <w:pPr>
              <w:jc w:val="center"/>
              <w:rPr>
                <w:rFonts w:ascii="Arial" w:hAnsi="Arial" w:cs="Arial"/>
                <w:sz w:val="18"/>
                <w:szCs w:val="18"/>
              </w:rPr>
            </w:pPr>
          </w:p>
        </w:tc>
        <w:tc>
          <w:tcPr>
            <w:tcW w:w="0" w:type="auto"/>
            <w:shd w:val="clear" w:color="auto" w:fill="auto"/>
          </w:tcPr>
          <w:p w14:paraId="40E3E80F" w14:textId="77777777" w:rsidR="00D76DF6" w:rsidRPr="004F1045" w:rsidRDefault="00D76DF6" w:rsidP="004E1C9A">
            <w:pPr>
              <w:jc w:val="center"/>
              <w:rPr>
                <w:rFonts w:ascii="Arial" w:hAnsi="Arial" w:cs="Arial"/>
                <w:sz w:val="18"/>
                <w:szCs w:val="18"/>
              </w:rPr>
            </w:pPr>
          </w:p>
        </w:tc>
        <w:tc>
          <w:tcPr>
            <w:tcW w:w="0" w:type="auto"/>
            <w:shd w:val="clear" w:color="auto" w:fill="auto"/>
          </w:tcPr>
          <w:p w14:paraId="024A67BC" w14:textId="77777777" w:rsidR="00D76DF6" w:rsidRPr="004F1045" w:rsidRDefault="00D76DF6" w:rsidP="004E1C9A">
            <w:pPr>
              <w:jc w:val="center"/>
              <w:rPr>
                <w:rFonts w:ascii="Arial" w:hAnsi="Arial" w:cs="Arial"/>
                <w:sz w:val="18"/>
                <w:szCs w:val="18"/>
              </w:rPr>
            </w:pPr>
          </w:p>
        </w:tc>
      </w:tr>
      <w:tr w:rsidR="001723FA" w:rsidRPr="004F1045" w14:paraId="5F33029A" w14:textId="77777777" w:rsidTr="00253BAF">
        <w:tc>
          <w:tcPr>
            <w:tcW w:w="0" w:type="auto"/>
          </w:tcPr>
          <w:p w14:paraId="1FEC2494" w14:textId="4DEC6ABC" w:rsidR="00D76DF6" w:rsidRPr="004F1045" w:rsidRDefault="00D76DF6" w:rsidP="004E1C9A">
            <w:pPr>
              <w:rPr>
                <w:rFonts w:ascii="Arial" w:hAnsi="Arial" w:cs="Arial"/>
                <w:sz w:val="18"/>
                <w:szCs w:val="18"/>
              </w:rPr>
            </w:pPr>
            <w:r w:rsidRPr="004F1045">
              <w:rPr>
                <w:rFonts w:ascii="Arial" w:hAnsi="Arial" w:cs="Arial"/>
                <w:sz w:val="18"/>
                <w:szCs w:val="18"/>
              </w:rPr>
              <w:t>Olivares</w:t>
            </w:r>
            <w:r w:rsidR="004A0E8A" w:rsidRPr="004A0E8A">
              <w:rPr>
                <w:rFonts w:ascii="Arial" w:hAnsi="Arial" w:cs="Arial"/>
                <w:sz w:val="18"/>
                <w:szCs w:val="18"/>
                <w:vertAlign w:val="superscript"/>
              </w:rPr>
              <w:t>19</w:t>
            </w:r>
          </w:p>
        </w:tc>
        <w:tc>
          <w:tcPr>
            <w:tcW w:w="0" w:type="auto"/>
          </w:tcPr>
          <w:p w14:paraId="4143FA7D" w14:textId="77777777" w:rsidR="00D76DF6" w:rsidRPr="004F1045" w:rsidRDefault="00D76DF6" w:rsidP="004E1C9A">
            <w:pPr>
              <w:jc w:val="center"/>
              <w:rPr>
                <w:rFonts w:ascii="Arial" w:hAnsi="Arial" w:cs="Arial"/>
                <w:sz w:val="18"/>
                <w:szCs w:val="18"/>
              </w:rPr>
            </w:pPr>
            <w:r w:rsidRPr="004F1045">
              <w:rPr>
                <w:rFonts w:ascii="Arial" w:hAnsi="Arial" w:cs="Arial"/>
                <w:sz w:val="18"/>
                <w:szCs w:val="18"/>
              </w:rPr>
              <w:t>2014</w:t>
            </w:r>
          </w:p>
        </w:tc>
        <w:tc>
          <w:tcPr>
            <w:tcW w:w="0" w:type="auto"/>
          </w:tcPr>
          <w:p w14:paraId="67ED5424" w14:textId="77777777" w:rsidR="00D76DF6" w:rsidRPr="004F1045" w:rsidRDefault="00D76DF6" w:rsidP="004E1C9A">
            <w:pPr>
              <w:jc w:val="center"/>
              <w:rPr>
                <w:rFonts w:ascii="Arial" w:hAnsi="Arial" w:cs="Arial"/>
                <w:sz w:val="18"/>
                <w:szCs w:val="18"/>
              </w:rPr>
            </w:pPr>
            <w:r w:rsidRPr="004F1045">
              <w:rPr>
                <w:rFonts w:ascii="Arial" w:hAnsi="Arial" w:cs="Arial"/>
                <w:sz w:val="18"/>
                <w:szCs w:val="18"/>
              </w:rPr>
              <w:t>Spain</w:t>
            </w:r>
          </w:p>
        </w:tc>
        <w:tc>
          <w:tcPr>
            <w:tcW w:w="0" w:type="auto"/>
          </w:tcPr>
          <w:p w14:paraId="16C1D4E7" w14:textId="77777777" w:rsidR="00D76DF6" w:rsidRPr="004F1045" w:rsidRDefault="00D76DF6" w:rsidP="004E1C9A">
            <w:pPr>
              <w:jc w:val="center"/>
              <w:rPr>
                <w:rFonts w:ascii="Arial" w:hAnsi="Arial" w:cs="Arial"/>
                <w:sz w:val="18"/>
                <w:szCs w:val="18"/>
              </w:rPr>
            </w:pPr>
            <w:r w:rsidRPr="004F1045">
              <w:rPr>
                <w:rFonts w:ascii="Arial" w:hAnsi="Arial" w:cs="Arial"/>
                <w:sz w:val="18"/>
                <w:szCs w:val="18"/>
              </w:rPr>
              <w:t>Children</w:t>
            </w:r>
          </w:p>
        </w:tc>
        <w:tc>
          <w:tcPr>
            <w:tcW w:w="0" w:type="auto"/>
          </w:tcPr>
          <w:p w14:paraId="25116402" w14:textId="77777777" w:rsidR="00D76DF6" w:rsidRPr="004F1045" w:rsidRDefault="00D76DF6" w:rsidP="004E1C9A">
            <w:pPr>
              <w:jc w:val="center"/>
              <w:rPr>
                <w:rFonts w:ascii="Arial" w:hAnsi="Arial" w:cs="Arial"/>
                <w:sz w:val="18"/>
                <w:szCs w:val="18"/>
              </w:rPr>
            </w:pPr>
            <w:r w:rsidRPr="004F1045">
              <w:rPr>
                <w:rFonts w:ascii="Arial" w:hAnsi="Arial" w:cs="Arial"/>
                <w:sz w:val="18"/>
                <w:szCs w:val="18"/>
              </w:rPr>
              <w:t>36</w:t>
            </w:r>
          </w:p>
        </w:tc>
        <w:tc>
          <w:tcPr>
            <w:tcW w:w="0" w:type="auto"/>
          </w:tcPr>
          <w:p w14:paraId="27365C26" w14:textId="77777777" w:rsidR="00D76DF6" w:rsidRPr="004F1045" w:rsidRDefault="00D76DF6" w:rsidP="004E1C9A">
            <w:pPr>
              <w:jc w:val="center"/>
              <w:rPr>
                <w:rFonts w:ascii="Arial" w:hAnsi="Arial" w:cs="Arial"/>
                <w:sz w:val="18"/>
                <w:szCs w:val="18"/>
              </w:rPr>
            </w:pPr>
            <w:r>
              <w:rPr>
                <w:rFonts w:ascii="Arial" w:hAnsi="Arial" w:cs="Arial"/>
                <w:sz w:val="18"/>
                <w:szCs w:val="18"/>
              </w:rPr>
              <w:t>G</w:t>
            </w:r>
          </w:p>
        </w:tc>
        <w:tc>
          <w:tcPr>
            <w:tcW w:w="578" w:type="dxa"/>
            <w:shd w:val="clear" w:color="auto" w:fill="FFFF00"/>
          </w:tcPr>
          <w:p w14:paraId="6B79D2DA" w14:textId="77777777" w:rsidR="00D76DF6" w:rsidRPr="004F1045" w:rsidRDefault="00D76DF6" w:rsidP="004E1C9A">
            <w:pPr>
              <w:jc w:val="center"/>
              <w:rPr>
                <w:rFonts w:ascii="Arial" w:hAnsi="Arial" w:cs="Arial"/>
                <w:sz w:val="18"/>
                <w:szCs w:val="18"/>
              </w:rPr>
            </w:pPr>
          </w:p>
        </w:tc>
        <w:tc>
          <w:tcPr>
            <w:tcW w:w="750" w:type="dxa"/>
          </w:tcPr>
          <w:p w14:paraId="3B9AE61D" w14:textId="77777777" w:rsidR="00D76DF6" w:rsidRPr="004F1045" w:rsidRDefault="00D76DF6" w:rsidP="004E1C9A">
            <w:pPr>
              <w:jc w:val="center"/>
              <w:rPr>
                <w:rFonts w:ascii="Arial" w:hAnsi="Arial" w:cs="Arial"/>
                <w:sz w:val="18"/>
                <w:szCs w:val="18"/>
              </w:rPr>
            </w:pPr>
          </w:p>
        </w:tc>
        <w:tc>
          <w:tcPr>
            <w:tcW w:w="967" w:type="dxa"/>
            <w:shd w:val="clear" w:color="auto" w:fill="FFFF00"/>
          </w:tcPr>
          <w:p w14:paraId="407AB62F" w14:textId="77777777" w:rsidR="00D76DF6" w:rsidRPr="004F1045" w:rsidRDefault="00D76DF6" w:rsidP="004E1C9A">
            <w:pPr>
              <w:jc w:val="center"/>
              <w:rPr>
                <w:rFonts w:ascii="Arial" w:hAnsi="Arial" w:cs="Arial"/>
                <w:sz w:val="18"/>
                <w:szCs w:val="18"/>
              </w:rPr>
            </w:pPr>
          </w:p>
        </w:tc>
        <w:tc>
          <w:tcPr>
            <w:tcW w:w="789" w:type="dxa"/>
            <w:shd w:val="clear" w:color="auto" w:fill="FFFF00"/>
          </w:tcPr>
          <w:p w14:paraId="3EAC0623" w14:textId="77777777" w:rsidR="00D76DF6" w:rsidRPr="004F1045" w:rsidRDefault="00D76DF6" w:rsidP="004E1C9A">
            <w:pPr>
              <w:jc w:val="center"/>
              <w:rPr>
                <w:rFonts w:ascii="Arial" w:hAnsi="Arial" w:cs="Arial"/>
                <w:sz w:val="18"/>
                <w:szCs w:val="18"/>
              </w:rPr>
            </w:pPr>
          </w:p>
        </w:tc>
        <w:tc>
          <w:tcPr>
            <w:tcW w:w="534" w:type="dxa"/>
          </w:tcPr>
          <w:p w14:paraId="6874371E" w14:textId="77777777" w:rsidR="00D76DF6" w:rsidRPr="004F1045" w:rsidRDefault="00D76DF6" w:rsidP="004E1C9A">
            <w:pPr>
              <w:jc w:val="center"/>
              <w:rPr>
                <w:rFonts w:ascii="Arial" w:hAnsi="Arial" w:cs="Arial"/>
                <w:sz w:val="18"/>
                <w:szCs w:val="18"/>
              </w:rPr>
            </w:pPr>
          </w:p>
        </w:tc>
        <w:tc>
          <w:tcPr>
            <w:tcW w:w="0" w:type="auto"/>
            <w:shd w:val="clear" w:color="auto" w:fill="FFFF00"/>
          </w:tcPr>
          <w:p w14:paraId="4D7361E6" w14:textId="77777777" w:rsidR="00D76DF6" w:rsidRPr="004F1045" w:rsidRDefault="00D76DF6" w:rsidP="004E1C9A">
            <w:pPr>
              <w:jc w:val="center"/>
              <w:rPr>
                <w:rFonts w:ascii="Arial" w:hAnsi="Arial" w:cs="Arial"/>
                <w:sz w:val="18"/>
                <w:szCs w:val="18"/>
              </w:rPr>
            </w:pPr>
          </w:p>
        </w:tc>
        <w:tc>
          <w:tcPr>
            <w:tcW w:w="0" w:type="auto"/>
            <w:shd w:val="clear" w:color="auto" w:fill="FFFF00"/>
          </w:tcPr>
          <w:p w14:paraId="5E7F92E3" w14:textId="77777777" w:rsidR="00D76DF6" w:rsidRPr="004F1045" w:rsidRDefault="00D76DF6" w:rsidP="004E1C9A">
            <w:pPr>
              <w:jc w:val="center"/>
              <w:rPr>
                <w:rFonts w:ascii="Arial" w:hAnsi="Arial" w:cs="Arial"/>
                <w:sz w:val="18"/>
                <w:szCs w:val="18"/>
              </w:rPr>
            </w:pPr>
          </w:p>
        </w:tc>
      </w:tr>
      <w:tr w:rsidR="001723FA" w:rsidRPr="004F1045" w14:paraId="62F7D67A" w14:textId="77777777" w:rsidTr="00253BAF">
        <w:tc>
          <w:tcPr>
            <w:tcW w:w="0" w:type="auto"/>
          </w:tcPr>
          <w:p w14:paraId="037FF16D" w14:textId="223AC04F" w:rsidR="001723FA" w:rsidRPr="004F1045" w:rsidRDefault="001723FA" w:rsidP="004E1C9A">
            <w:pPr>
              <w:rPr>
                <w:rFonts w:ascii="Arial" w:hAnsi="Arial" w:cs="Arial"/>
                <w:sz w:val="18"/>
                <w:szCs w:val="18"/>
              </w:rPr>
            </w:pPr>
            <w:r>
              <w:rPr>
                <w:rFonts w:ascii="Arial" w:hAnsi="Arial" w:cs="Arial"/>
                <w:sz w:val="18"/>
                <w:szCs w:val="18"/>
              </w:rPr>
              <w:t>Primec</w:t>
            </w:r>
            <w:r w:rsidR="004A0E8A" w:rsidRPr="004A0E8A">
              <w:rPr>
                <w:rFonts w:ascii="Arial" w:hAnsi="Arial" w:cs="Arial"/>
                <w:sz w:val="18"/>
                <w:szCs w:val="18"/>
                <w:vertAlign w:val="superscript"/>
              </w:rPr>
              <w:t>22</w:t>
            </w:r>
          </w:p>
        </w:tc>
        <w:tc>
          <w:tcPr>
            <w:tcW w:w="0" w:type="auto"/>
          </w:tcPr>
          <w:p w14:paraId="5E5DA5F5" w14:textId="2CAFDCF1" w:rsidR="001723FA" w:rsidRPr="004F1045" w:rsidRDefault="001723FA" w:rsidP="004E1C9A">
            <w:pPr>
              <w:jc w:val="center"/>
              <w:rPr>
                <w:rFonts w:ascii="Arial" w:hAnsi="Arial" w:cs="Arial"/>
                <w:sz w:val="18"/>
                <w:szCs w:val="18"/>
              </w:rPr>
            </w:pPr>
            <w:r>
              <w:rPr>
                <w:rFonts w:ascii="Arial" w:hAnsi="Arial" w:cs="Arial"/>
                <w:sz w:val="18"/>
                <w:szCs w:val="18"/>
              </w:rPr>
              <w:t>2018</w:t>
            </w:r>
          </w:p>
        </w:tc>
        <w:tc>
          <w:tcPr>
            <w:tcW w:w="0" w:type="auto"/>
          </w:tcPr>
          <w:p w14:paraId="49B48D28" w14:textId="3A5C38D4" w:rsidR="001723FA" w:rsidRPr="004F1045" w:rsidRDefault="001723FA" w:rsidP="004E1C9A">
            <w:pPr>
              <w:jc w:val="center"/>
              <w:rPr>
                <w:rFonts w:ascii="Arial" w:hAnsi="Arial" w:cs="Arial"/>
                <w:sz w:val="18"/>
                <w:szCs w:val="18"/>
              </w:rPr>
            </w:pPr>
            <w:r>
              <w:rPr>
                <w:rFonts w:ascii="Arial" w:hAnsi="Arial" w:cs="Arial"/>
                <w:sz w:val="18"/>
                <w:szCs w:val="18"/>
              </w:rPr>
              <w:t>Slovenia</w:t>
            </w:r>
          </w:p>
        </w:tc>
        <w:tc>
          <w:tcPr>
            <w:tcW w:w="0" w:type="auto"/>
          </w:tcPr>
          <w:p w14:paraId="2E98199D" w14:textId="1841936F" w:rsidR="001723FA" w:rsidRPr="004F1045" w:rsidRDefault="001723FA" w:rsidP="004E1C9A">
            <w:pPr>
              <w:jc w:val="center"/>
              <w:rPr>
                <w:rFonts w:ascii="Arial" w:hAnsi="Arial" w:cs="Arial"/>
                <w:sz w:val="18"/>
                <w:szCs w:val="18"/>
              </w:rPr>
            </w:pPr>
            <w:r>
              <w:rPr>
                <w:rFonts w:ascii="Arial" w:hAnsi="Arial" w:cs="Arial"/>
                <w:sz w:val="18"/>
                <w:szCs w:val="18"/>
              </w:rPr>
              <w:t>Children</w:t>
            </w:r>
          </w:p>
        </w:tc>
        <w:tc>
          <w:tcPr>
            <w:tcW w:w="0" w:type="auto"/>
          </w:tcPr>
          <w:p w14:paraId="1C1B6CF6" w14:textId="73730F30" w:rsidR="001723FA" w:rsidRPr="004F1045" w:rsidRDefault="001723FA" w:rsidP="004E1C9A">
            <w:pPr>
              <w:jc w:val="center"/>
              <w:rPr>
                <w:rFonts w:ascii="Arial" w:hAnsi="Arial" w:cs="Arial"/>
                <w:sz w:val="18"/>
                <w:szCs w:val="18"/>
              </w:rPr>
            </w:pPr>
            <w:r>
              <w:rPr>
                <w:rFonts w:ascii="Arial" w:hAnsi="Arial" w:cs="Arial"/>
                <w:sz w:val="18"/>
                <w:szCs w:val="18"/>
              </w:rPr>
              <w:t>40</w:t>
            </w:r>
          </w:p>
        </w:tc>
        <w:tc>
          <w:tcPr>
            <w:tcW w:w="0" w:type="auto"/>
          </w:tcPr>
          <w:p w14:paraId="632FD36F" w14:textId="6C7BBBFC" w:rsidR="001723FA" w:rsidRDefault="001723FA" w:rsidP="004E1C9A">
            <w:pPr>
              <w:jc w:val="center"/>
              <w:rPr>
                <w:rFonts w:ascii="Arial" w:hAnsi="Arial" w:cs="Arial"/>
                <w:sz w:val="18"/>
                <w:szCs w:val="18"/>
              </w:rPr>
            </w:pPr>
            <w:r>
              <w:rPr>
                <w:rFonts w:ascii="Arial" w:hAnsi="Arial" w:cs="Arial"/>
                <w:sz w:val="18"/>
                <w:szCs w:val="18"/>
              </w:rPr>
              <w:t>G &amp; I</w:t>
            </w:r>
          </w:p>
        </w:tc>
        <w:tc>
          <w:tcPr>
            <w:tcW w:w="578" w:type="dxa"/>
            <w:shd w:val="clear" w:color="auto" w:fill="auto"/>
          </w:tcPr>
          <w:p w14:paraId="3CCF40C3" w14:textId="77777777" w:rsidR="001723FA" w:rsidRPr="004F1045" w:rsidRDefault="001723FA" w:rsidP="004E1C9A">
            <w:pPr>
              <w:jc w:val="center"/>
              <w:rPr>
                <w:rFonts w:ascii="Arial" w:hAnsi="Arial" w:cs="Arial"/>
                <w:sz w:val="18"/>
                <w:szCs w:val="18"/>
              </w:rPr>
            </w:pPr>
          </w:p>
        </w:tc>
        <w:tc>
          <w:tcPr>
            <w:tcW w:w="750" w:type="dxa"/>
            <w:shd w:val="clear" w:color="auto" w:fill="auto"/>
          </w:tcPr>
          <w:p w14:paraId="75F440D8" w14:textId="77777777" w:rsidR="001723FA" w:rsidRPr="004F1045" w:rsidRDefault="001723FA" w:rsidP="004E1C9A">
            <w:pPr>
              <w:jc w:val="center"/>
              <w:rPr>
                <w:rFonts w:ascii="Arial" w:hAnsi="Arial" w:cs="Arial"/>
                <w:sz w:val="18"/>
                <w:szCs w:val="18"/>
              </w:rPr>
            </w:pPr>
          </w:p>
        </w:tc>
        <w:tc>
          <w:tcPr>
            <w:tcW w:w="967" w:type="dxa"/>
            <w:shd w:val="clear" w:color="auto" w:fill="auto"/>
          </w:tcPr>
          <w:p w14:paraId="36688DAA" w14:textId="77777777" w:rsidR="001723FA" w:rsidRPr="004F1045" w:rsidRDefault="001723FA" w:rsidP="004E1C9A">
            <w:pPr>
              <w:jc w:val="center"/>
              <w:rPr>
                <w:rFonts w:ascii="Arial" w:hAnsi="Arial" w:cs="Arial"/>
                <w:sz w:val="18"/>
                <w:szCs w:val="18"/>
              </w:rPr>
            </w:pPr>
          </w:p>
        </w:tc>
        <w:tc>
          <w:tcPr>
            <w:tcW w:w="789" w:type="dxa"/>
            <w:shd w:val="clear" w:color="auto" w:fill="auto"/>
          </w:tcPr>
          <w:p w14:paraId="640F7B83" w14:textId="77777777" w:rsidR="001723FA" w:rsidRPr="004F1045" w:rsidRDefault="001723FA" w:rsidP="004E1C9A">
            <w:pPr>
              <w:jc w:val="center"/>
              <w:rPr>
                <w:rFonts w:ascii="Arial" w:hAnsi="Arial" w:cs="Arial"/>
                <w:sz w:val="18"/>
                <w:szCs w:val="18"/>
              </w:rPr>
            </w:pPr>
          </w:p>
        </w:tc>
        <w:tc>
          <w:tcPr>
            <w:tcW w:w="534" w:type="dxa"/>
          </w:tcPr>
          <w:p w14:paraId="410238BE" w14:textId="77777777" w:rsidR="001723FA" w:rsidRPr="004F1045" w:rsidRDefault="001723FA" w:rsidP="004E1C9A">
            <w:pPr>
              <w:jc w:val="center"/>
              <w:rPr>
                <w:rFonts w:ascii="Arial" w:hAnsi="Arial" w:cs="Arial"/>
                <w:sz w:val="18"/>
                <w:szCs w:val="18"/>
              </w:rPr>
            </w:pPr>
          </w:p>
        </w:tc>
        <w:tc>
          <w:tcPr>
            <w:tcW w:w="0" w:type="auto"/>
            <w:shd w:val="clear" w:color="auto" w:fill="auto"/>
          </w:tcPr>
          <w:p w14:paraId="0D4796EF" w14:textId="77777777" w:rsidR="001723FA" w:rsidRPr="004F1045" w:rsidRDefault="001723FA" w:rsidP="004E1C9A">
            <w:pPr>
              <w:jc w:val="center"/>
              <w:rPr>
                <w:rFonts w:ascii="Arial" w:hAnsi="Arial" w:cs="Arial"/>
                <w:sz w:val="18"/>
                <w:szCs w:val="18"/>
              </w:rPr>
            </w:pPr>
          </w:p>
        </w:tc>
        <w:tc>
          <w:tcPr>
            <w:tcW w:w="0" w:type="auto"/>
            <w:shd w:val="clear" w:color="auto" w:fill="auto"/>
          </w:tcPr>
          <w:p w14:paraId="0E76145C" w14:textId="77777777" w:rsidR="001723FA" w:rsidRPr="004F1045" w:rsidRDefault="001723FA" w:rsidP="004E1C9A">
            <w:pPr>
              <w:jc w:val="center"/>
              <w:rPr>
                <w:rFonts w:ascii="Arial" w:hAnsi="Arial" w:cs="Arial"/>
                <w:sz w:val="18"/>
                <w:szCs w:val="18"/>
              </w:rPr>
            </w:pPr>
          </w:p>
        </w:tc>
      </w:tr>
      <w:tr w:rsidR="001723FA" w:rsidRPr="004F1045" w14:paraId="1CD5826A" w14:textId="77777777" w:rsidTr="00E54558">
        <w:tc>
          <w:tcPr>
            <w:tcW w:w="0" w:type="auto"/>
          </w:tcPr>
          <w:p w14:paraId="6F872DE0" w14:textId="05BBE746" w:rsidR="001723FA" w:rsidRPr="004F1045" w:rsidRDefault="001723FA" w:rsidP="004E1C9A">
            <w:pPr>
              <w:rPr>
                <w:rFonts w:ascii="Arial" w:hAnsi="Arial" w:cs="Arial"/>
                <w:sz w:val="18"/>
                <w:szCs w:val="18"/>
              </w:rPr>
            </w:pPr>
            <w:r>
              <w:rPr>
                <w:rFonts w:ascii="Arial" w:hAnsi="Arial" w:cs="Arial"/>
                <w:sz w:val="18"/>
                <w:szCs w:val="18"/>
              </w:rPr>
              <w:t>Quagliariello</w:t>
            </w:r>
            <w:r w:rsidR="004A0E8A" w:rsidRPr="00FF515D">
              <w:rPr>
                <w:rFonts w:ascii="Arial" w:hAnsi="Arial" w:cs="Arial"/>
                <w:sz w:val="18"/>
                <w:szCs w:val="18"/>
                <w:vertAlign w:val="superscript"/>
              </w:rPr>
              <w:t>2</w:t>
            </w:r>
            <w:r w:rsidR="004A0E8A" w:rsidRPr="004A0E8A">
              <w:rPr>
                <w:rFonts w:ascii="Arial" w:hAnsi="Arial" w:cs="Arial"/>
                <w:sz w:val="18"/>
                <w:szCs w:val="18"/>
                <w:vertAlign w:val="superscript"/>
              </w:rPr>
              <w:t>1</w:t>
            </w:r>
          </w:p>
        </w:tc>
        <w:tc>
          <w:tcPr>
            <w:tcW w:w="0" w:type="auto"/>
          </w:tcPr>
          <w:p w14:paraId="2FF7EF4D" w14:textId="77210011" w:rsidR="001723FA" w:rsidRPr="004F1045" w:rsidRDefault="001723FA" w:rsidP="004E1C9A">
            <w:pPr>
              <w:jc w:val="center"/>
              <w:rPr>
                <w:rFonts w:ascii="Arial" w:hAnsi="Arial" w:cs="Arial"/>
                <w:sz w:val="18"/>
                <w:szCs w:val="18"/>
              </w:rPr>
            </w:pPr>
            <w:r>
              <w:rPr>
                <w:rFonts w:ascii="Arial" w:hAnsi="Arial" w:cs="Arial"/>
                <w:sz w:val="18"/>
                <w:szCs w:val="18"/>
              </w:rPr>
              <w:t>2016</w:t>
            </w:r>
          </w:p>
        </w:tc>
        <w:tc>
          <w:tcPr>
            <w:tcW w:w="0" w:type="auto"/>
          </w:tcPr>
          <w:p w14:paraId="55A41970" w14:textId="4CFBCDD1" w:rsidR="001723FA" w:rsidRPr="004F1045" w:rsidRDefault="001723FA" w:rsidP="004E1C9A">
            <w:pPr>
              <w:jc w:val="center"/>
              <w:rPr>
                <w:rFonts w:ascii="Arial" w:hAnsi="Arial" w:cs="Arial"/>
                <w:sz w:val="18"/>
                <w:szCs w:val="18"/>
              </w:rPr>
            </w:pPr>
            <w:r>
              <w:rPr>
                <w:rFonts w:ascii="Arial" w:hAnsi="Arial" w:cs="Arial"/>
                <w:sz w:val="18"/>
                <w:szCs w:val="18"/>
              </w:rPr>
              <w:t>Slovenia</w:t>
            </w:r>
          </w:p>
        </w:tc>
        <w:tc>
          <w:tcPr>
            <w:tcW w:w="0" w:type="auto"/>
          </w:tcPr>
          <w:p w14:paraId="1370CDEF" w14:textId="55E94185" w:rsidR="001723FA" w:rsidRPr="004F1045" w:rsidRDefault="001723FA" w:rsidP="004E1C9A">
            <w:pPr>
              <w:jc w:val="center"/>
              <w:rPr>
                <w:rFonts w:ascii="Arial" w:hAnsi="Arial" w:cs="Arial"/>
                <w:sz w:val="18"/>
                <w:szCs w:val="18"/>
              </w:rPr>
            </w:pPr>
            <w:r>
              <w:rPr>
                <w:rFonts w:ascii="Arial" w:hAnsi="Arial" w:cs="Arial"/>
                <w:sz w:val="18"/>
                <w:szCs w:val="18"/>
              </w:rPr>
              <w:t>Children</w:t>
            </w:r>
          </w:p>
        </w:tc>
        <w:tc>
          <w:tcPr>
            <w:tcW w:w="0" w:type="auto"/>
          </w:tcPr>
          <w:p w14:paraId="6999010B" w14:textId="2302478A" w:rsidR="001723FA" w:rsidRPr="004F1045" w:rsidRDefault="001723FA" w:rsidP="004E1C9A">
            <w:pPr>
              <w:jc w:val="center"/>
              <w:rPr>
                <w:rFonts w:ascii="Arial" w:hAnsi="Arial" w:cs="Arial"/>
                <w:sz w:val="18"/>
                <w:szCs w:val="18"/>
              </w:rPr>
            </w:pPr>
            <w:r>
              <w:rPr>
                <w:rFonts w:ascii="Arial" w:hAnsi="Arial" w:cs="Arial"/>
                <w:sz w:val="18"/>
                <w:szCs w:val="18"/>
              </w:rPr>
              <w:t>40</w:t>
            </w:r>
          </w:p>
        </w:tc>
        <w:tc>
          <w:tcPr>
            <w:tcW w:w="0" w:type="auto"/>
          </w:tcPr>
          <w:p w14:paraId="2DC9FE2E" w14:textId="5F86BCDA" w:rsidR="001723FA" w:rsidRDefault="001723FA" w:rsidP="004E1C9A">
            <w:pPr>
              <w:jc w:val="center"/>
              <w:rPr>
                <w:rFonts w:ascii="Arial" w:hAnsi="Arial" w:cs="Arial"/>
                <w:sz w:val="18"/>
                <w:szCs w:val="18"/>
              </w:rPr>
            </w:pPr>
            <w:r>
              <w:rPr>
                <w:rFonts w:ascii="Arial" w:hAnsi="Arial" w:cs="Arial"/>
                <w:sz w:val="18"/>
                <w:szCs w:val="18"/>
              </w:rPr>
              <w:t>G &amp; I</w:t>
            </w:r>
          </w:p>
        </w:tc>
        <w:tc>
          <w:tcPr>
            <w:tcW w:w="578" w:type="dxa"/>
            <w:shd w:val="clear" w:color="auto" w:fill="auto"/>
          </w:tcPr>
          <w:p w14:paraId="3928F5DD" w14:textId="77777777" w:rsidR="001723FA" w:rsidRPr="004F1045" w:rsidRDefault="001723FA" w:rsidP="004E1C9A">
            <w:pPr>
              <w:jc w:val="center"/>
              <w:rPr>
                <w:rFonts w:ascii="Arial" w:hAnsi="Arial" w:cs="Arial"/>
                <w:sz w:val="18"/>
                <w:szCs w:val="18"/>
              </w:rPr>
            </w:pPr>
          </w:p>
        </w:tc>
        <w:tc>
          <w:tcPr>
            <w:tcW w:w="750" w:type="dxa"/>
            <w:shd w:val="clear" w:color="auto" w:fill="auto"/>
          </w:tcPr>
          <w:p w14:paraId="736D003D" w14:textId="77777777" w:rsidR="001723FA" w:rsidRPr="004F1045" w:rsidRDefault="001723FA" w:rsidP="004E1C9A">
            <w:pPr>
              <w:jc w:val="center"/>
              <w:rPr>
                <w:rFonts w:ascii="Arial" w:hAnsi="Arial" w:cs="Arial"/>
                <w:sz w:val="18"/>
                <w:szCs w:val="18"/>
              </w:rPr>
            </w:pPr>
          </w:p>
        </w:tc>
        <w:tc>
          <w:tcPr>
            <w:tcW w:w="967" w:type="dxa"/>
            <w:shd w:val="clear" w:color="auto" w:fill="auto"/>
          </w:tcPr>
          <w:p w14:paraId="37AF2603" w14:textId="77777777" w:rsidR="001723FA" w:rsidRPr="004F1045" w:rsidRDefault="001723FA" w:rsidP="004E1C9A">
            <w:pPr>
              <w:jc w:val="center"/>
              <w:rPr>
                <w:rFonts w:ascii="Arial" w:hAnsi="Arial" w:cs="Arial"/>
                <w:sz w:val="18"/>
                <w:szCs w:val="18"/>
              </w:rPr>
            </w:pPr>
          </w:p>
        </w:tc>
        <w:tc>
          <w:tcPr>
            <w:tcW w:w="789" w:type="dxa"/>
            <w:shd w:val="clear" w:color="auto" w:fill="auto"/>
          </w:tcPr>
          <w:p w14:paraId="555212B0" w14:textId="77777777" w:rsidR="001723FA" w:rsidRPr="004F1045" w:rsidRDefault="001723FA" w:rsidP="004E1C9A">
            <w:pPr>
              <w:jc w:val="center"/>
              <w:rPr>
                <w:rFonts w:ascii="Arial" w:hAnsi="Arial" w:cs="Arial"/>
                <w:sz w:val="18"/>
                <w:szCs w:val="18"/>
              </w:rPr>
            </w:pPr>
          </w:p>
        </w:tc>
        <w:tc>
          <w:tcPr>
            <w:tcW w:w="534" w:type="dxa"/>
          </w:tcPr>
          <w:p w14:paraId="48A3BC5C" w14:textId="77777777" w:rsidR="001723FA" w:rsidRPr="004F1045" w:rsidRDefault="001723FA" w:rsidP="004E1C9A">
            <w:pPr>
              <w:jc w:val="center"/>
              <w:rPr>
                <w:rFonts w:ascii="Arial" w:hAnsi="Arial" w:cs="Arial"/>
                <w:sz w:val="18"/>
                <w:szCs w:val="18"/>
              </w:rPr>
            </w:pPr>
          </w:p>
        </w:tc>
        <w:tc>
          <w:tcPr>
            <w:tcW w:w="0" w:type="auto"/>
            <w:shd w:val="clear" w:color="auto" w:fill="FFFF00"/>
          </w:tcPr>
          <w:p w14:paraId="4C7DE7C5" w14:textId="77777777" w:rsidR="001723FA" w:rsidRPr="004F1045" w:rsidRDefault="001723FA" w:rsidP="004E1C9A">
            <w:pPr>
              <w:jc w:val="center"/>
              <w:rPr>
                <w:rFonts w:ascii="Arial" w:hAnsi="Arial" w:cs="Arial"/>
                <w:sz w:val="18"/>
                <w:szCs w:val="18"/>
              </w:rPr>
            </w:pPr>
          </w:p>
        </w:tc>
        <w:tc>
          <w:tcPr>
            <w:tcW w:w="0" w:type="auto"/>
            <w:shd w:val="clear" w:color="auto" w:fill="538135" w:themeFill="accent6" w:themeFillShade="BF"/>
          </w:tcPr>
          <w:p w14:paraId="15313BF2" w14:textId="1EF4A122" w:rsidR="001723FA" w:rsidRPr="004F1045" w:rsidRDefault="00E54558" w:rsidP="004E1C9A">
            <w:pPr>
              <w:jc w:val="center"/>
              <w:rPr>
                <w:rFonts w:ascii="Arial" w:hAnsi="Arial" w:cs="Arial"/>
                <w:sz w:val="18"/>
                <w:szCs w:val="18"/>
              </w:rPr>
            </w:pPr>
            <w:r>
              <w:rPr>
                <w:rFonts w:ascii="Arial" w:hAnsi="Arial" w:cs="Arial"/>
                <w:sz w:val="18"/>
                <w:szCs w:val="18"/>
              </w:rPr>
              <w:t>↑</w:t>
            </w:r>
          </w:p>
        </w:tc>
      </w:tr>
      <w:tr w:rsidR="001723FA" w:rsidRPr="004F1045" w14:paraId="131505DD" w14:textId="77777777" w:rsidTr="00253BAF">
        <w:tc>
          <w:tcPr>
            <w:tcW w:w="0" w:type="auto"/>
          </w:tcPr>
          <w:p w14:paraId="42F7BC9D" w14:textId="5241154C" w:rsidR="00D76DF6" w:rsidRPr="004F1045" w:rsidRDefault="00D76DF6" w:rsidP="004E1C9A">
            <w:pPr>
              <w:rPr>
                <w:rFonts w:ascii="Arial" w:hAnsi="Arial" w:cs="Arial"/>
                <w:sz w:val="18"/>
                <w:szCs w:val="18"/>
              </w:rPr>
            </w:pPr>
            <w:r w:rsidRPr="004F1045">
              <w:rPr>
                <w:rFonts w:ascii="Arial" w:hAnsi="Arial" w:cs="Arial"/>
                <w:sz w:val="18"/>
                <w:szCs w:val="18"/>
              </w:rPr>
              <w:t>Smecuol</w:t>
            </w:r>
            <w:r w:rsidR="004A0E8A" w:rsidRPr="004A0E8A">
              <w:rPr>
                <w:rFonts w:ascii="Arial" w:hAnsi="Arial" w:cs="Arial"/>
                <w:sz w:val="18"/>
                <w:szCs w:val="18"/>
                <w:vertAlign w:val="superscript"/>
              </w:rPr>
              <w:t>10</w:t>
            </w:r>
          </w:p>
        </w:tc>
        <w:tc>
          <w:tcPr>
            <w:tcW w:w="0" w:type="auto"/>
          </w:tcPr>
          <w:p w14:paraId="350BB7BD" w14:textId="77777777" w:rsidR="00D76DF6" w:rsidRPr="004F1045" w:rsidRDefault="00D76DF6" w:rsidP="004E1C9A">
            <w:pPr>
              <w:jc w:val="center"/>
              <w:rPr>
                <w:rFonts w:ascii="Arial" w:hAnsi="Arial" w:cs="Arial"/>
                <w:sz w:val="18"/>
                <w:szCs w:val="18"/>
              </w:rPr>
            </w:pPr>
            <w:r w:rsidRPr="004F1045">
              <w:rPr>
                <w:rFonts w:ascii="Arial" w:hAnsi="Arial" w:cs="Arial"/>
                <w:sz w:val="18"/>
                <w:szCs w:val="18"/>
              </w:rPr>
              <w:t>2013</w:t>
            </w:r>
          </w:p>
        </w:tc>
        <w:tc>
          <w:tcPr>
            <w:tcW w:w="0" w:type="auto"/>
          </w:tcPr>
          <w:p w14:paraId="1D94AC4C" w14:textId="77777777" w:rsidR="00D76DF6" w:rsidRPr="004F1045" w:rsidRDefault="00D76DF6" w:rsidP="004E1C9A">
            <w:pPr>
              <w:jc w:val="center"/>
              <w:rPr>
                <w:rFonts w:ascii="Arial" w:hAnsi="Arial" w:cs="Arial"/>
                <w:sz w:val="18"/>
                <w:szCs w:val="18"/>
              </w:rPr>
            </w:pPr>
            <w:r w:rsidRPr="004F1045">
              <w:rPr>
                <w:rFonts w:ascii="Arial" w:hAnsi="Arial" w:cs="Arial"/>
                <w:sz w:val="18"/>
                <w:szCs w:val="18"/>
              </w:rPr>
              <w:t>Argentina</w:t>
            </w:r>
          </w:p>
        </w:tc>
        <w:tc>
          <w:tcPr>
            <w:tcW w:w="0" w:type="auto"/>
          </w:tcPr>
          <w:p w14:paraId="6BA2A2E5" w14:textId="77777777" w:rsidR="00D76DF6" w:rsidRPr="004F1045" w:rsidRDefault="00D76DF6" w:rsidP="004E1C9A">
            <w:pPr>
              <w:jc w:val="center"/>
              <w:rPr>
                <w:rFonts w:ascii="Arial" w:hAnsi="Arial" w:cs="Arial"/>
                <w:sz w:val="18"/>
                <w:szCs w:val="18"/>
              </w:rPr>
            </w:pPr>
            <w:r w:rsidRPr="004F1045">
              <w:rPr>
                <w:rFonts w:ascii="Arial" w:hAnsi="Arial" w:cs="Arial"/>
                <w:sz w:val="18"/>
                <w:szCs w:val="18"/>
              </w:rPr>
              <w:t>Adults</w:t>
            </w:r>
          </w:p>
        </w:tc>
        <w:tc>
          <w:tcPr>
            <w:tcW w:w="0" w:type="auto"/>
          </w:tcPr>
          <w:p w14:paraId="59500960" w14:textId="77777777" w:rsidR="00D76DF6" w:rsidRPr="004F1045" w:rsidRDefault="00D76DF6" w:rsidP="004E1C9A">
            <w:pPr>
              <w:jc w:val="center"/>
              <w:rPr>
                <w:rFonts w:ascii="Arial" w:hAnsi="Arial" w:cs="Arial"/>
                <w:sz w:val="18"/>
                <w:szCs w:val="18"/>
              </w:rPr>
            </w:pPr>
            <w:r w:rsidRPr="004F1045">
              <w:rPr>
                <w:rFonts w:ascii="Arial" w:hAnsi="Arial" w:cs="Arial"/>
                <w:sz w:val="18"/>
                <w:szCs w:val="18"/>
              </w:rPr>
              <w:t>22</w:t>
            </w:r>
          </w:p>
        </w:tc>
        <w:tc>
          <w:tcPr>
            <w:tcW w:w="0" w:type="auto"/>
          </w:tcPr>
          <w:p w14:paraId="6E848E26" w14:textId="77777777" w:rsidR="00D76DF6" w:rsidRPr="004F1045" w:rsidRDefault="00D76DF6" w:rsidP="004E1C9A">
            <w:pPr>
              <w:jc w:val="center"/>
              <w:rPr>
                <w:rFonts w:ascii="Arial" w:hAnsi="Arial" w:cs="Arial"/>
                <w:sz w:val="18"/>
                <w:szCs w:val="18"/>
              </w:rPr>
            </w:pPr>
            <w:r>
              <w:rPr>
                <w:rFonts w:ascii="Arial" w:hAnsi="Arial" w:cs="Arial"/>
                <w:sz w:val="18"/>
                <w:szCs w:val="18"/>
              </w:rPr>
              <w:t>G</w:t>
            </w:r>
          </w:p>
        </w:tc>
        <w:tc>
          <w:tcPr>
            <w:tcW w:w="578" w:type="dxa"/>
          </w:tcPr>
          <w:p w14:paraId="6E4E45AF" w14:textId="77777777" w:rsidR="00D76DF6" w:rsidRPr="004F1045" w:rsidRDefault="00D76DF6" w:rsidP="004E1C9A">
            <w:pPr>
              <w:jc w:val="center"/>
              <w:rPr>
                <w:rFonts w:ascii="Arial" w:hAnsi="Arial" w:cs="Arial"/>
                <w:sz w:val="18"/>
                <w:szCs w:val="18"/>
              </w:rPr>
            </w:pPr>
          </w:p>
        </w:tc>
        <w:tc>
          <w:tcPr>
            <w:tcW w:w="750" w:type="dxa"/>
          </w:tcPr>
          <w:p w14:paraId="4BD42A68" w14:textId="77777777" w:rsidR="00D76DF6" w:rsidRPr="004F1045" w:rsidRDefault="00D76DF6" w:rsidP="004E1C9A">
            <w:pPr>
              <w:jc w:val="center"/>
              <w:rPr>
                <w:rFonts w:ascii="Arial" w:hAnsi="Arial" w:cs="Arial"/>
                <w:sz w:val="18"/>
                <w:szCs w:val="18"/>
              </w:rPr>
            </w:pPr>
          </w:p>
        </w:tc>
        <w:tc>
          <w:tcPr>
            <w:tcW w:w="967" w:type="dxa"/>
            <w:shd w:val="clear" w:color="auto" w:fill="FFFF00"/>
          </w:tcPr>
          <w:p w14:paraId="256BBDE9" w14:textId="77777777" w:rsidR="00D76DF6" w:rsidRPr="004F1045" w:rsidRDefault="00D76DF6" w:rsidP="004E1C9A">
            <w:pPr>
              <w:jc w:val="center"/>
              <w:rPr>
                <w:rFonts w:ascii="Arial" w:hAnsi="Arial" w:cs="Arial"/>
                <w:sz w:val="18"/>
                <w:szCs w:val="18"/>
              </w:rPr>
            </w:pPr>
          </w:p>
        </w:tc>
        <w:tc>
          <w:tcPr>
            <w:tcW w:w="789" w:type="dxa"/>
          </w:tcPr>
          <w:p w14:paraId="31615D3A" w14:textId="77777777" w:rsidR="00D76DF6" w:rsidRPr="004F1045" w:rsidRDefault="00D76DF6" w:rsidP="004E1C9A">
            <w:pPr>
              <w:jc w:val="center"/>
              <w:rPr>
                <w:rFonts w:ascii="Arial" w:hAnsi="Arial" w:cs="Arial"/>
                <w:sz w:val="18"/>
                <w:szCs w:val="18"/>
              </w:rPr>
            </w:pPr>
          </w:p>
        </w:tc>
        <w:tc>
          <w:tcPr>
            <w:tcW w:w="534" w:type="dxa"/>
          </w:tcPr>
          <w:p w14:paraId="7F423BC7" w14:textId="77777777" w:rsidR="00D76DF6" w:rsidRPr="004F1045" w:rsidRDefault="00D76DF6" w:rsidP="004E1C9A">
            <w:pPr>
              <w:jc w:val="center"/>
              <w:rPr>
                <w:rFonts w:ascii="Arial" w:hAnsi="Arial" w:cs="Arial"/>
                <w:sz w:val="18"/>
                <w:szCs w:val="18"/>
              </w:rPr>
            </w:pPr>
          </w:p>
        </w:tc>
        <w:tc>
          <w:tcPr>
            <w:tcW w:w="0" w:type="auto"/>
          </w:tcPr>
          <w:p w14:paraId="2AFC4CF6" w14:textId="77777777" w:rsidR="00D76DF6" w:rsidRPr="004F1045" w:rsidRDefault="00D76DF6" w:rsidP="004E1C9A">
            <w:pPr>
              <w:jc w:val="center"/>
              <w:rPr>
                <w:rFonts w:ascii="Arial" w:hAnsi="Arial" w:cs="Arial"/>
                <w:sz w:val="18"/>
                <w:szCs w:val="18"/>
              </w:rPr>
            </w:pPr>
          </w:p>
        </w:tc>
        <w:tc>
          <w:tcPr>
            <w:tcW w:w="0" w:type="auto"/>
          </w:tcPr>
          <w:p w14:paraId="2C214306" w14:textId="77777777" w:rsidR="00D76DF6" w:rsidRPr="004F1045" w:rsidRDefault="00D76DF6" w:rsidP="004E1C9A">
            <w:pPr>
              <w:jc w:val="center"/>
              <w:rPr>
                <w:rFonts w:ascii="Arial" w:hAnsi="Arial" w:cs="Arial"/>
                <w:sz w:val="18"/>
                <w:szCs w:val="18"/>
              </w:rPr>
            </w:pPr>
          </w:p>
        </w:tc>
      </w:tr>
      <w:tr w:rsidR="001723FA" w:rsidRPr="004F1045" w14:paraId="71863F9A" w14:textId="77777777" w:rsidTr="00E54558">
        <w:tc>
          <w:tcPr>
            <w:tcW w:w="0" w:type="auto"/>
          </w:tcPr>
          <w:p w14:paraId="288EAA1B" w14:textId="4C01873A" w:rsidR="00D76DF6" w:rsidRPr="004F1045" w:rsidRDefault="00D76DF6" w:rsidP="004E1C9A">
            <w:pPr>
              <w:rPr>
                <w:rFonts w:ascii="Arial" w:hAnsi="Arial" w:cs="Arial"/>
                <w:sz w:val="18"/>
                <w:szCs w:val="18"/>
              </w:rPr>
            </w:pPr>
            <w:r w:rsidRPr="004F1045">
              <w:rPr>
                <w:rFonts w:ascii="Arial" w:hAnsi="Arial" w:cs="Arial"/>
                <w:sz w:val="18"/>
                <w:szCs w:val="18"/>
              </w:rPr>
              <w:t>Smecuol</w:t>
            </w:r>
            <w:r w:rsidR="004A0E8A" w:rsidRPr="004A0E8A">
              <w:rPr>
                <w:rFonts w:ascii="Arial" w:hAnsi="Arial" w:cs="Arial"/>
                <w:sz w:val="18"/>
                <w:szCs w:val="18"/>
                <w:vertAlign w:val="superscript"/>
              </w:rPr>
              <w:t>26</w:t>
            </w:r>
          </w:p>
        </w:tc>
        <w:tc>
          <w:tcPr>
            <w:tcW w:w="0" w:type="auto"/>
          </w:tcPr>
          <w:p w14:paraId="042097D7" w14:textId="77777777" w:rsidR="00D76DF6" w:rsidRPr="004F1045" w:rsidRDefault="00D76DF6" w:rsidP="004E1C9A">
            <w:pPr>
              <w:jc w:val="center"/>
              <w:rPr>
                <w:rFonts w:ascii="Arial" w:hAnsi="Arial" w:cs="Arial"/>
                <w:sz w:val="18"/>
                <w:szCs w:val="18"/>
              </w:rPr>
            </w:pPr>
            <w:r w:rsidRPr="004F1045">
              <w:rPr>
                <w:rFonts w:ascii="Arial" w:hAnsi="Arial" w:cs="Arial"/>
                <w:sz w:val="18"/>
                <w:szCs w:val="18"/>
              </w:rPr>
              <w:t>2019</w:t>
            </w:r>
          </w:p>
        </w:tc>
        <w:tc>
          <w:tcPr>
            <w:tcW w:w="0" w:type="auto"/>
          </w:tcPr>
          <w:p w14:paraId="716DD843" w14:textId="77777777" w:rsidR="00D76DF6" w:rsidRPr="004F1045" w:rsidRDefault="00D76DF6" w:rsidP="004E1C9A">
            <w:pPr>
              <w:jc w:val="center"/>
              <w:rPr>
                <w:rFonts w:ascii="Arial" w:hAnsi="Arial" w:cs="Arial"/>
                <w:sz w:val="18"/>
                <w:szCs w:val="18"/>
              </w:rPr>
            </w:pPr>
            <w:r w:rsidRPr="004F1045">
              <w:rPr>
                <w:rFonts w:ascii="Arial" w:hAnsi="Arial" w:cs="Arial"/>
                <w:sz w:val="18"/>
                <w:szCs w:val="18"/>
              </w:rPr>
              <w:t>Argentina</w:t>
            </w:r>
          </w:p>
        </w:tc>
        <w:tc>
          <w:tcPr>
            <w:tcW w:w="0" w:type="auto"/>
          </w:tcPr>
          <w:p w14:paraId="1E0E7548" w14:textId="77777777" w:rsidR="00D76DF6" w:rsidRPr="004F1045" w:rsidRDefault="00D76DF6" w:rsidP="004E1C9A">
            <w:pPr>
              <w:jc w:val="center"/>
              <w:rPr>
                <w:rFonts w:ascii="Arial" w:hAnsi="Arial" w:cs="Arial"/>
                <w:sz w:val="18"/>
                <w:szCs w:val="18"/>
              </w:rPr>
            </w:pPr>
            <w:r w:rsidRPr="004F1045">
              <w:rPr>
                <w:rFonts w:ascii="Arial" w:hAnsi="Arial" w:cs="Arial"/>
                <w:sz w:val="18"/>
                <w:szCs w:val="18"/>
              </w:rPr>
              <w:t>Adults</w:t>
            </w:r>
          </w:p>
        </w:tc>
        <w:tc>
          <w:tcPr>
            <w:tcW w:w="0" w:type="auto"/>
          </w:tcPr>
          <w:p w14:paraId="2BB61736" w14:textId="77777777" w:rsidR="00D76DF6" w:rsidRPr="004F1045" w:rsidRDefault="00D76DF6" w:rsidP="004E1C9A">
            <w:pPr>
              <w:jc w:val="center"/>
              <w:rPr>
                <w:rFonts w:ascii="Arial" w:hAnsi="Arial" w:cs="Arial"/>
                <w:sz w:val="18"/>
                <w:szCs w:val="18"/>
              </w:rPr>
            </w:pPr>
            <w:r w:rsidRPr="004F1045">
              <w:rPr>
                <w:rFonts w:ascii="Arial" w:hAnsi="Arial" w:cs="Arial"/>
                <w:sz w:val="18"/>
                <w:szCs w:val="18"/>
              </w:rPr>
              <w:t>12</w:t>
            </w:r>
          </w:p>
        </w:tc>
        <w:tc>
          <w:tcPr>
            <w:tcW w:w="0" w:type="auto"/>
          </w:tcPr>
          <w:p w14:paraId="03A5341C" w14:textId="77777777" w:rsidR="00D76DF6" w:rsidRPr="004F1045" w:rsidRDefault="00D76DF6" w:rsidP="004E1C9A">
            <w:pPr>
              <w:jc w:val="center"/>
              <w:rPr>
                <w:rFonts w:ascii="Arial" w:hAnsi="Arial" w:cs="Arial"/>
                <w:sz w:val="18"/>
                <w:szCs w:val="18"/>
              </w:rPr>
            </w:pPr>
            <w:r>
              <w:rPr>
                <w:rFonts w:ascii="Arial" w:hAnsi="Arial" w:cs="Arial"/>
                <w:sz w:val="18"/>
                <w:szCs w:val="18"/>
              </w:rPr>
              <w:t>NR</w:t>
            </w:r>
          </w:p>
        </w:tc>
        <w:tc>
          <w:tcPr>
            <w:tcW w:w="578" w:type="dxa"/>
            <w:shd w:val="clear" w:color="auto" w:fill="538135" w:themeFill="accent6" w:themeFillShade="BF"/>
          </w:tcPr>
          <w:p w14:paraId="73CCC034" w14:textId="5DB9690F" w:rsidR="00D76DF6" w:rsidRPr="004F1045" w:rsidRDefault="00E54558" w:rsidP="004E1C9A">
            <w:pPr>
              <w:jc w:val="center"/>
              <w:rPr>
                <w:rFonts w:ascii="Arial" w:hAnsi="Arial" w:cs="Arial"/>
                <w:sz w:val="18"/>
                <w:szCs w:val="18"/>
              </w:rPr>
            </w:pPr>
            <w:r>
              <w:rPr>
                <w:rFonts w:ascii="Arial" w:hAnsi="Arial" w:cs="Arial"/>
                <w:sz w:val="18"/>
                <w:szCs w:val="18"/>
              </w:rPr>
              <w:t>↓</w:t>
            </w:r>
          </w:p>
        </w:tc>
        <w:tc>
          <w:tcPr>
            <w:tcW w:w="750" w:type="dxa"/>
          </w:tcPr>
          <w:p w14:paraId="10F68746" w14:textId="77777777" w:rsidR="00D76DF6" w:rsidRPr="004F1045" w:rsidRDefault="00D76DF6" w:rsidP="004E1C9A">
            <w:pPr>
              <w:jc w:val="center"/>
              <w:rPr>
                <w:rFonts w:ascii="Arial" w:hAnsi="Arial" w:cs="Arial"/>
                <w:sz w:val="18"/>
                <w:szCs w:val="18"/>
              </w:rPr>
            </w:pPr>
          </w:p>
        </w:tc>
        <w:tc>
          <w:tcPr>
            <w:tcW w:w="967" w:type="dxa"/>
            <w:shd w:val="clear" w:color="auto" w:fill="FFFF00"/>
          </w:tcPr>
          <w:p w14:paraId="5CB04FFC" w14:textId="77777777" w:rsidR="00D76DF6" w:rsidRPr="004F1045" w:rsidRDefault="00D76DF6" w:rsidP="004E1C9A">
            <w:pPr>
              <w:jc w:val="center"/>
              <w:rPr>
                <w:rFonts w:ascii="Arial" w:hAnsi="Arial" w:cs="Arial"/>
                <w:sz w:val="18"/>
                <w:szCs w:val="18"/>
              </w:rPr>
            </w:pPr>
          </w:p>
        </w:tc>
        <w:tc>
          <w:tcPr>
            <w:tcW w:w="789" w:type="dxa"/>
          </w:tcPr>
          <w:p w14:paraId="72F9624A" w14:textId="77777777" w:rsidR="00D76DF6" w:rsidRPr="004F1045" w:rsidRDefault="00D76DF6" w:rsidP="004E1C9A">
            <w:pPr>
              <w:jc w:val="center"/>
              <w:rPr>
                <w:rFonts w:ascii="Arial" w:hAnsi="Arial" w:cs="Arial"/>
                <w:sz w:val="18"/>
                <w:szCs w:val="18"/>
              </w:rPr>
            </w:pPr>
          </w:p>
        </w:tc>
        <w:tc>
          <w:tcPr>
            <w:tcW w:w="534" w:type="dxa"/>
            <w:shd w:val="clear" w:color="auto" w:fill="FFFF00"/>
          </w:tcPr>
          <w:p w14:paraId="643CB8BA" w14:textId="77777777" w:rsidR="00D76DF6" w:rsidRPr="004F1045" w:rsidRDefault="00D76DF6" w:rsidP="004E1C9A">
            <w:pPr>
              <w:jc w:val="center"/>
              <w:rPr>
                <w:rFonts w:ascii="Arial" w:hAnsi="Arial" w:cs="Arial"/>
                <w:sz w:val="18"/>
                <w:szCs w:val="18"/>
              </w:rPr>
            </w:pPr>
          </w:p>
        </w:tc>
        <w:tc>
          <w:tcPr>
            <w:tcW w:w="0" w:type="auto"/>
          </w:tcPr>
          <w:p w14:paraId="08879D8D" w14:textId="77777777" w:rsidR="00D76DF6" w:rsidRPr="004F1045" w:rsidRDefault="00D76DF6" w:rsidP="004E1C9A">
            <w:pPr>
              <w:jc w:val="center"/>
              <w:rPr>
                <w:rFonts w:ascii="Arial" w:hAnsi="Arial" w:cs="Arial"/>
                <w:sz w:val="18"/>
                <w:szCs w:val="18"/>
              </w:rPr>
            </w:pPr>
          </w:p>
        </w:tc>
        <w:tc>
          <w:tcPr>
            <w:tcW w:w="0" w:type="auto"/>
          </w:tcPr>
          <w:p w14:paraId="55B3E5DD" w14:textId="77777777" w:rsidR="00D76DF6" w:rsidRPr="004F1045" w:rsidRDefault="00D76DF6" w:rsidP="004E1C9A">
            <w:pPr>
              <w:jc w:val="center"/>
              <w:rPr>
                <w:rFonts w:ascii="Arial" w:hAnsi="Arial" w:cs="Arial"/>
                <w:sz w:val="18"/>
                <w:szCs w:val="18"/>
              </w:rPr>
            </w:pPr>
          </w:p>
        </w:tc>
      </w:tr>
    </w:tbl>
    <w:p w14:paraId="4642DB80" w14:textId="13EBF344" w:rsidR="00D76DF6" w:rsidRPr="004F1045" w:rsidRDefault="00D76DF6" w:rsidP="00D76DF6">
      <w:pPr>
        <w:rPr>
          <w:rFonts w:ascii="Arial" w:hAnsi="Arial" w:cs="Arial"/>
          <w:sz w:val="16"/>
          <w:szCs w:val="16"/>
        </w:rPr>
      </w:pPr>
      <w:r w:rsidRPr="004F1045">
        <w:rPr>
          <w:rFonts w:ascii="Arial" w:hAnsi="Arial" w:cs="Arial"/>
          <w:sz w:val="16"/>
          <w:szCs w:val="16"/>
        </w:rPr>
        <w:t xml:space="preserve">NOTE: Study design: all RCTs; Green: </w:t>
      </w:r>
      <w:r w:rsidR="00253BAF">
        <w:rPr>
          <w:rFonts w:ascii="Arial" w:hAnsi="Arial" w:cs="Arial"/>
          <w:sz w:val="16"/>
          <w:szCs w:val="16"/>
        </w:rPr>
        <w:t xml:space="preserve">Significant </w:t>
      </w:r>
      <w:r w:rsidR="00E54558">
        <w:rPr>
          <w:rFonts w:ascii="Arial" w:hAnsi="Arial" w:cs="Arial"/>
          <w:sz w:val="16"/>
          <w:szCs w:val="16"/>
        </w:rPr>
        <w:t>benefit</w:t>
      </w:r>
      <w:r w:rsidR="00253BAF">
        <w:rPr>
          <w:rFonts w:ascii="Arial" w:hAnsi="Arial" w:cs="Arial"/>
          <w:sz w:val="16"/>
          <w:szCs w:val="16"/>
        </w:rPr>
        <w:t xml:space="preserve"> in</w:t>
      </w:r>
      <w:r w:rsidR="00A92EE1">
        <w:rPr>
          <w:rFonts w:ascii="Arial" w:hAnsi="Arial" w:cs="Arial"/>
          <w:sz w:val="16"/>
          <w:szCs w:val="16"/>
        </w:rPr>
        <w:t xml:space="preserve"> </w:t>
      </w:r>
      <w:r w:rsidRPr="004F1045">
        <w:rPr>
          <w:rFonts w:ascii="Arial" w:hAnsi="Arial" w:cs="Arial"/>
          <w:sz w:val="16"/>
          <w:szCs w:val="16"/>
        </w:rPr>
        <w:t>probiotic</w:t>
      </w:r>
      <w:r w:rsidR="00253BAF">
        <w:rPr>
          <w:rFonts w:ascii="Arial" w:hAnsi="Arial" w:cs="Arial"/>
          <w:sz w:val="16"/>
          <w:szCs w:val="16"/>
        </w:rPr>
        <w:t>s vs placebo</w:t>
      </w:r>
      <w:r w:rsidRPr="004F1045">
        <w:rPr>
          <w:rFonts w:ascii="Arial" w:hAnsi="Arial" w:cs="Arial"/>
          <w:sz w:val="16"/>
          <w:szCs w:val="16"/>
        </w:rPr>
        <w:t xml:space="preserve">; Yellow: no </w:t>
      </w:r>
      <w:r w:rsidR="00A92EE1">
        <w:rPr>
          <w:rFonts w:ascii="Arial" w:hAnsi="Arial" w:cs="Arial"/>
          <w:sz w:val="16"/>
          <w:szCs w:val="16"/>
        </w:rPr>
        <w:t xml:space="preserve">difference </w:t>
      </w:r>
      <w:r w:rsidRPr="004F1045">
        <w:rPr>
          <w:rFonts w:ascii="Arial" w:hAnsi="Arial" w:cs="Arial"/>
          <w:sz w:val="16"/>
          <w:szCs w:val="16"/>
        </w:rPr>
        <w:t xml:space="preserve">probiotic </w:t>
      </w:r>
      <w:r w:rsidR="00A92EE1">
        <w:rPr>
          <w:rFonts w:ascii="Arial" w:hAnsi="Arial" w:cs="Arial"/>
          <w:sz w:val="16"/>
          <w:szCs w:val="16"/>
        </w:rPr>
        <w:t>vs placebo</w:t>
      </w:r>
      <w:r w:rsidR="00D40250">
        <w:rPr>
          <w:rFonts w:ascii="Arial" w:hAnsi="Arial" w:cs="Arial"/>
          <w:sz w:val="16"/>
          <w:szCs w:val="16"/>
        </w:rPr>
        <w:t>; white: outcome not assessed.</w:t>
      </w:r>
      <w:r w:rsidR="00E54558">
        <w:rPr>
          <w:rFonts w:ascii="Arial" w:hAnsi="Arial" w:cs="Arial"/>
          <w:sz w:val="16"/>
          <w:szCs w:val="16"/>
        </w:rPr>
        <w:t xml:space="preserve">  </w:t>
      </w:r>
      <w:r w:rsidRPr="004F1045">
        <w:rPr>
          <w:rFonts w:ascii="Arial" w:hAnsi="Arial" w:cs="Arial"/>
          <w:sz w:val="16"/>
          <w:szCs w:val="16"/>
        </w:rPr>
        <w:t xml:space="preserve"> Abbreviations: </w:t>
      </w:r>
      <w:proofErr w:type="spellStart"/>
      <w:r w:rsidRPr="004F1045">
        <w:rPr>
          <w:rFonts w:ascii="Arial" w:hAnsi="Arial" w:cs="Arial"/>
          <w:sz w:val="16"/>
          <w:szCs w:val="16"/>
        </w:rPr>
        <w:t>Bifido</w:t>
      </w:r>
      <w:proofErr w:type="spellEnd"/>
      <w:r w:rsidRPr="004F1045">
        <w:rPr>
          <w:rFonts w:ascii="Arial" w:hAnsi="Arial" w:cs="Arial"/>
          <w:sz w:val="16"/>
          <w:szCs w:val="16"/>
        </w:rPr>
        <w:t xml:space="preserve"> = Bifidobacteria</w:t>
      </w:r>
      <w:r>
        <w:rPr>
          <w:rFonts w:ascii="Arial" w:hAnsi="Arial" w:cs="Arial"/>
          <w:sz w:val="16"/>
          <w:szCs w:val="16"/>
        </w:rPr>
        <w:t xml:space="preserve">; </w:t>
      </w:r>
      <w:r w:rsidRPr="004F1045">
        <w:rPr>
          <w:rFonts w:ascii="Arial" w:hAnsi="Arial" w:cs="Arial"/>
          <w:sz w:val="16"/>
          <w:szCs w:val="16"/>
        </w:rPr>
        <w:t>GI = gastrointestinal symptoms</w:t>
      </w:r>
      <w:r>
        <w:rPr>
          <w:rFonts w:ascii="Arial" w:hAnsi="Arial" w:cs="Arial"/>
          <w:sz w:val="16"/>
          <w:szCs w:val="16"/>
        </w:rPr>
        <w:t xml:space="preserve">; G = </w:t>
      </w:r>
      <w:r w:rsidR="00E54558">
        <w:rPr>
          <w:rFonts w:ascii="Arial" w:hAnsi="Arial" w:cs="Arial"/>
          <w:sz w:val="16"/>
          <w:szCs w:val="16"/>
        </w:rPr>
        <w:t xml:space="preserve">peer-reviewed </w:t>
      </w:r>
      <w:r>
        <w:rPr>
          <w:rFonts w:ascii="Arial" w:hAnsi="Arial" w:cs="Arial"/>
          <w:sz w:val="16"/>
          <w:szCs w:val="16"/>
        </w:rPr>
        <w:t xml:space="preserve">grant; I = industry; </w:t>
      </w:r>
      <w:r w:rsidRPr="004F1045">
        <w:rPr>
          <w:rFonts w:ascii="Arial" w:hAnsi="Arial" w:cs="Arial"/>
          <w:sz w:val="16"/>
          <w:szCs w:val="16"/>
        </w:rPr>
        <w:t>IP = intestinal permeability</w:t>
      </w:r>
      <w:r>
        <w:rPr>
          <w:rFonts w:ascii="Arial" w:hAnsi="Arial" w:cs="Arial"/>
          <w:sz w:val="16"/>
          <w:szCs w:val="16"/>
        </w:rPr>
        <w:t>;</w:t>
      </w:r>
      <w:r w:rsidRPr="004F1045">
        <w:rPr>
          <w:rFonts w:ascii="Arial" w:hAnsi="Arial" w:cs="Arial"/>
          <w:sz w:val="16"/>
          <w:szCs w:val="16"/>
        </w:rPr>
        <w:t xml:space="preserve"> </w:t>
      </w:r>
      <w:proofErr w:type="spellStart"/>
      <w:r w:rsidRPr="004F1045">
        <w:rPr>
          <w:rFonts w:ascii="Arial" w:hAnsi="Arial" w:cs="Arial"/>
          <w:sz w:val="16"/>
          <w:szCs w:val="16"/>
        </w:rPr>
        <w:t>Lacto</w:t>
      </w:r>
      <w:proofErr w:type="spellEnd"/>
      <w:r w:rsidRPr="004F1045">
        <w:rPr>
          <w:rFonts w:ascii="Arial" w:hAnsi="Arial" w:cs="Arial"/>
          <w:sz w:val="16"/>
          <w:szCs w:val="16"/>
        </w:rPr>
        <w:t xml:space="preserve"> = Lactobacilli</w:t>
      </w:r>
      <w:r>
        <w:rPr>
          <w:rFonts w:ascii="Arial" w:hAnsi="Arial" w:cs="Arial"/>
          <w:sz w:val="16"/>
          <w:szCs w:val="16"/>
        </w:rPr>
        <w:t>; NR = not reported</w:t>
      </w:r>
      <w:r w:rsidRPr="004F1045">
        <w:rPr>
          <w:rFonts w:ascii="Arial" w:hAnsi="Arial" w:cs="Arial"/>
          <w:sz w:val="16"/>
          <w:szCs w:val="16"/>
        </w:rPr>
        <w:t>; Q</w:t>
      </w:r>
      <w:r>
        <w:rPr>
          <w:rFonts w:ascii="Arial" w:hAnsi="Arial" w:cs="Arial"/>
          <w:sz w:val="16"/>
          <w:szCs w:val="16"/>
        </w:rPr>
        <w:t>O</w:t>
      </w:r>
      <w:r w:rsidRPr="004F1045">
        <w:rPr>
          <w:rFonts w:ascii="Arial" w:hAnsi="Arial" w:cs="Arial"/>
          <w:sz w:val="16"/>
          <w:szCs w:val="16"/>
        </w:rPr>
        <w:t xml:space="preserve">L= quality of life; </w:t>
      </w:r>
      <w:r w:rsidR="00086B42">
        <w:rPr>
          <w:rFonts w:ascii="Arial" w:hAnsi="Arial" w:cs="Arial"/>
          <w:sz w:val="16"/>
          <w:szCs w:val="16"/>
        </w:rPr>
        <w:t>AE</w:t>
      </w:r>
      <w:r w:rsidRPr="004F1045">
        <w:rPr>
          <w:rFonts w:ascii="Arial" w:hAnsi="Arial" w:cs="Arial"/>
          <w:sz w:val="16"/>
          <w:szCs w:val="16"/>
        </w:rPr>
        <w:t xml:space="preserve"> = adverse events; TNF-</w:t>
      </w:r>
      <w:r>
        <w:rPr>
          <w:rFonts w:ascii="Arial" w:hAnsi="Arial" w:cs="Arial"/>
          <w:sz w:val="16"/>
          <w:szCs w:val="16"/>
        </w:rPr>
        <w:t>α</w:t>
      </w:r>
      <w:r w:rsidRPr="004F1045">
        <w:rPr>
          <w:rFonts w:ascii="Arial" w:hAnsi="Arial" w:cs="Arial"/>
          <w:sz w:val="16"/>
          <w:szCs w:val="16"/>
        </w:rPr>
        <w:t xml:space="preserve"> = change in serum TNF-</w:t>
      </w:r>
      <w:r>
        <w:rPr>
          <w:rFonts w:ascii="Arial" w:hAnsi="Arial" w:cs="Arial"/>
          <w:sz w:val="16"/>
          <w:szCs w:val="16"/>
        </w:rPr>
        <w:t>α</w:t>
      </w:r>
      <w:r w:rsidRPr="004F1045">
        <w:rPr>
          <w:rFonts w:ascii="Arial" w:hAnsi="Arial" w:cs="Arial"/>
          <w:sz w:val="16"/>
          <w:szCs w:val="16"/>
        </w:rPr>
        <w:t xml:space="preserve">. </w:t>
      </w:r>
      <w:r w:rsidR="00E54558">
        <w:rPr>
          <w:rFonts w:ascii="Arial" w:hAnsi="Arial" w:cs="Arial"/>
          <w:sz w:val="16"/>
          <w:szCs w:val="16"/>
        </w:rPr>
        <w:t>Symbols: ↑=increase; ↓=decrease.</w:t>
      </w:r>
    </w:p>
    <w:p w14:paraId="0DEB8E5A" w14:textId="33802BFF" w:rsidR="00D76DF6" w:rsidRDefault="00D76DF6" w:rsidP="00D76DF6">
      <w:pPr>
        <w:rPr>
          <w:rFonts w:ascii="Arial" w:hAnsi="Arial" w:cs="Arial"/>
          <w:sz w:val="20"/>
          <w:szCs w:val="20"/>
        </w:rPr>
      </w:pPr>
    </w:p>
    <w:p w14:paraId="57249314" w14:textId="63C11A31" w:rsidR="00811768" w:rsidRPr="00962FB2" w:rsidRDefault="00E66676" w:rsidP="00D76DF6">
      <w:pPr>
        <w:rPr>
          <w:rFonts w:ascii="Arial" w:hAnsi="Arial" w:cs="Arial"/>
          <w:b/>
          <w:bCs/>
        </w:rPr>
      </w:pPr>
      <w:r w:rsidRPr="00962FB2">
        <w:rPr>
          <w:rFonts w:ascii="Arial" w:hAnsi="Arial" w:cs="Arial"/>
          <w:b/>
          <w:bCs/>
        </w:rPr>
        <w:t>Appendix 4</w:t>
      </w:r>
      <w:r w:rsidR="00811768" w:rsidRPr="00962FB2">
        <w:rPr>
          <w:rFonts w:ascii="Arial" w:hAnsi="Arial" w:cs="Arial"/>
          <w:b/>
          <w:bCs/>
        </w:rPr>
        <w:t xml:space="preserve">. </w:t>
      </w:r>
      <w:r w:rsidRPr="00962FB2">
        <w:rPr>
          <w:rFonts w:ascii="Arial" w:hAnsi="Arial" w:cs="Arial"/>
          <w:b/>
          <w:bCs/>
        </w:rPr>
        <w:t>Effect of probiotics vs. placebo on GI symptoms, sub-grouped by</w:t>
      </w:r>
      <w:r w:rsidR="00357592">
        <w:rPr>
          <w:rFonts w:ascii="Arial" w:hAnsi="Arial" w:cs="Arial"/>
          <w:b/>
          <w:bCs/>
        </w:rPr>
        <w:t xml:space="preserve"> presence of IBS diagnosis</w:t>
      </w:r>
      <w:r w:rsidRPr="00962FB2">
        <w:rPr>
          <w:rFonts w:ascii="Arial" w:hAnsi="Arial" w:cs="Arial"/>
          <w:b/>
          <w:bCs/>
        </w:rPr>
        <w:t xml:space="preserve">. </w:t>
      </w:r>
    </w:p>
    <w:p w14:paraId="3DDF2872" w14:textId="351F6413" w:rsidR="00357592" w:rsidRDefault="00357592" w:rsidP="00D76DF6">
      <w:pPr>
        <w:rPr>
          <w:rFonts w:ascii="Arial" w:hAnsi="Arial" w:cs="Arial"/>
          <w:sz w:val="20"/>
          <w:szCs w:val="20"/>
        </w:rPr>
      </w:pPr>
      <w:r w:rsidRPr="00A5030E">
        <w:rPr>
          <w:rFonts w:ascii="Arial" w:hAnsi="Arial" w:cs="Arial"/>
          <w:noProof/>
          <w:sz w:val="20"/>
          <w:szCs w:val="20"/>
        </w:rPr>
        <w:drawing>
          <wp:inline distT="0" distB="0" distL="0" distR="0" wp14:anchorId="104EEB65" wp14:editId="4FFC3035">
            <wp:extent cx="6332220" cy="314261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32220" cy="3142615"/>
                    </a:xfrm>
                    <a:prstGeom prst="rect">
                      <a:avLst/>
                    </a:prstGeom>
                  </pic:spPr>
                </pic:pic>
              </a:graphicData>
            </a:graphic>
          </wp:inline>
        </w:drawing>
      </w:r>
    </w:p>
    <w:p w14:paraId="20C0C5CC" w14:textId="5F6328D4" w:rsidR="00D76DF6" w:rsidRDefault="00D76DF6" w:rsidP="00D76DF6">
      <w:pPr>
        <w:rPr>
          <w:rFonts w:ascii="Arial" w:hAnsi="Arial" w:cs="Arial"/>
          <w:sz w:val="20"/>
          <w:szCs w:val="20"/>
        </w:rPr>
      </w:pPr>
    </w:p>
    <w:p w14:paraId="199BE45F" w14:textId="0C94CCC2" w:rsidR="00A5030E" w:rsidRDefault="00A5030E">
      <w:pPr>
        <w:rPr>
          <w:rFonts w:ascii="Arial" w:hAnsi="Arial" w:cs="Arial"/>
          <w:sz w:val="20"/>
          <w:szCs w:val="20"/>
        </w:rPr>
      </w:pPr>
      <w:r>
        <w:rPr>
          <w:rFonts w:ascii="Arial" w:hAnsi="Arial" w:cs="Arial"/>
          <w:sz w:val="20"/>
          <w:szCs w:val="20"/>
        </w:rPr>
        <w:br w:type="page"/>
      </w:r>
    </w:p>
    <w:p w14:paraId="437FE373" w14:textId="1B9A5F3F" w:rsidR="00A5030E" w:rsidRDefault="006C6325" w:rsidP="006C6325">
      <w:pPr>
        <w:spacing w:after="0"/>
        <w:rPr>
          <w:rFonts w:ascii="Arial" w:hAnsi="Arial" w:cs="Arial"/>
          <w:b/>
          <w:bCs/>
        </w:rPr>
      </w:pPr>
      <w:r w:rsidRPr="00281271">
        <w:rPr>
          <w:rFonts w:ascii="Arial" w:hAnsi="Arial" w:cs="Arial"/>
          <w:b/>
          <w:bCs/>
        </w:rPr>
        <w:lastRenderedPageBreak/>
        <w:t xml:space="preserve">Appendix </w:t>
      </w:r>
      <w:r>
        <w:rPr>
          <w:rFonts w:ascii="Arial" w:hAnsi="Arial" w:cs="Arial"/>
          <w:b/>
          <w:bCs/>
        </w:rPr>
        <w:t>5</w:t>
      </w:r>
      <w:r w:rsidRPr="00281271">
        <w:rPr>
          <w:rFonts w:ascii="Arial" w:hAnsi="Arial" w:cs="Arial"/>
          <w:b/>
          <w:bCs/>
        </w:rPr>
        <w:t>. Effect of probiotics vs. placebo on</w:t>
      </w:r>
      <w:r>
        <w:rPr>
          <w:rFonts w:ascii="Arial" w:hAnsi="Arial" w:cs="Arial"/>
          <w:b/>
          <w:bCs/>
        </w:rPr>
        <w:t xml:space="preserve"> GI symptoms, sub-grouped by</w:t>
      </w:r>
      <w:r w:rsidR="00357592">
        <w:rPr>
          <w:rFonts w:ascii="Arial" w:hAnsi="Arial" w:cs="Arial"/>
          <w:b/>
          <w:bCs/>
        </w:rPr>
        <w:t xml:space="preserve"> GFD adherence</w:t>
      </w:r>
      <w:r>
        <w:rPr>
          <w:rFonts w:ascii="Arial" w:hAnsi="Arial" w:cs="Arial"/>
          <w:b/>
          <w:bCs/>
        </w:rPr>
        <w:t>.</w:t>
      </w:r>
    </w:p>
    <w:p w14:paraId="640907A1" w14:textId="77777777" w:rsidR="006C6325" w:rsidRPr="006C6325" w:rsidRDefault="006C6325" w:rsidP="006C6325">
      <w:pPr>
        <w:spacing w:after="0"/>
        <w:rPr>
          <w:rFonts w:ascii="Arial" w:hAnsi="Arial" w:cs="Arial"/>
          <w:b/>
          <w:bCs/>
        </w:rPr>
      </w:pPr>
    </w:p>
    <w:p w14:paraId="67EEC250" w14:textId="7A2241AD" w:rsidR="00A5030E" w:rsidRPr="004F1045" w:rsidRDefault="00357592" w:rsidP="00D76DF6">
      <w:pPr>
        <w:rPr>
          <w:rFonts w:ascii="Arial" w:hAnsi="Arial" w:cs="Arial"/>
          <w:sz w:val="20"/>
          <w:szCs w:val="20"/>
        </w:rPr>
      </w:pPr>
      <w:r w:rsidRPr="00811768">
        <w:rPr>
          <w:rFonts w:ascii="Arial" w:hAnsi="Arial" w:cs="Arial"/>
          <w:noProof/>
          <w:sz w:val="20"/>
          <w:szCs w:val="20"/>
        </w:rPr>
        <w:drawing>
          <wp:inline distT="0" distB="0" distL="0" distR="0" wp14:anchorId="0F3E8E66" wp14:editId="3FCB59EA">
            <wp:extent cx="6332220" cy="31426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32220" cy="3142615"/>
                    </a:xfrm>
                    <a:prstGeom prst="rect">
                      <a:avLst/>
                    </a:prstGeom>
                  </pic:spPr>
                </pic:pic>
              </a:graphicData>
            </a:graphic>
          </wp:inline>
        </w:drawing>
      </w:r>
    </w:p>
    <w:p w14:paraId="5256D542" w14:textId="77777777" w:rsidR="00281271" w:rsidRDefault="00281271" w:rsidP="00AD2F0F">
      <w:pPr>
        <w:spacing w:after="0"/>
        <w:rPr>
          <w:rFonts w:ascii="Arial" w:hAnsi="Arial" w:cs="Arial"/>
          <w:b/>
          <w:bCs/>
        </w:rPr>
      </w:pPr>
    </w:p>
    <w:p w14:paraId="1AAC6FD4" w14:textId="63501467" w:rsidR="001F190F" w:rsidRDefault="001F190F" w:rsidP="00AD2F0F">
      <w:pPr>
        <w:spacing w:after="0"/>
        <w:rPr>
          <w:rFonts w:ascii="Arial" w:hAnsi="Arial" w:cs="Arial"/>
          <w:b/>
          <w:bCs/>
        </w:rPr>
      </w:pPr>
      <w:r w:rsidRPr="00281271">
        <w:rPr>
          <w:rFonts w:ascii="Arial" w:hAnsi="Arial" w:cs="Arial"/>
          <w:b/>
          <w:bCs/>
        </w:rPr>
        <w:t xml:space="preserve">Appendix </w:t>
      </w:r>
      <w:r w:rsidR="006C6325">
        <w:rPr>
          <w:rFonts w:ascii="Arial" w:hAnsi="Arial" w:cs="Arial"/>
          <w:b/>
          <w:bCs/>
        </w:rPr>
        <w:t>6</w:t>
      </w:r>
      <w:r w:rsidRPr="00281271">
        <w:rPr>
          <w:rFonts w:ascii="Arial" w:hAnsi="Arial" w:cs="Arial"/>
          <w:b/>
          <w:bCs/>
        </w:rPr>
        <w:t xml:space="preserve">. Effect of probiotics vs. placebo on faecal </w:t>
      </w:r>
      <w:r>
        <w:rPr>
          <w:rFonts w:ascii="Arial" w:hAnsi="Arial" w:cs="Arial"/>
          <w:b/>
          <w:bCs/>
          <w:i/>
          <w:iCs/>
        </w:rPr>
        <w:t>Bifido</w:t>
      </w:r>
      <w:r w:rsidRPr="00281271">
        <w:rPr>
          <w:rFonts w:ascii="Arial" w:hAnsi="Arial" w:cs="Arial"/>
          <w:b/>
          <w:bCs/>
          <w:i/>
          <w:iCs/>
        </w:rPr>
        <w:t>bac</w:t>
      </w:r>
      <w:r>
        <w:rPr>
          <w:rFonts w:ascii="Arial" w:hAnsi="Arial" w:cs="Arial"/>
          <w:b/>
          <w:bCs/>
          <w:i/>
          <w:iCs/>
        </w:rPr>
        <w:t>terium</w:t>
      </w:r>
      <w:r w:rsidRPr="00281271">
        <w:rPr>
          <w:rFonts w:ascii="Arial" w:hAnsi="Arial" w:cs="Arial"/>
          <w:b/>
          <w:bCs/>
        </w:rPr>
        <w:t xml:space="preserve"> counts, sub-grouped by</w:t>
      </w:r>
      <w:r>
        <w:rPr>
          <w:rFonts w:ascii="Arial" w:hAnsi="Arial" w:cs="Arial"/>
          <w:b/>
          <w:bCs/>
        </w:rPr>
        <w:t xml:space="preserve"> geographical location.</w:t>
      </w:r>
    </w:p>
    <w:p w14:paraId="6CB2A37F" w14:textId="77777777" w:rsidR="001F190F" w:rsidRDefault="001F190F" w:rsidP="00AD2F0F">
      <w:pPr>
        <w:spacing w:after="0"/>
        <w:rPr>
          <w:rFonts w:ascii="Arial" w:hAnsi="Arial" w:cs="Arial"/>
          <w:b/>
          <w:bCs/>
        </w:rPr>
      </w:pPr>
    </w:p>
    <w:p w14:paraId="06A25967" w14:textId="50FBF353" w:rsidR="001F190F" w:rsidRDefault="001F190F" w:rsidP="00AD2F0F">
      <w:pPr>
        <w:spacing w:after="0"/>
        <w:rPr>
          <w:rFonts w:ascii="Arial" w:hAnsi="Arial" w:cs="Arial"/>
          <w:b/>
          <w:bCs/>
        </w:rPr>
      </w:pPr>
      <w:r w:rsidRPr="001F190F">
        <w:rPr>
          <w:rFonts w:ascii="Arial" w:hAnsi="Arial" w:cs="Arial"/>
          <w:b/>
          <w:bCs/>
          <w:noProof/>
        </w:rPr>
        <w:drawing>
          <wp:inline distT="0" distB="0" distL="0" distR="0" wp14:anchorId="35E3A2F6" wp14:editId="53A7DE9C">
            <wp:extent cx="6332220" cy="3057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32220" cy="3057525"/>
                    </a:xfrm>
                    <a:prstGeom prst="rect">
                      <a:avLst/>
                    </a:prstGeom>
                  </pic:spPr>
                </pic:pic>
              </a:graphicData>
            </a:graphic>
          </wp:inline>
        </w:drawing>
      </w:r>
    </w:p>
    <w:p w14:paraId="07227C01" w14:textId="77777777" w:rsidR="001F190F" w:rsidRDefault="001F190F" w:rsidP="00AD2F0F">
      <w:pPr>
        <w:spacing w:after="0"/>
        <w:rPr>
          <w:rFonts w:ascii="Arial" w:hAnsi="Arial" w:cs="Arial"/>
          <w:b/>
          <w:bCs/>
        </w:rPr>
      </w:pPr>
    </w:p>
    <w:p w14:paraId="7E45896B" w14:textId="77777777" w:rsidR="00A5030E" w:rsidRDefault="00A5030E">
      <w:pPr>
        <w:rPr>
          <w:rFonts w:ascii="Arial" w:hAnsi="Arial" w:cs="Arial"/>
          <w:b/>
          <w:bCs/>
        </w:rPr>
      </w:pPr>
      <w:r>
        <w:rPr>
          <w:rFonts w:ascii="Arial" w:hAnsi="Arial" w:cs="Arial"/>
          <w:b/>
          <w:bCs/>
        </w:rPr>
        <w:br w:type="page"/>
      </w:r>
    </w:p>
    <w:p w14:paraId="2F11E500" w14:textId="2BEB0DBF" w:rsidR="00B06A7E" w:rsidRPr="00281271" w:rsidRDefault="00281271" w:rsidP="00AD2F0F">
      <w:pPr>
        <w:spacing w:after="0"/>
        <w:rPr>
          <w:rFonts w:ascii="Arial" w:hAnsi="Arial" w:cs="Arial"/>
          <w:b/>
          <w:bCs/>
        </w:rPr>
      </w:pPr>
      <w:r w:rsidRPr="00281271">
        <w:rPr>
          <w:rFonts w:ascii="Arial" w:hAnsi="Arial" w:cs="Arial"/>
          <w:b/>
          <w:bCs/>
        </w:rPr>
        <w:lastRenderedPageBreak/>
        <w:t xml:space="preserve">Appendix </w:t>
      </w:r>
      <w:r w:rsidR="006C6325">
        <w:rPr>
          <w:rFonts w:ascii="Arial" w:hAnsi="Arial" w:cs="Arial"/>
          <w:b/>
          <w:bCs/>
        </w:rPr>
        <w:t>7</w:t>
      </w:r>
      <w:r w:rsidRPr="00281271">
        <w:rPr>
          <w:rFonts w:ascii="Arial" w:hAnsi="Arial" w:cs="Arial"/>
          <w:b/>
          <w:bCs/>
        </w:rPr>
        <w:t xml:space="preserve">. Effect of probiotics vs. placebo on faecal </w:t>
      </w:r>
      <w:r w:rsidRPr="00281271">
        <w:rPr>
          <w:rFonts w:ascii="Arial" w:hAnsi="Arial" w:cs="Arial"/>
          <w:b/>
          <w:bCs/>
          <w:i/>
          <w:iCs/>
        </w:rPr>
        <w:t>Lactobacillus</w:t>
      </w:r>
      <w:r w:rsidRPr="00281271">
        <w:rPr>
          <w:rFonts w:ascii="Arial" w:hAnsi="Arial" w:cs="Arial"/>
          <w:b/>
          <w:bCs/>
        </w:rPr>
        <w:t xml:space="preserve"> counts, sub-grouped by probiotic type</w:t>
      </w:r>
      <w:r w:rsidR="001067FA">
        <w:rPr>
          <w:rFonts w:ascii="Arial" w:hAnsi="Arial" w:cs="Arial"/>
          <w:b/>
          <w:bCs/>
        </w:rPr>
        <w:t>, length of GFD adherence,</w:t>
      </w:r>
      <w:r>
        <w:rPr>
          <w:rFonts w:ascii="Arial" w:hAnsi="Arial" w:cs="Arial"/>
          <w:b/>
          <w:bCs/>
        </w:rPr>
        <w:t xml:space="preserve"> and age group</w:t>
      </w:r>
      <w:r w:rsidRPr="00281271">
        <w:rPr>
          <w:rFonts w:ascii="Arial" w:hAnsi="Arial" w:cs="Arial"/>
          <w:b/>
          <w:bCs/>
        </w:rPr>
        <w:t>.</w:t>
      </w:r>
    </w:p>
    <w:p w14:paraId="0C861560" w14:textId="77777777" w:rsidR="001F190F" w:rsidRDefault="001F190F" w:rsidP="00AD2F0F">
      <w:pPr>
        <w:spacing w:after="0"/>
        <w:rPr>
          <w:rFonts w:ascii="Arial" w:hAnsi="Arial" w:cs="Arial"/>
          <w:sz w:val="20"/>
          <w:szCs w:val="20"/>
        </w:rPr>
      </w:pPr>
    </w:p>
    <w:p w14:paraId="4D903BAB" w14:textId="1C4C3C09" w:rsidR="00EE7E83" w:rsidRDefault="001067FA" w:rsidP="00A5030E">
      <w:pPr>
        <w:spacing w:after="0"/>
        <w:rPr>
          <w:rFonts w:ascii="Arial" w:hAnsi="Arial" w:cs="Arial"/>
          <w:sz w:val="20"/>
          <w:szCs w:val="20"/>
        </w:rPr>
      </w:pPr>
      <w:r w:rsidRPr="001067FA">
        <w:rPr>
          <w:rFonts w:ascii="Arial" w:hAnsi="Arial" w:cs="Arial"/>
          <w:noProof/>
          <w:sz w:val="20"/>
          <w:szCs w:val="20"/>
        </w:rPr>
        <w:drawing>
          <wp:inline distT="0" distB="0" distL="0" distR="0" wp14:anchorId="012A868E" wp14:editId="337F6211">
            <wp:extent cx="6332220" cy="29857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32220" cy="2985770"/>
                    </a:xfrm>
                    <a:prstGeom prst="rect">
                      <a:avLst/>
                    </a:prstGeom>
                  </pic:spPr>
                </pic:pic>
              </a:graphicData>
            </a:graphic>
          </wp:inline>
        </w:drawing>
      </w:r>
    </w:p>
    <w:p w14:paraId="33A7EEED" w14:textId="4C85C2C7" w:rsidR="00A5030E" w:rsidRDefault="00A5030E" w:rsidP="00A5030E">
      <w:pPr>
        <w:spacing w:after="0"/>
        <w:rPr>
          <w:rFonts w:ascii="Arial" w:hAnsi="Arial" w:cs="Arial"/>
          <w:sz w:val="20"/>
          <w:szCs w:val="20"/>
        </w:rPr>
      </w:pPr>
    </w:p>
    <w:p w14:paraId="428E2D7A" w14:textId="77777777" w:rsidR="00A5030E" w:rsidRDefault="00A5030E" w:rsidP="00A5030E">
      <w:pPr>
        <w:spacing w:after="0"/>
        <w:rPr>
          <w:rFonts w:ascii="Arial" w:hAnsi="Arial" w:cs="Arial"/>
          <w:sz w:val="20"/>
          <w:szCs w:val="20"/>
        </w:rPr>
      </w:pPr>
    </w:p>
    <w:p w14:paraId="1805737A" w14:textId="53DEBF4F" w:rsidR="00EE7E83" w:rsidRDefault="00EE7E83" w:rsidP="00AD2F0F">
      <w:pPr>
        <w:spacing w:after="0"/>
        <w:rPr>
          <w:rFonts w:ascii="Arial" w:hAnsi="Arial" w:cs="Arial"/>
          <w:b/>
          <w:bCs/>
        </w:rPr>
      </w:pPr>
      <w:r w:rsidRPr="00281271">
        <w:rPr>
          <w:rFonts w:ascii="Arial" w:hAnsi="Arial" w:cs="Arial"/>
          <w:b/>
          <w:bCs/>
        </w:rPr>
        <w:t xml:space="preserve">Appendix </w:t>
      </w:r>
      <w:r w:rsidR="006C6325">
        <w:rPr>
          <w:rFonts w:ascii="Arial" w:hAnsi="Arial" w:cs="Arial"/>
          <w:b/>
          <w:bCs/>
        </w:rPr>
        <w:t>8</w:t>
      </w:r>
      <w:r w:rsidRPr="00281271">
        <w:rPr>
          <w:rFonts w:ascii="Arial" w:hAnsi="Arial" w:cs="Arial"/>
          <w:b/>
          <w:bCs/>
        </w:rPr>
        <w:t xml:space="preserve">. Effect of probiotics vs. placebo on faecal </w:t>
      </w:r>
      <w:r w:rsidRPr="00281271">
        <w:rPr>
          <w:rFonts w:ascii="Arial" w:hAnsi="Arial" w:cs="Arial"/>
          <w:b/>
          <w:bCs/>
          <w:i/>
          <w:iCs/>
        </w:rPr>
        <w:t>Lactobacillus</w:t>
      </w:r>
      <w:r w:rsidRPr="00281271">
        <w:rPr>
          <w:rFonts w:ascii="Arial" w:hAnsi="Arial" w:cs="Arial"/>
          <w:b/>
          <w:bCs/>
        </w:rPr>
        <w:t xml:space="preserve"> counts, sub-grouped by</w:t>
      </w:r>
      <w:r>
        <w:rPr>
          <w:rFonts w:ascii="Arial" w:hAnsi="Arial" w:cs="Arial"/>
          <w:b/>
          <w:bCs/>
        </w:rPr>
        <w:t xml:space="preserve"> geographical location.</w:t>
      </w:r>
    </w:p>
    <w:p w14:paraId="358C8784" w14:textId="6B3790FE" w:rsidR="00EE7E83" w:rsidRDefault="00EE7E83" w:rsidP="00AD2F0F">
      <w:pPr>
        <w:spacing w:after="0"/>
        <w:rPr>
          <w:rFonts w:ascii="Arial" w:hAnsi="Arial" w:cs="Arial"/>
          <w:b/>
          <w:bCs/>
        </w:rPr>
      </w:pPr>
    </w:p>
    <w:p w14:paraId="4DC24966" w14:textId="3FD0B264" w:rsidR="00EE7E83" w:rsidRDefault="001757DC" w:rsidP="00AD2F0F">
      <w:pPr>
        <w:spacing w:after="0"/>
        <w:rPr>
          <w:rFonts w:ascii="Arial" w:hAnsi="Arial" w:cs="Arial"/>
          <w:sz w:val="20"/>
          <w:szCs w:val="20"/>
        </w:rPr>
      </w:pPr>
      <w:r w:rsidRPr="001757DC">
        <w:rPr>
          <w:rFonts w:ascii="Arial" w:hAnsi="Arial" w:cs="Arial"/>
          <w:noProof/>
          <w:sz w:val="20"/>
          <w:szCs w:val="20"/>
        </w:rPr>
        <w:drawing>
          <wp:inline distT="0" distB="0" distL="0" distR="0" wp14:anchorId="66C2BB82" wp14:editId="3FD5792B">
            <wp:extent cx="6332220" cy="30226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32220" cy="3022600"/>
                    </a:xfrm>
                    <a:prstGeom prst="rect">
                      <a:avLst/>
                    </a:prstGeom>
                  </pic:spPr>
                </pic:pic>
              </a:graphicData>
            </a:graphic>
          </wp:inline>
        </w:drawing>
      </w:r>
    </w:p>
    <w:p w14:paraId="44588244" w14:textId="128A3FAD" w:rsidR="00D8431F" w:rsidRDefault="00D8431F" w:rsidP="00AD2F0F">
      <w:pPr>
        <w:spacing w:after="0"/>
        <w:rPr>
          <w:rFonts w:ascii="Arial" w:hAnsi="Arial" w:cs="Arial"/>
          <w:sz w:val="20"/>
          <w:szCs w:val="20"/>
        </w:rPr>
      </w:pPr>
    </w:p>
    <w:p w14:paraId="5DEA20DA" w14:textId="77777777" w:rsidR="00A5030E" w:rsidRDefault="00A5030E" w:rsidP="00AD2F0F">
      <w:pPr>
        <w:spacing w:after="0"/>
        <w:rPr>
          <w:rFonts w:ascii="Arial" w:eastAsia="Cambria" w:hAnsi="Arial" w:cs="Arial"/>
          <w:b/>
        </w:rPr>
      </w:pPr>
    </w:p>
    <w:p w14:paraId="368B909E" w14:textId="77777777" w:rsidR="00A5030E" w:rsidRDefault="00A5030E" w:rsidP="00AD2F0F">
      <w:pPr>
        <w:spacing w:after="0"/>
        <w:rPr>
          <w:rFonts w:ascii="Arial" w:eastAsia="Cambria" w:hAnsi="Arial" w:cs="Arial"/>
          <w:b/>
        </w:rPr>
      </w:pPr>
    </w:p>
    <w:p w14:paraId="304ED093" w14:textId="77777777" w:rsidR="00A5030E" w:rsidRDefault="00A5030E" w:rsidP="00AD2F0F">
      <w:pPr>
        <w:spacing w:after="0"/>
        <w:rPr>
          <w:rFonts w:ascii="Arial" w:eastAsia="Cambria" w:hAnsi="Arial" w:cs="Arial"/>
          <w:b/>
        </w:rPr>
      </w:pPr>
    </w:p>
    <w:p w14:paraId="704BB832" w14:textId="77777777" w:rsidR="00A5030E" w:rsidRDefault="00A5030E" w:rsidP="00AD2F0F">
      <w:pPr>
        <w:spacing w:after="0"/>
        <w:rPr>
          <w:rFonts w:ascii="Arial" w:eastAsia="Cambria" w:hAnsi="Arial" w:cs="Arial"/>
          <w:b/>
        </w:rPr>
      </w:pPr>
    </w:p>
    <w:p w14:paraId="53618A5D" w14:textId="77777777" w:rsidR="00A5030E" w:rsidRDefault="00A5030E" w:rsidP="00AD2F0F">
      <w:pPr>
        <w:spacing w:after="0"/>
        <w:rPr>
          <w:rFonts w:ascii="Arial" w:eastAsia="Cambria" w:hAnsi="Arial" w:cs="Arial"/>
          <w:b/>
        </w:rPr>
      </w:pPr>
    </w:p>
    <w:p w14:paraId="5CB98293" w14:textId="6B14E752" w:rsidR="00D8431F" w:rsidRDefault="00D8431F" w:rsidP="00AD2F0F">
      <w:pPr>
        <w:spacing w:after="0"/>
        <w:rPr>
          <w:rFonts w:ascii="Arial" w:eastAsia="Cambria" w:hAnsi="Arial" w:cs="Arial"/>
          <w:b/>
        </w:rPr>
      </w:pPr>
      <w:r w:rsidRPr="00D8431F">
        <w:rPr>
          <w:rFonts w:ascii="Arial" w:eastAsia="Cambria" w:hAnsi="Arial" w:cs="Arial"/>
          <w:b/>
        </w:rPr>
        <w:lastRenderedPageBreak/>
        <w:t xml:space="preserve">Appendix </w:t>
      </w:r>
      <w:r w:rsidR="006C6325">
        <w:rPr>
          <w:rFonts w:ascii="Arial" w:eastAsia="Cambria" w:hAnsi="Arial" w:cs="Arial"/>
          <w:b/>
        </w:rPr>
        <w:t>9</w:t>
      </w:r>
      <w:r w:rsidRPr="00D8431F">
        <w:rPr>
          <w:rFonts w:ascii="Arial" w:eastAsia="Cambria" w:hAnsi="Arial" w:cs="Arial"/>
          <w:b/>
        </w:rPr>
        <w:t>. Effect of probiotics vs. placebo on number of adverse events, sub-grouped by age group.</w:t>
      </w:r>
    </w:p>
    <w:p w14:paraId="3C46F872" w14:textId="4C6F295D" w:rsidR="00D8431F" w:rsidRDefault="00D8431F" w:rsidP="00AD2F0F">
      <w:pPr>
        <w:spacing w:after="0"/>
        <w:rPr>
          <w:rFonts w:ascii="Arial" w:eastAsia="Cambria" w:hAnsi="Arial" w:cs="Arial"/>
          <w:b/>
        </w:rPr>
      </w:pPr>
    </w:p>
    <w:p w14:paraId="5F92C5C7" w14:textId="519D47A6" w:rsidR="00F5284A" w:rsidRDefault="00F5284A" w:rsidP="00AD2F0F">
      <w:pPr>
        <w:spacing w:after="0"/>
        <w:rPr>
          <w:rFonts w:ascii="Arial" w:eastAsia="Cambria" w:hAnsi="Arial" w:cs="Arial"/>
          <w:b/>
        </w:rPr>
      </w:pPr>
      <w:r w:rsidRPr="00F5284A">
        <w:rPr>
          <w:rFonts w:ascii="Arial" w:eastAsia="Cambria" w:hAnsi="Arial" w:cs="Arial"/>
          <w:b/>
          <w:noProof/>
        </w:rPr>
        <w:drawing>
          <wp:inline distT="0" distB="0" distL="0" distR="0" wp14:anchorId="19D28320" wp14:editId="64EE2E04">
            <wp:extent cx="6332220" cy="41008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332220" cy="4100830"/>
                    </a:xfrm>
                    <a:prstGeom prst="rect">
                      <a:avLst/>
                    </a:prstGeom>
                  </pic:spPr>
                </pic:pic>
              </a:graphicData>
            </a:graphic>
          </wp:inline>
        </w:drawing>
      </w:r>
    </w:p>
    <w:p w14:paraId="2F4998B7" w14:textId="77777777" w:rsidR="00F5284A" w:rsidRDefault="00F5284A" w:rsidP="00AD2F0F">
      <w:pPr>
        <w:spacing w:after="0"/>
        <w:rPr>
          <w:rFonts w:ascii="Arial" w:eastAsia="Cambria" w:hAnsi="Arial" w:cs="Arial"/>
          <w:b/>
        </w:rPr>
      </w:pPr>
    </w:p>
    <w:p w14:paraId="60D66C25" w14:textId="77777777" w:rsidR="00A5030E" w:rsidRDefault="00A5030E">
      <w:pPr>
        <w:rPr>
          <w:rFonts w:ascii="Arial" w:eastAsia="Cambria" w:hAnsi="Arial" w:cs="Arial"/>
          <w:b/>
        </w:rPr>
      </w:pPr>
      <w:r>
        <w:rPr>
          <w:rFonts w:ascii="Arial" w:eastAsia="Cambria" w:hAnsi="Arial" w:cs="Arial"/>
          <w:b/>
        </w:rPr>
        <w:br w:type="page"/>
      </w:r>
    </w:p>
    <w:p w14:paraId="610758CC" w14:textId="65BE4AC1" w:rsidR="00D8431F" w:rsidRDefault="00D8431F" w:rsidP="00D8431F">
      <w:pPr>
        <w:spacing w:after="0"/>
        <w:rPr>
          <w:rFonts w:ascii="Arial" w:eastAsia="Cambria" w:hAnsi="Arial" w:cs="Arial"/>
          <w:b/>
        </w:rPr>
      </w:pPr>
      <w:r w:rsidRPr="00D8431F">
        <w:rPr>
          <w:rFonts w:ascii="Arial" w:eastAsia="Cambria" w:hAnsi="Arial" w:cs="Arial"/>
          <w:b/>
        </w:rPr>
        <w:lastRenderedPageBreak/>
        <w:t xml:space="preserve">Appendix </w:t>
      </w:r>
      <w:r w:rsidR="006C6325">
        <w:rPr>
          <w:rFonts w:ascii="Arial" w:eastAsia="Cambria" w:hAnsi="Arial" w:cs="Arial"/>
          <w:b/>
        </w:rPr>
        <w:t>10</w:t>
      </w:r>
      <w:r w:rsidRPr="00D8431F">
        <w:rPr>
          <w:rFonts w:ascii="Arial" w:eastAsia="Cambria" w:hAnsi="Arial" w:cs="Arial"/>
          <w:b/>
        </w:rPr>
        <w:t xml:space="preserve">. Effect of probiotics vs. placebo on number of adverse events, sub-grouped by </w:t>
      </w:r>
      <w:r>
        <w:rPr>
          <w:rFonts w:ascii="Arial" w:eastAsia="Cambria" w:hAnsi="Arial" w:cs="Arial"/>
          <w:b/>
        </w:rPr>
        <w:t>GFD adherence</w:t>
      </w:r>
      <w:r w:rsidRPr="00D8431F">
        <w:rPr>
          <w:rFonts w:ascii="Arial" w:eastAsia="Cambria" w:hAnsi="Arial" w:cs="Arial"/>
          <w:b/>
        </w:rPr>
        <w:t>.</w:t>
      </w:r>
    </w:p>
    <w:p w14:paraId="24D9F5F6" w14:textId="206835BC" w:rsidR="00D8431F" w:rsidRDefault="00D8431F" w:rsidP="00AD2F0F">
      <w:pPr>
        <w:spacing w:after="0"/>
        <w:rPr>
          <w:rFonts w:ascii="Arial" w:hAnsi="Arial" w:cs="Arial"/>
          <w:b/>
          <w:sz w:val="20"/>
          <w:szCs w:val="20"/>
        </w:rPr>
      </w:pPr>
    </w:p>
    <w:p w14:paraId="58E21E73" w14:textId="16B00D4A" w:rsidR="00F5284A" w:rsidRDefault="00D726A4" w:rsidP="00AD2F0F">
      <w:pPr>
        <w:spacing w:after="0"/>
        <w:rPr>
          <w:rFonts w:ascii="Arial" w:hAnsi="Arial" w:cs="Arial"/>
          <w:b/>
          <w:sz w:val="20"/>
          <w:szCs w:val="20"/>
        </w:rPr>
      </w:pPr>
      <w:r w:rsidRPr="00D726A4">
        <w:rPr>
          <w:rFonts w:ascii="Arial" w:hAnsi="Arial" w:cs="Arial"/>
          <w:b/>
          <w:noProof/>
          <w:sz w:val="20"/>
          <w:szCs w:val="20"/>
        </w:rPr>
        <w:drawing>
          <wp:inline distT="0" distB="0" distL="0" distR="0" wp14:anchorId="7AFA8F45" wp14:editId="17629E3E">
            <wp:extent cx="6332220" cy="48247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332220" cy="4824730"/>
                    </a:xfrm>
                    <a:prstGeom prst="rect">
                      <a:avLst/>
                    </a:prstGeom>
                  </pic:spPr>
                </pic:pic>
              </a:graphicData>
            </a:graphic>
          </wp:inline>
        </w:drawing>
      </w:r>
    </w:p>
    <w:p w14:paraId="08C5A3BA" w14:textId="77777777" w:rsidR="00F5284A" w:rsidRDefault="00F5284A" w:rsidP="00AD2F0F">
      <w:pPr>
        <w:spacing w:after="0"/>
        <w:rPr>
          <w:rFonts w:ascii="Arial" w:hAnsi="Arial" w:cs="Arial"/>
          <w:b/>
          <w:sz w:val="20"/>
          <w:szCs w:val="20"/>
        </w:rPr>
      </w:pPr>
    </w:p>
    <w:p w14:paraId="1E391369" w14:textId="458E604F" w:rsidR="00D8431F" w:rsidRDefault="00D726A4" w:rsidP="00A5030E">
      <w:pPr>
        <w:rPr>
          <w:rFonts w:ascii="Arial" w:eastAsia="Cambria" w:hAnsi="Arial" w:cs="Arial"/>
          <w:b/>
        </w:rPr>
      </w:pPr>
      <w:r>
        <w:rPr>
          <w:rFonts w:ascii="Arial" w:eastAsia="Cambria" w:hAnsi="Arial" w:cs="Arial"/>
          <w:b/>
        </w:rPr>
        <w:br w:type="page"/>
      </w:r>
      <w:r w:rsidR="00D8431F" w:rsidRPr="00D8431F">
        <w:rPr>
          <w:rFonts w:ascii="Arial" w:eastAsia="Cambria" w:hAnsi="Arial" w:cs="Arial"/>
          <w:b/>
        </w:rPr>
        <w:lastRenderedPageBreak/>
        <w:t xml:space="preserve">Appendix </w:t>
      </w:r>
      <w:r w:rsidR="00D8431F">
        <w:rPr>
          <w:rFonts w:ascii="Arial" w:eastAsia="Cambria" w:hAnsi="Arial" w:cs="Arial"/>
          <w:b/>
        </w:rPr>
        <w:t>1</w:t>
      </w:r>
      <w:r w:rsidR="006C6325">
        <w:rPr>
          <w:rFonts w:ascii="Arial" w:eastAsia="Cambria" w:hAnsi="Arial" w:cs="Arial"/>
          <w:b/>
        </w:rPr>
        <w:t>1</w:t>
      </w:r>
      <w:r w:rsidR="00D8431F" w:rsidRPr="00D8431F">
        <w:rPr>
          <w:rFonts w:ascii="Arial" w:eastAsia="Cambria" w:hAnsi="Arial" w:cs="Arial"/>
          <w:b/>
        </w:rPr>
        <w:t xml:space="preserve">. Effect of probiotics vs. placebo on number of adverse events, sub-grouped by </w:t>
      </w:r>
      <w:r w:rsidR="00D8431F">
        <w:rPr>
          <w:rFonts w:ascii="Arial" w:eastAsia="Cambria" w:hAnsi="Arial" w:cs="Arial"/>
          <w:b/>
        </w:rPr>
        <w:t>probiotic type</w:t>
      </w:r>
      <w:r w:rsidR="00D8431F" w:rsidRPr="00D8431F">
        <w:rPr>
          <w:rFonts w:ascii="Arial" w:eastAsia="Cambria" w:hAnsi="Arial" w:cs="Arial"/>
          <w:b/>
        </w:rPr>
        <w:t>.</w:t>
      </w:r>
    </w:p>
    <w:p w14:paraId="04AB2CC7" w14:textId="77777777" w:rsidR="00F5284A" w:rsidRDefault="00F5284A" w:rsidP="00D8431F">
      <w:pPr>
        <w:spacing w:after="0"/>
        <w:rPr>
          <w:rFonts w:ascii="Arial" w:eastAsia="Cambria" w:hAnsi="Arial" w:cs="Arial"/>
          <w:b/>
        </w:rPr>
      </w:pPr>
    </w:p>
    <w:p w14:paraId="31EAF801" w14:textId="52059A86" w:rsidR="00D8431F" w:rsidRDefault="00F5284A" w:rsidP="00AD2F0F">
      <w:pPr>
        <w:spacing w:after="0"/>
        <w:rPr>
          <w:rFonts w:ascii="Arial" w:hAnsi="Arial" w:cs="Arial"/>
          <w:b/>
          <w:sz w:val="20"/>
          <w:szCs w:val="20"/>
        </w:rPr>
      </w:pPr>
      <w:r w:rsidRPr="00F5284A">
        <w:rPr>
          <w:rFonts w:ascii="Arial" w:hAnsi="Arial" w:cs="Arial"/>
          <w:b/>
          <w:noProof/>
          <w:sz w:val="20"/>
          <w:szCs w:val="20"/>
        </w:rPr>
        <w:drawing>
          <wp:inline distT="0" distB="0" distL="0" distR="0" wp14:anchorId="3C05F3B3" wp14:editId="6A6D7CBE">
            <wp:extent cx="6332220" cy="62718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332220" cy="6271895"/>
                    </a:xfrm>
                    <a:prstGeom prst="rect">
                      <a:avLst/>
                    </a:prstGeom>
                  </pic:spPr>
                </pic:pic>
              </a:graphicData>
            </a:graphic>
          </wp:inline>
        </w:drawing>
      </w:r>
    </w:p>
    <w:p w14:paraId="294FFC51" w14:textId="77777777" w:rsidR="00F5284A" w:rsidRDefault="00F5284A" w:rsidP="00D8431F">
      <w:pPr>
        <w:spacing w:after="0"/>
        <w:rPr>
          <w:rFonts w:ascii="Arial" w:eastAsia="Cambria" w:hAnsi="Arial" w:cs="Arial"/>
          <w:b/>
        </w:rPr>
      </w:pPr>
    </w:p>
    <w:p w14:paraId="6AF43627" w14:textId="77777777" w:rsidR="00D726A4" w:rsidRDefault="00D726A4">
      <w:pPr>
        <w:rPr>
          <w:rFonts w:ascii="Arial" w:eastAsia="Cambria" w:hAnsi="Arial" w:cs="Arial"/>
          <w:b/>
        </w:rPr>
      </w:pPr>
      <w:r>
        <w:rPr>
          <w:rFonts w:ascii="Arial" w:eastAsia="Cambria" w:hAnsi="Arial" w:cs="Arial"/>
          <w:b/>
        </w:rPr>
        <w:br w:type="page"/>
      </w:r>
    </w:p>
    <w:p w14:paraId="17FB47A4" w14:textId="749E29ED" w:rsidR="00D8431F" w:rsidRDefault="00D8431F" w:rsidP="00D8431F">
      <w:pPr>
        <w:spacing w:after="0"/>
        <w:rPr>
          <w:rFonts w:ascii="Arial" w:eastAsia="Cambria" w:hAnsi="Arial" w:cs="Arial"/>
          <w:b/>
        </w:rPr>
      </w:pPr>
      <w:r w:rsidRPr="00D8431F">
        <w:rPr>
          <w:rFonts w:ascii="Arial" w:eastAsia="Cambria" w:hAnsi="Arial" w:cs="Arial"/>
          <w:b/>
        </w:rPr>
        <w:lastRenderedPageBreak/>
        <w:t xml:space="preserve">Appendix </w:t>
      </w:r>
      <w:r>
        <w:rPr>
          <w:rFonts w:ascii="Arial" w:eastAsia="Cambria" w:hAnsi="Arial" w:cs="Arial"/>
          <w:b/>
        </w:rPr>
        <w:t>1</w:t>
      </w:r>
      <w:r w:rsidR="006C6325">
        <w:rPr>
          <w:rFonts w:ascii="Arial" w:eastAsia="Cambria" w:hAnsi="Arial" w:cs="Arial"/>
          <w:b/>
        </w:rPr>
        <w:t>2</w:t>
      </w:r>
      <w:r w:rsidRPr="00D8431F">
        <w:rPr>
          <w:rFonts w:ascii="Arial" w:eastAsia="Cambria" w:hAnsi="Arial" w:cs="Arial"/>
          <w:b/>
        </w:rPr>
        <w:t>.</w:t>
      </w:r>
      <w:r>
        <w:rPr>
          <w:rFonts w:ascii="Arial" w:eastAsia="Cambria" w:hAnsi="Arial" w:cs="Arial"/>
          <w:b/>
        </w:rPr>
        <w:t xml:space="preserve"> </w:t>
      </w:r>
      <w:r w:rsidRPr="00D8431F">
        <w:rPr>
          <w:rFonts w:ascii="Arial" w:eastAsia="Cambria" w:hAnsi="Arial" w:cs="Arial"/>
          <w:b/>
        </w:rPr>
        <w:t xml:space="preserve">Effect of probiotics vs. placebo on number of adverse events, sub-grouped by </w:t>
      </w:r>
      <w:r>
        <w:rPr>
          <w:rFonts w:ascii="Arial" w:eastAsia="Cambria" w:hAnsi="Arial" w:cs="Arial"/>
          <w:b/>
        </w:rPr>
        <w:t>geographical location</w:t>
      </w:r>
      <w:r w:rsidRPr="00D8431F">
        <w:rPr>
          <w:rFonts w:ascii="Arial" w:eastAsia="Cambria" w:hAnsi="Arial" w:cs="Arial"/>
          <w:b/>
        </w:rPr>
        <w:t>.</w:t>
      </w:r>
    </w:p>
    <w:p w14:paraId="38B878B3" w14:textId="3D5D6965" w:rsidR="00D8431F" w:rsidRDefault="00D8431F" w:rsidP="00AD2F0F">
      <w:pPr>
        <w:spacing w:after="0"/>
        <w:rPr>
          <w:rFonts w:ascii="Arial" w:hAnsi="Arial" w:cs="Arial"/>
          <w:b/>
          <w:sz w:val="20"/>
          <w:szCs w:val="20"/>
        </w:rPr>
      </w:pPr>
    </w:p>
    <w:p w14:paraId="43A11C5C" w14:textId="79E9AAE7" w:rsidR="00D726A4" w:rsidRPr="00D8431F" w:rsidRDefault="00D726A4" w:rsidP="00AD2F0F">
      <w:pPr>
        <w:spacing w:after="0"/>
        <w:rPr>
          <w:rFonts w:ascii="Arial" w:hAnsi="Arial" w:cs="Arial"/>
          <w:b/>
          <w:sz w:val="20"/>
          <w:szCs w:val="20"/>
        </w:rPr>
      </w:pPr>
      <w:r w:rsidRPr="00D726A4">
        <w:rPr>
          <w:rFonts w:ascii="Arial" w:hAnsi="Arial" w:cs="Arial"/>
          <w:b/>
          <w:noProof/>
          <w:sz w:val="20"/>
          <w:szCs w:val="20"/>
        </w:rPr>
        <w:drawing>
          <wp:inline distT="0" distB="0" distL="0" distR="0" wp14:anchorId="144E576E" wp14:editId="3AC7FA7B">
            <wp:extent cx="6332220" cy="48247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332220" cy="4824730"/>
                    </a:xfrm>
                    <a:prstGeom prst="rect">
                      <a:avLst/>
                    </a:prstGeom>
                  </pic:spPr>
                </pic:pic>
              </a:graphicData>
            </a:graphic>
          </wp:inline>
        </w:drawing>
      </w:r>
    </w:p>
    <w:sectPr w:rsidR="00D726A4" w:rsidRPr="00D8431F" w:rsidSect="00E47CE7">
      <w:footerReference w:type="default" r:id="rId18"/>
      <w:headerReference w:type="first" r:id="rId19"/>
      <w:footerReference w:type="first" r:id="rId20"/>
      <w:pgSz w:w="12240" w:h="15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E17C5" w14:textId="77777777" w:rsidR="0023493C" w:rsidRDefault="0023493C" w:rsidP="00C2276F">
      <w:pPr>
        <w:spacing w:after="0" w:line="240" w:lineRule="auto"/>
      </w:pPr>
      <w:r>
        <w:separator/>
      </w:r>
    </w:p>
  </w:endnote>
  <w:endnote w:type="continuationSeparator" w:id="0">
    <w:p w14:paraId="157F0B0B" w14:textId="77777777" w:rsidR="0023493C" w:rsidRDefault="0023493C" w:rsidP="00C22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dvTT08640291">
    <w:altName w:val="Cambria"/>
    <w:panose1 w:val="00000000000000000000"/>
    <w:charset w:val="00"/>
    <w:family w:val="roman"/>
    <w:notTrueType/>
    <w:pitch w:val="default"/>
  </w:font>
  <w:font w:name="AdvTT08640291+fb">
    <w:altName w:val="Cambria"/>
    <w:panose1 w:val="00000000000000000000"/>
    <w:charset w:val="00"/>
    <w:family w:val="roman"/>
    <w:notTrueType/>
    <w:pitch w:val="default"/>
  </w:font>
  <w:font w:name="AdvTT08640291+20">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934432909"/>
      <w:docPartObj>
        <w:docPartGallery w:val="Page Numbers (Bottom of Page)"/>
        <w:docPartUnique/>
      </w:docPartObj>
    </w:sdtPr>
    <w:sdtEndPr>
      <w:rPr>
        <w:noProof/>
      </w:rPr>
    </w:sdtEndPr>
    <w:sdtContent>
      <w:p w14:paraId="57CA7848" w14:textId="675482BE" w:rsidR="00687E75" w:rsidRPr="004D32D1" w:rsidRDefault="00687E75">
        <w:pPr>
          <w:pStyle w:val="Footer"/>
          <w:jc w:val="right"/>
          <w:rPr>
            <w:rFonts w:ascii="Arial" w:hAnsi="Arial" w:cs="Arial"/>
            <w:sz w:val="20"/>
            <w:szCs w:val="20"/>
          </w:rPr>
        </w:pPr>
        <w:r w:rsidRPr="004D32D1">
          <w:rPr>
            <w:rFonts w:ascii="Arial" w:hAnsi="Arial" w:cs="Arial"/>
            <w:sz w:val="20"/>
            <w:szCs w:val="20"/>
          </w:rPr>
          <w:fldChar w:fldCharType="begin"/>
        </w:r>
        <w:r w:rsidRPr="004D32D1">
          <w:rPr>
            <w:rFonts w:ascii="Arial" w:hAnsi="Arial" w:cs="Arial"/>
            <w:sz w:val="20"/>
            <w:szCs w:val="20"/>
          </w:rPr>
          <w:instrText xml:space="preserve"> PAGE   \* MERGEFORMAT </w:instrText>
        </w:r>
        <w:r w:rsidRPr="004D32D1">
          <w:rPr>
            <w:rFonts w:ascii="Arial" w:hAnsi="Arial" w:cs="Arial"/>
            <w:sz w:val="20"/>
            <w:szCs w:val="20"/>
          </w:rPr>
          <w:fldChar w:fldCharType="separate"/>
        </w:r>
        <w:r w:rsidR="00D40250">
          <w:rPr>
            <w:rFonts w:ascii="Arial" w:hAnsi="Arial" w:cs="Arial"/>
            <w:noProof/>
            <w:sz w:val="20"/>
            <w:szCs w:val="20"/>
          </w:rPr>
          <w:t>4</w:t>
        </w:r>
        <w:r w:rsidRPr="004D32D1">
          <w:rPr>
            <w:rFonts w:ascii="Arial" w:hAnsi="Arial" w:cs="Arial"/>
            <w:noProof/>
            <w:sz w:val="20"/>
            <w:szCs w:val="20"/>
          </w:rPr>
          <w:fldChar w:fldCharType="end"/>
        </w:r>
      </w:p>
    </w:sdtContent>
  </w:sdt>
  <w:p w14:paraId="3DDF2224" w14:textId="77777777" w:rsidR="00687E75" w:rsidRPr="004D32D1" w:rsidRDefault="00687E75">
    <w:pPr>
      <w:pStyle w:val="Foo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345665"/>
      <w:docPartObj>
        <w:docPartGallery w:val="Page Numbers (Bottom of Page)"/>
        <w:docPartUnique/>
      </w:docPartObj>
    </w:sdtPr>
    <w:sdtEndPr>
      <w:rPr>
        <w:noProof/>
      </w:rPr>
    </w:sdtEndPr>
    <w:sdtContent>
      <w:p w14:paraId="01A973F4" w14:textId="02FB38D0" w:rsidR="00687E75" w:rsidRDefault="00687E75">
        <w:pPr>
          <w:pStyle w:val="Footer"/>
          <w:jc w:val="right"/>
        </w:pPr>
        <w:r>
          <w:fldChar w:fldCharType="begin"/>
        </w:r>
        <w:r>
          <w:instrText xml:space="preserve"> PAGE   \* MERGEFORMAT </w:instrText>
        </w:r>
        <w:r>
          <w:fldChar w:fldCharType="separate"/>
        </w:r>
        <w:r w:rsidR="00E54558">
          <w:rPr>
            <w:noProof/>
          </w:rPr>
          <w:t>1</w:t>
        </w:r>
        <w:r>
          <w:rPr>
            <w:noProof/>
          </w:rPr>
          <w:fldChar w:fldCharType="end"/>
        </w:r>
      </w:p>
    </w:sdtContent>
  </w:sdt>
  <w:p w14:paraId="0C008083" w14:textId="77777777" w:rsidR="00687E75" w:rsidRDefault="00687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97241" w14:textId="77777777" w:rsidR="0023493C" w:rsidRDefault="0023493C" w:rsidP="00C2276F">
      <w:pPr>
        <w:spacing w:after="0" w:line="240" w:lineRule="auto"/>
      </w:pPr>
      <w:r>
        <w:separator/>
      </w:r>
    </w:p>
  </w:footnote>
  <w:footnote w:type="continuationSeparator" w:id="0">
    <w:p w14:paraId="19434204" w14:textId="77777777" w:rsidR="0023493C" w:rsidRDefault="0023493C" w:rsidP="00C22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1FA6E" w14:textId="4C7BCDD0" w:rsidR="00811768" w:rsidRPr="00811768" w:rsidRDefault="00811768">
    <w:pPr>
      <w:pStyle w:val="Header"/>
      <w:rPr>
        <w:rFonts w:ascii="Arial" w:hAnsi="Arial" w:cs="Arial"/>
        <w:i/>
        <w:iCs/>
      </w:rPr>
    </w:pPr>
    <w:r w:rsidRPr="00811768">
      <w:rPr>
        <w:rFonts w:ascii="Arial" w:hAnsi="Arial" w:cs="Arial"/>
        <w:i/>
        <w:iCs/>
      </w:rPr>
      <w:t>Seiler et al,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D31DC"/>
    <w:multiLevelType w:val="hybridMultilevel"/>
    <w:tmpl w:val="EBF01C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F462D4"/>
    <w:multiLevelType w:val="hybridMultilevel"/>
    <w:tmpl w:val="B51211E8"/>
    <w:lvl w:ilvl="0" w:tplc="1070010E">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0C701D"/>
    <w:multiLevelType w:val="hybridMultilevel"/>
    <w:tmpl w:val="D15664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44D1C1E"/>
    <w:multiLevelType w:val="hybridMultilevel"/>
    <w:tmpl w:val="E398DA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67B5808"/>
    <w:multiLevelType w:val="hybridMultilevel"/>
    <w:tmpl w:val="D7068F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8F12960"/>
    <w:multiLevelType w:val="hybridMultilevel"/>
    <w:tmpl w:val="6E88E8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131BEB"/>
    <w:multiLevelType w:val="hybridMultilevel"/>
    <w:tmpl w:val="500C5A58"/>
    <w:lvl w:ilvl="0" w:tplc="7AEAE6F8">
      <w:numFmt w:val="bullet"/>
      <w:lvlText w:val="-"/>
      <w:lvlJc w:val="left"/>
      <w:pPr>
        <w:ind w:left="1080" w:hanging="36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176A7162"/>
    <w:multiLevelType w:val="hybridMultilevel"/>
    <w:tmpl w:val="5092413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1B85A1A"/>
    <w:multiLevelType w:val="hybridMultilevel"/>
    <w:tmpl w:val="A54A8B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1DA576E"/>
    <w:multiLevelType w:val="hybridMultilevel"/>
    <w:tmpl w:val="C2B054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A536EF3"/>
    <w:multiLevelType w:val="hybridMultilevel"/>
    <w:tmpl w:val="6C323F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E327A67"/>
    <w:multiLevelType w:val="hybridMultilevel"/>
    <w:tmpl w:val="7A00C604"/>
    <w:lvl w:ilvl="0" w:tplc="9B4C1B94">
      <w:start w:val="135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3A714B0"/>
    <w:multiLevelType w:val="hybridMultilevel"/>
    <w:tmpl w:val="A9B898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6CE7F07"/>
    <w:multiLevelType w:val="hybridMultilevel"/>
    <w:tmpl w:val="20FA69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B746549"/>
    <w:multiLevelType w:val="hybridMultilevel"/>
    <w:tmpl w:val="A1A242B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1723E87"/>
    <w:multiLevelType w:val="hybridMultilevel"/>
    <w:tmpl w:val="20ACB1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4E34AE0"/>
    <w:multiLevelType w:val="hybridMultilevel"/>
    <w:tmpl w:val="CFC8DD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1775954"/>
    <w:multiLevelType w:val="hybridMultilevel"/>
    <w:tmpl w:val="8B34B584"/>
    <w:lvl w:ilvl="0" w:tplc="3414302C">
      <w:numFmt w:val="bullet"/>
      <w:lvlText w:val="-"/>
      <w:lvlJc w:val="left"/>
      <w:pPr>
        <w:ind w:left="1080" w:hanging="36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69703DB5"/>
    <w:multiLevelType w:val="hybridMultilevel"/>
    <w:tmpl w:val="02A23EB6"/>
    <w:lvl w:ilvl="0" w:tplc="2A2AF89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FE30C4A"/>
    <w:multiLevelType w:val="hybridMultilevel"/>
    <w:tmpl w:val="69D8F0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13"/>
  </w:num>
  <w:num w:numId="5">
    <w:abstractNumId w:val="1"/>
  </w:num>
  <w:num w:numId="6">
    <w:abstractNumId w:val="15"/>
  </w:num>
  <w:num w:numId="7">
    <w:abstractNumId w:val="3"/>
  </w:num>
  <w:num w:numId="8">
    <w:abstractNumId w:val="10"/>
  </w:num>
  <w:num w:numId="9">
    <w:abstractNumId w:val="12"/>
  </w:num>
  <w:num w:numId="10">
    <w:abstractNumId w:val="14"/>
  </w:num>
  <w:num w:numId="11">
    <w:abstractNumId w:val="2"/>
  </w:num>
  <w:num w:numId="12">
    <w:abstractNumId w:val="0"/>
  </w:num>
  <w:num w:numId="13">
    <w:abstractNumId w:val="19"/>
  </w:num>
  <w:num w:numId="14">
    <w:abstractNumId w:val="11"/>
  </w:num>
  <w:num w:numId="15">
    <w:abstractNumId w:val="7"/>
  </w:num>
  <w:num w:numId="16">
    <w:abstractNumId w:val="5"/>
  </w:num>
  <w:num w:numId="17">
    <w:abstractNumId w:val="18"/>
  </w:num>
  <w:num w:numId="18">
    <w:abstractNumId w:val="6"/>
  </w:num>
  <w:num w:numId="19">
    <w:abstractNumId w:val="1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1F7D"/>
    <w:rsid w:val="00002F08"/>
    <w:rsid w:val="00007F94"/>
    <w:rsid w:val="00011674"/>
    <w:rsid w:val="00014555"/>
    <w:rsid w:val="00014B0A"/>
    <w:rsid w:val="00023A9E"/>
    <w:rsid w:val="00026C31"/>
    <w:rsid w:val="00030C2F"/>
    <w:rsid w:val="00035CCD"/>
    <w:rsid w:val="00035E15"/>
    <w:rsid w:val="000362E9"/>
    <w:rsid w:val="00037086"/>
    <w:rsid w:val="0004046B"/>
    <w:rsid w:val="00041F45"/>
    <w:rsid w:val="000454FC"/>
    <w:rsid w:val="00045C7C"/>
    <w:rsid w:val="00046CD8"/>
    <w:rsid w:val="00046EA9"/>
    <w:rsid w:val="00050949"/>
    <w:rsid w:val="00051E0F"/>
    <w:rsid w:val="000526F4"/>
    <w:rsid w:val="00055403"/>
    <w:rsid w:val="00055D09"/>
    <w:rsid w:val="00056ACE"/>
    <w:rsid w:val="0005717F"/>
    <w:rsid w:val="00071425"/>
    <w:rsid w:val="00082093"/>
    <w:rsid w:val="000823F0"/>
    <w:rsid w:val="0008561A"/>
    <w:rsid w:val="00085E84"/>
    <w:rsid w:val="00086B42"/>
    <w:rsid w:val="00087A57"/>
    <w:rsid w:val="00087F0E"/>
    <w:rsid w:val="00093FE1"/>
    <w:rsid w:val="00094872"/>
    <w:rsid w:val="00095581"/>
    <w:rsid w:val="00097BE2"/>
    <w:rsid w:val="00097F19"/>
    <w:rsid w:val="000B1C8F"/>
    <w:rsid w:val="000B29B2"/>
    <w:rsid w:val="000B3788"/>
    <w:rsid w:val="000B3D89"/>
    <w:rsid w:val="000B607C"/>
    <w:rsid w:val="000C0CFE"/>
    <w:rsid w:val="000C1351"/>
    <w:rsid w:val="000C1625"/>
    <w:rsid w:val="000C234E"/>
    <w:rsid w:val="000C32DF"/>
    <w:rsid w:val="000C35CB"/>
    <w:rsid w:val="000C582F"/>
    <w:rsid w:val="000C7874"/>
    <w:rsid w:val="000D116D"/>
    <w:rsid w:val="000D1419"/>
    <w:rsid w:val="000D1690"/>
    <w:rsid w:val="000D305B"/>
    <w:rsid w:val="000D47B1"/>
    <w:rsid w:val="000D6DFE"/>
    <w:rsid w:val="000E4889"/>
    <w:rsid w:val="000E498B"/>
    <w:rsid w:val="000E6B05"/>
    <w:rsid w:val="000E7036"/>
    <w:rsid w:val="000F0264"/>
    <w:rsid w:val="000F0F6F"/>
    <w:rsid w:val="000F0FBD"/>
    <w:rsid w:val="000F421B"/>
    <w:rsid w:val="000F6788"/>
    <w:rsid w:val="001003D4"/>
    <w:rsid w:val="00100CEC"/>
    <w:rsid w:val="00100FD5"/>
    <w:rsid w:val="001067FA"/>
    <w:rsid w:val="00107F12"/>
    <w:rsid w:val="00110777"/>
    <w:rsid w:val="00113902"/>
    <w:rsid w:val="00113935"/>
    <w:rsid w:val="00114B9A"/>
    <w:rsid w:val="0011777B"/>
    <w:rsid w:val="00117B88"/>
    <w:rsid w:val="001250AC"/>
    <w:rsid w:val="00126C83"/>
    <w:rsid w:val="00131B42"/>
    <w:rsid w:val="00137A91"/>
    <w:rsid w:val="001440D6"/>
    <w:rsid w:val="00144951"/>
    <w:rsid w:val="00151691"/>
    <w:rsid w:val="00151D36"/>
    <w:rsid w:val="00151E1B"/>
    <w:rsid w:val="001536AF"/>
    <w:rsid w:val="00153F28"/>
    <w:rsid w:val="0015433B"/>
    <w:rsid w:val="00154679"/>
    <w:rsid w:val="00155CEB"/>
    <w:rsid w:val="001649F9"/>
    <w:rsid w:val="001723FA"/>
    <w:rsid w:val="0017446A"/>
    <w:rsid w:val="001751DB"/>
    <w:rsid w:val="001757DC"/>
    <w:rsid w:val="001767B4"/>
    <w:rsid w:val="001774B3"/>
    <w:rsid w:val="00177DBA"/>
    <w:rsid w:val="00183B6E"/>
    <w:rsid w:val="00184747"/>
    <w:rsid w:val="00186F93"/>
    <w:rsid w:val="001904EF"/>
    <w:rsid w:val="0019162B"/>
    <w:rsid w:val="00193DEB"/>
    <w:rsid w:val="00194DD5"/>
    <w:rsid w:val="00195182"/>
    <w:rsid w:val="0019718B"/>
    <w:rsid w:val="0019731E"/>
    <w:rsid w:val="001978D6"/>
    <w:rsid w:val="001A1831"/>
    <w:rsid w:val="001A197A"/>
    <w:rsid w:val="001A1A72"/>
    <w:rsid w:val="001A41E0"/>
    <w:rsid w:val="001A783E"/>
    <w:rsid w:val="001B0089"/>
    <w:rsid w:val="001B0676"/>
    <w:rsid w:val="001B2739"/>
    <w:rsid w:val="001B65A4"/>
    <w:rsid w:val="001B7377"/>
    <w:rsid w:val="001D1C9F"/>
    <w:rsid w:val="001D250A"/>
    <w:rsid w:val="001D3E2C"/>
    <w:rsid w:val="001D725F"/>
    <w:rsid w:val="001E0162"/>
    <w:rsid w:val="001E515D"/>
    <w:rsid w:val="001E5CE3"/>
    <w:rsid w:val="001E79F9"/>
    <w:rsid w:val="001E7F80"/>
    <w:rsid w:val="001F190F"/>
    <w:rsid w:val="001F26DE"/>
    <w:rsid w:val="001F47A8"/>
    <w:rsid w:val="001F6375"/>
    <w:rsid w:val="00201FE5"/>
    <w:rsid w:val="00203D3D"/>
    <w:rsid w:val="002045B0"/>
    <w:rsid w:val="00204B8D"/>
    <w:rsid w:val="00204EFB"/>
    <w:rsid w:val="0021031A"/>
    <w:rsid w:val="00210517"/>
    <w:rsid w:val="00210FC9"/>
    <w:rsid w:val="00210FFD"/>
    <w:rsid w:val="00222BA5"/>
    <w:rsid w:val="00225825"/>
    <w:rsid w:val="0023493C"/>
    <w:rsid w:val="00236BA1"/>
    <w:rsid w:val="002401BA"/>
    <w:rsid w:val="00246223"/>
    <w:rsid w:val="0025014B"/>
    <w:rsid w:val="00253284"/>
    <w:rsid w:val="00253BAF"/>
    <w:rsid w:val="00255647"/>
    <w:rsid w:val="00255E1A"/>
    <w:rsid w:val="002561E4"/>
    <w:rsid w:val="0025672B"/>
    <w:rsid w:val="00256BF0"/>
    <w:rsid w:val="00260D3E"/>
    <w:rsid w:val="00261EC2"/>
    <w:rsid w:val="002647CF"/>
    <w:rsid w:val="0026531A"/>
    <w:rsid w:val="00271B41"/>
    <w:rsid w:val="00271BAC"/>
    <w:rsid w:val="0027271F"/>
    <w:rsid w:val="002729CA"/>
    <w:rsid w:val="0027308C"/>
    <w:rsid w:val="002743C7"/>
    <w:rsid w:val="00274942"/>
    <w:rsid w:val="00280798"/>
    <w:rsid w:val="00281271"/>
    <w:rsid w:val="002812A4"/>
    <w:rsid w:val="00282C0F"/>
    <w:rsid w:val="0028547A"/>
    <w:rsid w:val="0028567A"/>
    <w:rsid w:val="00287FD1"/>
    <w:rsid w:val="002903DF"/>
    <w:rsid w:val="00293E94"/>
    <w:rsid w:val="0029616D"/>
    <w:rsid w:val="00296C80"/>
    <w:rsid w:val="002A33A7"/>
    <w:rsid w:val="002A3D98"/>
    <w:rsid w:val="002A481A"/>
    <w:rsid w:val="002A59B0"/>
    <w:rsid w:val="002A779F"/>
    <w:rsid w:val="002B1350"/>
    <w:rsid w:val="002B1928"/>
    <w:rsid w:val="002B3602"/>
    <w:rsid w:val="002B4015"/>
    <w:rsid w:val="002B53CD"/>
    <w:rsid w:val="002B7502"/>
    <w:rsid w:val="002C1B33"/>
    <w:rsid w:val="002C1F03"/>
    <w:rsid w:val="002C46B8"/>
    <w:rsid w:val="002C485C"/>
    <w:rsid w:val="002D13A7"/>
    <w:rsid w:val="002D4259"/>
    <w:rsid w:val="002D4293"/>
    <w:rsid w:val="002D4367"/>
    <w:rsid w:val="002E0B48"/>
    <w:rsid w:val="002E1086"/>
    <w:rsid w:val="002E132E"/>
    <w:rsid w:val="002F07A9"/>
    <w:rsid w:val="002F1867"/>
    <w:rsid w:val="002F1E87"/>
    <w:rsid w:val="002F3A4A"/>
    <w:rsid w:val="002F5054"/>
    <w:rsid w:val="0030090B"/>
    <w:rsid w:val="003078D5"/>
    <w:rsid w:val="00310286"/>
    <w:rsid w:val="003127C0"/>
    <w:rsid w:val="0031326D"/>
    <w:rsid w:val="003134C0"/>
    <w:rsid w:val="0031365E"/>
    <w:rsid w:val="00317880"/>
    <w:rsid w:val="003214A8"/>
    <w:rsid w:val="003232E3"/>
    <w:rsid w:val="0032366B"/>
    <w:rsid w:val="00323B6B"/>
    <w:rsid w:val="00327D49"/>
    <w:rsid w:val="00331014"/>
    <w:rsid w:val="00331409"/>
    <w:rsid w:val="00336CD0"/>
    <w:rsid w:val="003425EE"/>
    <w:rsid w:val="00344107"/>
    <w:rsid w:val="00345AA6"/>
    <w:rsid w:val="00347EB2"/>
    <w:rsid w:val="00352AFA"/>
    <w:rsid w:val="00355054"/>
    <w:rsid w:val="0035531E"/>
    <w:rsid w:val="003557A6"/>
    <w:rsid w:val="003567EB"/>
    <w:rsid w:val="00356943"/>
    <w:rsid w:val="00357592"/>
    <w:rsid w:val="003578F4"/>
    <w:rsid w:val="00360A26"/>
    <w:rsid w:val="00363543"/>
    <w:rsid w:val="0036604A"/>
    <w:rsid w:val="00370E4E"/>
    <w:rsid w:val="00371CF9"/>
    <w:rsid w:val="0037323D"/>
    <w:rsid w:val="0037641F"/>
    <w:rsid w:val="00377523"/>
    <w:rsid w:val="00377CCB"/>
    <w:rsid w:val="00382771"/>
    <w:rsid w:val="00385C86"/>
    <w:rsid w:val="003A180F"/>
    <w:rsid w:val="003A347B"/>
    <w:rsid w:val="003A7A27"/>
    <w:rsid w:val="003A7EA7"/>
    <w:rsid w:val="003B328E"/>
    <w:rsid w:val="003B39B4"/>
    <w:rsid w:val="003B55DA"/>
    <w:rsid w:val="003B7C40"/>
    <w:rsid w:val="003C1FA2"/>
    <w:rsid w:val="003C65EA"/>
    <w:rsid w:val="003D1886"/>
    <w:rsid w:val="003D1CD9"/>
    <w:rsid w:val="003D3451"/>
    <w:rsid w:val="003D425A"/>
    <w:rsid w:val="003D5A8E"/>
    <w:rsid w:val="003D641F"/>
    <w:rsid w:val="003E0788"/>
    <w:rsid w:val="003E135B"/>
    <w:rsid w:val="003E5E06"/>
    <w:rsid w:val="003F0763"/>
    <w:rsid w:val="003F07A0"/>
    <w:rsid w:val="003F2A53"/>
    <w:rsid w:val="003F3440"/>
    <w:rsid w:val="003F402B"/>
    <w:rsid w:val="003F40A8"/>
    <w:rsid w:val="003F5657"/>
    <w:rsid w:val="003F66D3"/>
    <w:rsid w:val="003F7B03"/>
    <w:rsid w:val="004019F3"/>
    <w:rsid w:val="00402D2F"/>
    <w:rsid w:val="00404153"/>
    <w:rsid w:val="00410086"/>
    <w:rsid w:val="004131CB"/>
    <w:rsid w:val="00416059"/>
    <w:rsid w:val="00420452"/>
    <w:rsid w:val="00421AC2"/>
    <w:rsid w:val="00423181"/>
    <w:rsid w:val="00426BFD"/>
    <w:rsid w:val="00433569"/>
    <w:rsid w:val="004344AC"/>
    <w:rsid w:val="004363D0"/>
    <w:rsid w:val="00452F00"/>
    <w:rsid w:val="0045300E"/>
    <w:rsid w:val="00453F0B"/>
    <w:rsid w:val="00455543"/>
    <w:rsid w:val="004561E7"/>
    <w:rsid w:val="004617F3"/>
    <w:rsid w:val="00461B97"/>
    <w:rsid w:val="0046261A"/>
    <w:rsid w:val="00464A73"/>
    <w:rsid w:val="00466298"/>
    <w:rsid w:val="00472F9C"/>
    <w:rsid w:val="004731C7"/>
    <w:rsid w:val="00475E1B"/>
    <w:rsid w:val="00476511"/>
    <w:rsid w:val="00476816"/>
    <w:rsid w:val="00476F39"/>
    <w:rsid w:val="004778DB"/>
    <w:rsid w:val="00477992"/>
    <w:rsid w:val="0048250A"/>
    <w:rsid w:val="004839C7"/>
    <w:rsid w:val="00484805"/>
    <w:rsid w:val="00487758"/>
    <w:rsid w:val="00487D21"/>
    <w:rsid w:val="00490792"/>
    <w:rsid w:val="00490A8B"/>
    <w:rsid w:val="004912EC"/>
    <w:rsid w:val="00494E85"/>
    <w:rsid w:val="00496E33"/>
    <w:rsid w:val="00497190"/>
    <w:rsid w:val="00497950"/>
    <w:rsid w:val="004A0E8A"/>
    <w:rsid w:val="004A2306"/>
    <w:rsid w:val="004A26EB"/>
    <w:rsid w:val="004A2D93"/>
    <w:rsid w:val="004A36AA"/>
    <w:rsid w:val="004A4B78"/>
    <w:rsid w:val="004A4CCB"/>
    <w:rsid w:val="004A592F"/>
    <w:rsid w:val="004A6324"/>
    <w:rsid w:val="004B10F5"/>
    <w:rsid w:val="004B1549"/>
    <w:rsid w:val="004B5F46"/>
    <w:rsid w:val="004B6018"/>
    <w:rsid w:val="004C5DD1"/>
    <w:rsid w:val="004C69FF"/>
    <w:rsid w:val="004C6F85"/>
    <w:rsid w:val="004D091A"/>
    <w:rsid w:val="004D146C"/>
    <w:rsid w:val="004D32D1"/>
    <w:rsid w:val="004D40B6"/>
    <w:rsid w:val="004D5BED"/>
    <w:rsid w:val="004D7428"/>
    <w:rsid w:val="004E17DA"/>
    <w:rsid w:val="004E1C9A"/>
    <w:rsid w:val="004E3154"/>
    <w:rsid w:val="004E7DA6"/>
    <w:rsid w:val="004F0D9D"/>
    <w:rsid w:val="004F2AE3"/>
    <w:rsid w:val="004F3DF9"/>
    <w:rsid w:val="004F6B17"/>
    <w:rsid w:val="004F762F"/>
    <w:rsid w:val="0050003A"/>
    <w:rsid w:val="00500A39"/>
    <w:rsid w:val="00501278"/>
    <w:rsid w:val="0050480C"/>
    <w:rsid w:val="005060DD"/>
    <w:rsid w:val="00507C4D"/>
    <w:rsid w:val="00511901"/>
    <w:rsid w:val="00512A5E"/>
    <w:rsid w:val="005132F9"/>
    <w:rsid w:val="00520B28"/>
    <w:rsid w:val="00521207"/>
    <w:rsid w:val="00521824"/>
    <w:rsid w:val="005242C7"/>
    <w:rsid w:val="00525440"/>
    <w:rsid w:val="00533907"/>
    <w:rsid w:val="00533ECC"/>
    <w:rsid w:val="0053580A"/>
    <w:rsid w:val="00536ED8"/>
    <w:rsid w:val="00537578"/>
    <w:rsid w:val="005415F6"/>
    <w:rsid w:val="005425F5"/>
    <w:rsid w:val="005427E8"/>
    <w:rsid w:val="00546425"/>
    <w:rsid w:val="00547F40"/>
    <w:rsid w:val="00551D35"/>
    <w:rsid w:val="005523CF"/>
    <w:rsid w:val="005545B3"/>
    <w:rsid w:val="005547B9"/>
    <w:rsid w:val="00554A21"/>
    <w:rsid w:val="0056657E"/>
    <w:rsid w:val="00571B97"/>
    <w:rsid w:val="005725F4"/>
    <w:rsid w:val="00577FD5"/>
    <w:rsid w:val="0058027C"/>
    <w:rsid w:val="00583DDF"/>
    <w:rsid w:val="00587699"/>
    <w:rsid w:val="00587F8C"/>
    <w:rsid w:val="005928D4"/>
    <w:rsid w:val="00593E25"/>
    <w:rsid w:val="00595DA4"/>
    <w:rsid w:val="005A0482"/>
    <w:rsid w:val="005A27B4"/>
    <w:rsid w:val="005A42F3"/>
    <w:rsid w:val="005A4C5F"/>
    <w:rsid w:val="005A5102"/>
    <w:rsid w:val="005A5248"/>
    <w:rsid w:val="005A6DE6"/>
    <w:rsid w:val="005B047D"/>
    <w:rsid w:val="005B11F7"/>
    <w:rsid w:val="005B235E"/>
    <w:rsid w:val="005B3847"/>
    <w:rsid w:val="005B51C0"/>
    <w:rsid w:val="005B5C5D"/>
    <w:rsid w:val="005C2868"/>
    <w:rsid w:val="005C3126"/>
    <w:rsid w:val="005C3682"/>
    <w:rsid w:val="005C3F31"/>
    <w:rsid w:val="005D06EC"/>
    <w:rsid w:val="005D0829"/>
    <w:rsid w:val="005D0831"/>
    <w:rsid w:val="005D17EE"/>
    <w:rsid w:val="005D2073"/>
    <w:rsid w:val="005D21A7"/>
    <w:rsid w:val="005D795A"/>
    <w:rsid w:val="005E31A3"/>
    <w:rsid w:val="005E4A82"/>
    <w:rsid w:val="005E6C3E"/>
    <w:rsid w:val="005E6EC4"/>
    <w:rsid w:val="005E7ACD"/>
    <w:rsid w:val="005F0591"/>
    <w:rsid w:val="005F07FB"/>
    <w:rsid w:val="005F0B9E"/>
    <w:rsid w:val="005F261F"/>
    <w:rsid w:val="005F3182"/>
    <w:rsid w:val="005F338B"/>
    <w:rsid w:val="005F4EA4"/>
    <w:rsid w:val="005F6F7A"/>
    <w:rsid w:val="00600D21"/>
    <w:rsid w:val="00600F16"/>
    <w:rsid w:val="00604B41"/>
    <w:rsid w:val="00604DD1"/>
    <w:rsid w:val="0060594F"/>
    <w:rsid w:val="00605FB3"/>
    <w:rsid w:val="0061110A"/>
    <w:rsid w:val="00613054"/>
    <w:rsid w:val="00613D59"/>
    <w:rsid w:val="0061448A"/>
    <w:rsid w:val="0061586B"/>
    <w:rsid w:val="00615922"/>
    <w:rsid w:val="00617AAA"/>
    <w:rsid w:val="0062084E"/>
    <w:rsid w:val="0062174C"/>
    <w:rsid w:val="00625D03"/>
    <w:rsid w:val="00626D5B"/>
    <w:rsid w:val="00630DA3"/>
    <w:rsid w:val="006334F2"/>
    <w:rsid w:val="006416F1"/>
    <w:rsid w:val="00641EA8"/>
    <w:rsid w:val="00643F99"/>
    <w:rsid w:val="00645E44"/>
    <w:rsid w:val="00645E72"/>
    <w:rsid w:val="00647569"/>
    <w:rsid w:val="00650AFD"/>
    <w:rsid w:val="00651333"/>
    <w:rsid w:val="00651C39"/>
    <w:rsid w:val="0065331D"/>
    <w:rsid w:val="00656B0F"/>
    <w:rsid w:val="006571CA"/>
    <w:rsid w:val="006571EA"/>
    <w:rsid w:val="00660892"/>
    <w:rsid w:val="006627FE"/>
    <w:rsid w:val="006654F3"/>
    <w:rsid w:val="00666498"/>
    <w:rsid w:val="00666A90"/>
    <w:rsid w:val="00666AAA"/>
    <w:rsid w:val="0066738D"/>
    <w:rsid w:val="00670DAF"/>
    <w:rsid w:val="00673C30"/>
    <w:rsid w:val="006755BB"/>
    <w:rsid w:val="00676793"/>
    <w:rsid w:val="006772CB"/>
    <w:rsid w:val="00677708"/>
    <w:rsid w:val="006810F7"/>
    <w:rsid w:val="0068190A"/>
    <w:rsid w:val="00681C90"/>
    <w:rsid w:val="00682360"/>
    <w:rsid w:val="006826C3"/>
    <w:rsid w:val="006849F4"/>
    <w:rsid w:val="0068699E"/>
    <w:rsid w:val="00687B29"/>
    <w:rsid w:val="00687E75"/>
    <w:rsid w:val="00691789"/>
    <w:rsid w:val="00691EA9"/>
    <w:rsid w:val="0069510A"/>
    <w:rsid w:val="006A05E7"/>
    <w:rsid w:val="006A1996"/>
    <w:rsid w:val="006A49E5"/>
    <w:rsid w:val="006A5ACE"/>
    <w:rsid w:val="006A6088"/>
    <w:rsid w:val="006A62F9"/>
    <w:rsid w:val="006A7B15"/>
    <w:rsid w:val="006A7C88"/>
    <w:rsid w:val="006B0B3E"/>
    <w:rsid w:val="006B1D87"/>
    <w:rsid w:val="006B227C"/>
    <w:rsid w:val="006B2D64"/>
    <w:rsid w:val="006B2D7A"/>
    <w:rsid w:val="006B3A6D"/>
    <w:rsid w:val="006B3A9F"/>
    <w:rsid w:val="006B3B06"/>
    <w:rsid w:val="006B79FC"/>
    <w:rsid w:val="006C410C"/>
    <w:rsid w:val="006C4B2E"/>
    <w:rsid w:val="006C5743"/>
    <w:rsid w:val="006C6325"/>
    <w:rsid w:val="006C766C"/>
    <w:rsid w:val="006C77BD"/>
    <w:rsid w:val="006D16AB"/>
    <w:rsid w:val="006D43E5"/>
    <w:rsid w:val="006D6469"/>
    <w:rsid w:val="006D73E8"/>
    <w:rsid w:val="006D76FE"/>
    <w:rsid w:val="006D7E62"/>
    <w:rsid w:val="006E34AA"/>
    <w:rsid w:val="006E6185"/>
    <w:rsid w:val="006E6B35"/>
    <w:rsid w:val="006E6D93"/>
    <w:rsid w:val="006E7E73"/>
    <w:rsid w:val="006F11A0"/>
    <w:rsid w:val="006F1397"/>
    <w:rsid w:val="006F144F"/>
    <w:rsid w:val="006F32E2"/>
    <w:rsid w:val="006F46C4"/>
    <w:rsid w:val="007011A2"/>
    <w:rsid w:val="007062BA"/>
    <w:rsid w:val="00707151"/>
    <w:rsid w:val="007078CA"/>
    <w:rsid w:val="007129BE"/>
    <w:rsid w:val="00713490"/>
    <w:rsid w:val="00713A3E"/>
    <w:rsid w:val="00716C9B"/>
    <w:rsid w:val="00717FC3"/>
    <w:rsid w:val="00720AB4"/>
    <w:rsid w:val="00720F29"/>
    <w:rsid w:val="0072388E"/>
    <w:rsid w:val="007238F2"/>
    <w:rsid w:val="00723EA2"/>
    <w:rsid w:val="00726685"/>
    <w:rsid w:val="007327B4"/>
    <w:rsid w:val="007328DF"/>
    <w:rsid w:val="00732A48"/>
    <w:rsid w:val="00735F4C"/>
    <w:rsid w:val="00737ECC"/>
    <w:rsid w:val="007408A1"/>
    <w:rsid w:val="007425AE"/>
    <w:rsid w:val="0074400E"/>
    <w:rsid w:val="00744013"/>
    <w:rsid w:val="007452A6"/>
    <w:rsid w:val="007465B5"/>
    <w:rsid w:val="007505B6"/>
    <w:rsid w:val="0075178C"/>
    <w:rsid w:val="00751AD8"/>
    <w:rsid w:val="00753502"/>
    <w:rsid w:val="00757368"/>
    <w:rsid w:val="0076286E"/>
    <w:rsid w:val="007641B7"/>
    <w:rsid w:val="00764D1F"/>
    <w:rsid w:val="00765B5C"/>
    <w:rsid w:val="00770B9E"/>
    <w:rsid w:val="0077330C"/>
    <w:rsid w:val="0077341A"/>
    <w:rsid w:val="007766E8"/>
    <w:rsid w:val="0077694A"/>
    <w:rsid w:val="00776F76"/>
    <w:rsid w:val="00780B29"/>
    <w:rsid w:val="00791D06"/>
    <w:rsid w:val="007927B4"/>
    <w:rsid w:val="00795530"/>
    <w:rsid w:val="007A4D4B"/>
    <w:rsid w:val="007A5074"/>
    <w:rsid w:val="007A51EC"/>
    <w:rsid w:val="007A5F9B"/>
    <w:rsid w:val="007A7261"/>
    <w:rsid w:val="007A7364"/>
    <w:rsid w:val="007A7731"/>
    <w:rsid w:val="007B0C32"/>
    <w:rsid w:val="007B240F"/>
    <w:rsid w:val="007B2F24"/>
    <w:rsid w:val="007B46BE"/>
    <w:rsid w:val="007B4964"/>
    <w:rsid w:val="007B53E9"/>
    <w:rsid w:val="007B6B6E"/>
    <w:rsid w:val="007B79EC"/>
    <w:rsid w:val="007B7EBD"/>
    <w:rsid w:val="007C0E7F"/>
    <w:rsid w:val="007C11CB"/>
    <w:rsid w:val="007C215B"/>
    <w:rsid w:val="007C26EE"/>
    <w:rsid w:val="007C2A6D"/>
    <w:rsid w:val="007C2F0D"/>
    <w:rsid w:val="007C31A9"/>
    <w:rsid w:val="007C489C"/>
    <w:rsid w:val="007C6CAC"/>
    <w:rsid w:val="007D05C4"/>
    <w:rsid w:val="007D3279"/>
    <w:rsid w:val="007D3A54"/>
    <w:rsid w:val="007D4001"/>
    <w:rsid w:val="007D539B"/>
    <w:rsid w:val="007D6B05"/>
    <w:rsid w:val="007E12A7"/>
    <w:rsid w:val="007E2386"/>
    <w:rsid w:val="007E25CA"/>
    <w:rsid w:val="007E302B"/>
    <w:rsid w:val="007E38E9"/>
    <w:rsid w:val="007E5713"/>
    <w:rsid w:val="007E780E"/>
    <w:rsid w:val="007E7C0C"/>
    <w:rsid w:val="007F24BC"/>
    <w:rsid w:val="007F621D"/>
    <w:rsid w:val="007F7123"/>
    <w:rsid w:val="007F72D5"/>
    <w:rsid w:val="007F7D7C"/>
    <w:rsid w:val="0080157B"/>
    <w:rsid w:val="008044AE"/>
    <w:rsid w:val="0080710B"/>
    <w:rsid w:val="0081016E"/>
    <w:rsid w:val="00811768"/>
    <w:rsid w:val="00814D7E"/>
    <w:rsid w:val="00814E9C"/>
    <w:rsid w:val="0081745A"/>
    <w:rsid w:val="00823913"/>
    <w:rsid w:val="00831D15"/>
    <w:rsid w:val="008337C5"/>
    <w:rsid w:val="008349A1"/>
    <w:rsid w:val="00834B8B"/>
    <w:rsid w:val="00834FF7"/>
    <w:rsid w:val="0084030D"/>
    <w:rsid w:val="00841553"/>
    <w:rsid w:val="00841B11"/>
    <w:rsid w:val="00845250"/>
    <w:rsid w:val="00850171"/>
    <w:rsid w:val="00850915"/>
    <w:rsid w:val="008526A9"/>
    <w:rsid w:val="00855C7B"/>
    <w:rsid w:val="008622A5"/>
    <w:rsid w:val="00863502"/>
    <w:rsid w:val="00865B22"/>
    <w:rsid w:val="008662B2"/>
    <w:rsid w:val="00870231"/>
    <w:rsid w:val="008704EF"/>
    <w:rsid w:val="00871150"/>
    <w:rsid w:val="00874DC4"/>
    <w:rsid w:val="00876682"/>
    <w:rsid w:val="008852FF"/>
    <w:rsid w:val="008873B1"/>
    <w:rsid w:val="0088761D"/>
    <w:rsid w:val="0089082B"/>
    <w:rsid w:val="00890ACA"/>
    <w:rsid w:val="00894DC2"/>
    <w:rsid w:val="0089592C"/>
    <w:rsid w:val="00895941"/>
    <w:rsid w:val="008971CC"/>
    <w:rsid w:val="008A04AA"/>
    <w:rsid w:val="008A27BB"/>
    <w:rsid w:val="008A3371"/>
    <w:rsid w:val="008A421C"/>
    <w:rsid w:val="008A6986"/>
    <w:rsid w:val="008B017C"/>
    <w:rsid w:val="008B53BD"/>
    <w:rsid w:val="008B6217"/>
    <w:rsid w:val="008B638C"/>
    <w:rsid w:val="008B7637"/>
    <w:rsid w:val="008C1E64"/>
    <w:rsid w:val="008C2B32"/>
    <w:rsid w:val="008C37B3"/>
    <w:rsid w:val="008C3CB7"/>
    <w:rsid w:val="008C42ED"/>
    <w:rsid w:val="008C6A74"/>
    <w:rsid w:val="008C7030"/>
    <w:rsid w:val="008C7341"/>
    <w:rsid w:val="008D11D6"/>
    <w:rsid w:val="008D1461"/>
    <w:rsid w:val="008D1D0F"/>
    <w:rsid w:val="008D663D"/>
    <w:rsid w:val="008E1808"/>
    <w:rsid w:val="008E343F"/>
    <w:rsid w:val="008E42A3"/>
    <w:rsid w:val="008E4BFD"/>
    <w:rsid w:val="008E5C3A"/>
    <w:rsid w:val="008E7045"/>
    <w:rsid w:val="008F07BD"/>
    <w:rsid w:val="008F1D33"/>
    <w:rsid w:val="008F5504"/>
    <w:rsid w:val="008F5AC1"/>
    <w:rsid w:val="008F67F1"/>
    <w:rsid w:val="008F6920"/>
    <w:rsid w:val="00900C41"/>
    <w:rsid w:val="009025EC"/>
    <w:rsid w:val="00902C5C"/>
    <w:rsid w:val="00903156"/>
    <w:rsid w:val="009039EC"/>
    <w:rsid w:val="009052E8"/>
    <w:rsid w:val="00906642"/>
    <w:rsid w:val="009104F3"/>
    <w:rsid w:val="00910CBF"/>
    <w:rsid w:val="00915D48"/>
    <w:rsid w:val="00916569"/>
    <w:rsid w:val="00916B98"/>
    <w:rsid w:val="00927D61"/>
    <w:rsid w:val="0093121D"/>
    <w:rsid w:val="00931E25"/>
    <w:rsid w:val="0093468E"/>
    <w:rsid w:val="00936090"/>
    <w:rsid w:val="0093647D"/>
    <w:rsid w:val="009401C5"/>
    <w:rsid w:val="00940332"/>
    <w:rsid w:val="00944C7D"/>
    <w:rsid w:val="00947A4D"/>
    <w:rsid w:val="009501EE"/>
    <w:rsid w:val="0095046E"/>
    <w:rsid w:val="009516DF"/>
    <w:rsid w:val="00951E96"/>
    <w:rsid w:val="00953647"/>
    <w:rsid w:val="009557C0"/>
    <w:rsid w:val="009629EE"/>
    <w:rsid w:val="00962FB2"/>
    <w:rsid w:val="00973D7E"/>
    <w:rsid w:val="009762B7"/>
    <w:rsid w:val="009813D7"/>
    <w:rsid w:val="0098230A"/>
    <w:rsid w:val="00982630"/>
    <w:rsid w:val="00985766"/>
    <w:rsid w:val="00986D8C"/>
    <w:rsid w:val="009872BB"/>
    <w:rsid w:val="00993E11"/>
    <w:rsid w:val="00994A9B"/>
    <w:rsid w:val="009A0DF4"/>
    <w:rsid w:val="009A59BC"/>
    <w:rsid w:val="009A741F"/>
    <w:rsid w:val="009A7531"/>
    <w:rsid w:val="009B00FD"/>
    <w:rsid w:val="009B28C2"/>
    <w:rsid w:val="009B3412"/>
    <w:rsid w:val="009B6A19"/>
    <w:rsid w:val="009B768D"/>
    <w:rsid w:val="009B7E30"/>
    <w:rsid w:val="009C1676"/>
    <w:rsid w:val="009C2A56"/>
    <w:rsid w:val="009C5A36"/>
    <w:rsid w:val="009C6A97"/>
    <w:rsid w:val="009C6D70"/>
    <w:rsid w:val="009C7BAA"/>
    <w:rsid w:val="009D118B"/>
    <w:rsid w:val="009D120F"/>
    <w:rsid w:val="009D2C49"/>
    <w:rsid w:val="009D2E9F"/>
    <w:rsid w:val="009D3831"/>
    <w:rsid w:val="009D4DD4"/>
    <w:rsid w:val="009E18C7"/>
    <w:rsid w:val="009E1F2F"/>
    <w:rsid w:val="009E26AF"/>
    <w:rsid w:val="009E4504"/>
    <w:rsid w:val="009E46FE"/>
    <w:rsid w:val="009E5E02"/>
    <w:rsid w:val="009E7054"/>
    <w:rsid w:val="009E7B62"/>
    <w:rsid w:val="009F0215"/>
    <w:rsid w:val="009F1B2E"/>
    <w:rsid w:val="009F3336"/>
    <w:rsid w:val="009F45E0"/>
    <w:rsid w:val="009F48DA"/>
    <w:rsid w:val="009F6B6B"/>
    <w:rsid w:val="009F6B8F"/>
    <w:rsid w:val="009F7B99"/>
    <w:rsid w:val="00A007F9"/>
    <w:rsid w:val="00A03BF5"/>
    <w:rsid w:val="00A054FB"/>
    <w:rsid w:val="00A13439"/>
    <w:rsid w:val="00A169BA"/>
    <w:rsid w:val="00A17804"/>
    <w:rsid w:val="00A214D4"/>
    <w:rsid w:val="00A2201B"/>
    <w:rsid w:val="00A2243A"/>
    <w:rsid w:val="00A24C32"/>
    <w:rsid w:val="00A27875"/>
    <w:rsid w:val="00A27A22"/>
    <w:rsid w:val="00A35AE5"/>
    <w:rsid w:val="00A43AA4"/>
    <w:rsid w:val="00A43C71"/>
    <w:rsid w:val="00A46ABB"/>
    <w:rsid w:val="00A5030E"/>
    <w:rsid w:val="00A51676"/>
    <w:rsid w:val="00A51F7D"/>
    <w:rsid w:val="00A52778"/>
    <w:rsid w:val="00A52DAB"/>
    <w:rsid w:val="00A545F9"/>
    <w:rsid w:val="00A6090B"/>
    <w:rsid w:val="00A6580E"/>
    <w:rsid w:val="00A708AC"/>
    <w:rsid w:val="00A71854"/>
    <w:rsid w:val="00A74DEB"/>
    <w:rsid w:val="00A76FFE"/>
    <w:rsid w:val="00A77A88"/>
    <w:rsid w:val="00A77BF3"/>
    <w:rsid w:val="00A8017D"/>
    <w:rsid w:val="00A8232B"/>
    <w:rsid w:val="00A83B76"/>
    <w:rsid w:val="00A855EE"/>
    <w:rsid w:val="00A87E4B"/>
    <w:rsid w:val="00A92EE1"/>
    <w:rsid w:val="00A96C44"/>
    <w:rsid w:val="00A97568"/>
    <w:rsid w:val="00A978F6"/>
    <w:rsid w:val="00AA0D90"/>
    <w:rsid w:val="00AA2389"/>
    <w:rsid w:val="00AA253E"/>
    <w:rsid w:val="00AA4D2B"/>
    <w:rsid w:val="00AA5ADC"/>
    <w:rsid w:val="00AB1477"/>
    <w:rsid w:val="00AB14E8"/>
    <w:rsid w:val="00AB16F8"/>
    <w:rsid w:val="00AB1B77"/>
    <w:rsid w:val="00AB305A"/>
    <w:rsid w:val="00AB3807"/>
    <w:rsid w:val="00AB39FA"/>
    <w:rsid w:val="00AB56C8"/>
    <w:rsid w:val="00AB580A"/>
    <w:rsid w:val="00AC01F0"/>
    <w:rsid w:val="00AC03DA"/>
    <w:rsid w:val="00AC31C4"/>
    <w:rsid w:val="00AC559E"/>
    <w:rsid w:val="00AC59FC"/>
    <w:rsid w:val="00AC68AF"/>
    <w:rsid w:val="00AC7BC7"/>
    <w:rsid w:val="00AD049A"/>
    <w:rsid w:val="00AD0B7A"/>
    <w:rsid w:val="00AD2B7B"/>
    <w:rsid w:val="00AD2F0F"/>
    <w:rsid w:val="00AD4183"/>
    <w:rsid w:val="00AD5074"/>
    <w:rsid w:val="00AD55B5"/>
    <w:rsid w:val="00AD62BA"/>
    <w:rsid w:val="00AE0B05"/>
    <w:rsid w:val="00AE0D62"/>
    <w:rsid w:val="00AE5ADB"/>
    <w:rsid w:val="00AE62C8"/>
    <w:rsid w:val="00AF1082"/>
    <w:rsid w:val="00AF413D"/>
    <w:rsid w:val="00AF4937"/>
    <w:rsid w:val="00AF51C1"/>
    <w:rsid w:val="00AF77DF"/>
    <w:rsid w:val="00AF7EE4"/>
    <w:rsid w:val="00B002AD"/>
    <w:rsid w:val="00B002EB"/>
    <w:rsid w:val="00B00443"/>
    <w:rsid w:val="00B02876"/>
    <w:rsid w:val="00B0304E"/>
    <w:rsid w:val="00B0466B"/>
    <w:rsid w:val="00B0508A"/>
    <w:rsid w:val="00B06A7E"/>
    <w:rsid w:val="00B0707B"/>
    <w:rsid w:val="00B076CF"/>
    <w:rsid w:val="00B104B8"/>
    <w:rsid w:val="00B11887"/>
    <w:rsid w:val="00B11A46"/>
    <w:rsid w:val="00B14288"/>
    <w:rsid w:val="00B14CD6"/>
    <w:rsid w:val="00B244DC"/>
    <w:rsid w:val="00B24F9E"/>
    <w:rsid w:val="00B251BD"/>
    <w:rsid w:val="00B25A64"/>
    <w:rsid w:val="00B277EF"/>
    <w:rsid w:val="00B30B93"/>
    <w:rsid w:val="00B318EE"/>
    <w:rsid w:val="00B35A85"/>
    <w:rsid w:val="00B36BAF"/>
    <w:rsid w:val="00B420FA"/>
    <w:rsid w:val="00B425B1"/>
    <w:rsid w:val="00B4555B"/>
    <w:rsid w:val="00B5090E"/>
    <w:rsid w:val="00B53166"/>
    <w:rsid w:val="00B56256"/>
    <w:rsid w:val="00B56DA7"/>
    <w:rsid w:val="00B575EF"/>
    <w:rsid w:val="00B61D82"/>
    <w:rsid w:val="00B61EC5"/>
    <w:rsid w:val="00B62344"/>
    <w:rsid w:val="00B64B47"/>
    <w:rsid w:val="00B65947"/>
    <w:rsid w:val="00B70803"/>
    <w:rsid w:val="00B708F5"/>
    <w:rsid w:val="00B740C5"/>
    <w:rsid w:val="00B75D71"/>
    <w:rsid w:val="00B80F70"/>
    <w:rsid w:val="00B827C4"/>
    <w:rsid w:val="00B829DF"/>
    <w:rsid w:val="00B83EAE"/>
    <w:rsid w:val="00B85E72"/>
    <w:rsid w:val="00B86CA2"/>
    <w:rsid w:val="00B87E81"/>
    <w:rsid w:val="00B93140"/>
    <w:rsid w:val="00B944E1"/>
    <w:rsid w:val="00B9465D"/>
    <w:rsid w:val="00B95AC6"/>
    <w:rsid w:val="00B961CD"/>
    <w:rsid w:val="00B96210"/>
    <w:rsid w:val="00B979D8"/>
    <w:rsid w:val="00B97B95"/>
    <w:rsid w:val="00BA14E7"/>
    <w:rsid w:val="00BA1E1F"/>
    <w:rsid w:val="00BA34D5"/>
    <w:rsid w:val="00BA5E1F"/>
    <w:rsid w:val="00BA7BEC"/>
    <w:rsid w:val="00BA7C6C"/>
    <w:rsid w:val="00BA7D41"/>
    <w:rsid w:val="00BB23F7"/>
    <w:rsid w:val="00BB27B7"/>
    <w:rsid w:val="00BB29D0"/>
    <w:rsid w:val="00BB3EAD"/>
    <w:rsid w:val="00BB4F1E"/>
    <w:rsid w:val="00BB5A26"/>
    <w:rsid w:val="00BB5BBB"/>
    <w:rsid w:val="00BB5E03"/>
    <w:rsid w:val="00BB79CA"/>
    <w:rsid w:val="00BB7F85"/>
    <w:rsid w:val="00BC282F"/>
    <w:rsid w:val="00BC2C2E"/>
    <w:rsid w:val="00BC3798"/>
    <w:rsid w:val="00BC5E19"/>
    <w:rsid w:val="00BC73A9"/>
    <w:rsid w:val="00BD0E60"/>
    <w:rsid w:val="00BD2B21"/>
    <w:rsid w:val="00BD2F55"/>
    <w:rsid w:val="00BD3D5A"/>
    <w:rsid w:val="00BD4A4F"/>
    <w:rsid w:val="00BD557B"/>
    <w:rsid w:val="00BE22AD"/>
    <w:rsid w:val="00BE27F8"/>
    <w:rsid w:val="00BE3D65"/>
    <w:rsid w:val="00BE636E"/>
    <w:rsid w:val="00BE646D"/>
    <w:rsid w:val="00BF0329"/>
    <w:rsid w:val="00BF049D"/>
    <w:rsid w:val="00BF19F4"/>
    <w:rsid w:val="00BF29D7"/>
    <w:rsid w:val="00C00297"/>
    <w:rsid w:val="00C00940"/>
    <w:rsid w:val="00C047A6"/>
    <w:rsid w:val="00C04B54"/>
    <w:rsid w:val="00C10C10"/>
    <w:rsid w:val="00C1123B"/>
    <w:rsid w:val="00C11741"/>
    <w:rsid w:val="00C1199F"/>
    <w:rsid w:val="00C1204B"/>
    <w:rsid w:val="00C16DEA"/>
    <w:rsid w:val="00C20F45"/>
    <w:rsid w:val="00C21322"/>
    <w:rsid w:val="00C2276F"/>
    <w:rsid w:val="00C24A9B"/>
    <w:rsid w:val="00C24E49"/>
    <w:rsid w:val="00C254CF"/>
    <w:rsid w:val="00C260D5"/>
    <w:rsid w:val="00C26C63"/>
    <w:rsid w:val="00C30204"/>
    <w:rsid w:val="00C3031A"/>
    <w:rsid w:val="00C304C3"/>
    <w:rsid w:val="00C30F80"/>
    <w:rsid w:val="00C311C6"/>
    <w:rsid w:val="00C315A1"/>
    <w:rsid w:val="00C3584B"/>
    <w:rsid w:val="00C36D67"/>
    <w:rsid w:val="00C41FFD"/>
    <w:rsid w:val="00C44A42"/>
    <w:rsid w:val="00C44A43"/>
    <w:rsid w:val="00C45AAC"/>
    <w:rsid w:val="00C45E46"/>
    <w:rsid w:val="00C505BD"/>
    <w:rsid w:val="00C509D0"/>
    <w:rsid w:val="00C51AE2"/>
    <w:rsid w:val="00C5757A"/>
    <w:rsid w:val="00C65010"/>
    <w:rsid w:val="00C669C9"/>
    <w:rsid w:val="00C67673"/>
    <w:rsid w:val="00C72912"/>
    <w:rsid w:val="00C7357B"/>
    <w:rsid w:val="00C74D3A"/>
    <w:rsid w:val="00C764B4"/>
    <w:rsid w:val="00C80176"/>
    <w:rsid w:val="00C83944"/>
    <w:rsid w:val="00C85AFE"/>
    <w:rsid w:val="00C91E61"/>
    <w:rsid w:val="00C93615"/>
    <w:rsid w:val="00C94C70"/>
    <w:rsid w:val="00CA0042"/>
    <w:rsid w:val="00CA107E"/>
    <w:rsid w:val="00CA174A"/>
    <w:rsid w:val="00CA3713"/>
    <w:rsid w:val="00CA7E23"/>
    <w:rsid w:val="00CB1219"/>
    <w:rsid w:val="00CB5BB4"/>
    <w:rsid w:val="00CB5F04"/>
    <w:rsid w:val="00CB77B6"/>
    <w:rsid w:val="00CC32EC"/>
    <w:rsid w:val="00CC37C6"/>
    <w:rsid w:val="00CC42CF"/>
    <w:rsid w:val="00CC44E5"/>
    <w:rsid w:val="00CC4BEE"/>
    <w:rsid w:val="00CC68D7"/>
    <w:rsid w:val="00CD57A5"/>
    <w:rsid w:val="00CD587C"/>
    <w:rsid w:val="00CD7498"/>
    <w:rsid w:val="00CD7E42"/>
    <w:rsid w:val="00CE09D9"/>
    <w:rsid w:val="00CE119E"/>
    <w:rsid w:val="00CE159C"/>
    <w:rsid w:val="00CE2A7F"/>
    <w:rsid w:val="00CE4791"/>
    <w:rsid w:val="00CE5BC2"/>
    <w:rsid w:val="00CF0EEC"/>
    <w:rsid w:val="00CF2420"/>
    <w:rsid w:val="00CF2AF7"/>
    <w:rsid w:val="00CF618B"/>
    <w:rsid w:val="00CF7D95"/>
    <w:rsid w:val="00D016CE"/>
    <w:rsid w:val="00D04AA5"/>
    <w:rsid w:val="00D07C9A"/>
    <w:rsid w:val="00D1198A"/>
    <w:rsid w:val="00D11DC4"/>
    <w:rsid w:val="00D144EB"/>
    <w:rsid w:val="00D15C6A"/>
    <w:rsid w:val="00D16246"/>
    <w:rsid w:val="00D22368"/>
    <w:rsid w:val="00D22489"/>
    <w:rsid w:val="00D252EE"/>
    <w:rsid w:val="00D2581A"/>
    <w:rsid w:val="00D279C9"/>
    <w:rsid w:val="00D30DBA"/>
    <w:rsid w:val="00D353DE"/>
    <w:rsid w:val="00D35ADA"/>
    <w:rsid w:val="00D37DA3"/>
    <w:rsid w:val="00D40250"/>
    <w:rsid w:val="00D4206C"/>
    <w:rsid w:val="00D56C5B"/>
    <w:rsid w:val="00D64EFF"/>
    <w:rsid w:val="00D65330"/>
    <w:rsid w:val="00D65A71"/>
    <w:rsid w:val="00D70C55"/>
    <w:rsid w:val="00D7163E"/>
    <w:rsid w:val="00D71E10"/>
    <w:rsid w:val="00D726A4"/>
    <w:rsid w:val="00D73AB3"/>
    <w:rsid w:val="00D740A0"/>
    <w:rsid w:val="00D74EBB"/>
    <w:rsid w:val="00D75789"/>
    <w:rsid w:val="00D76DF6"/>
    <w:rsid w:val="00D76EC3"/>
    <w:rsid w:val="00D800FC"/>
    <w:rsid w:val="00D80A1B"/>
    <w:rsid w:val="00D82B97"/>
    <w:rsid w:val="00D82CDF"/>
    <w:rsid w:val="00D8431F"/>
    <w:rsid w:val="00D87580"/>
    <w:rsid w:val="00D9188B"/>
    <w:rsid w:val="00D956F2"/>
    <w:rsid w:val="00D96537"/>
    <w:rsid w:val="00D974B3"/>
    <w:rsid w:val="00DA418B"/>
    <w:rsid w:val="00DA5DE1"/>
    <w:rsid w:val="00DA5FF3"/>
    <w:rsid w:val="00DA6771"/>
    <w:rsid w:val="00DA67EA"/>
    <w:rsid w:val="00DA6EF2"/>
    <w:rsid w:val="00DB086E"/>
    <w:rsid w:val="00DB1231"/>
    <w:rsid w:val="00DB36C5"/>
    <w:rsid w:val="00DC0391"/>
    <w:rsid w:val="00DC3AB0"/>
    <w:rsid w:val="00DC4A35"/>
    <w:rsid w:val="00DC6030"/>
    <w:rsid w:val="00DD4C58"/>
    <w:rsid w:val="00DE2825"/>
    <w:rsid w:val="00DE5957"/>
    <w:rsid w:val="00DE6569"/>
    <w:rsid w:val="00DE6E52"/>
    <w:rsid w:val="00DE78ED"/>
    <w:rsid w:val="00DF3FDF"/>
    <w:rsid w:val="00DF4B5D"/>
    <w:rsid w:val="00DF60F2"/>
    <w:rsid w:val="00DF6C17"/>
    <w:rsid w:val="00DF7D1B"/>
    <w:rsid w:val="00E01740"/>
    <w:rsid w:val="00E04633"/>
    <w:rsid w:val="00E07FF6"/>
    <w:rsid w:val="00E128CF"/>
    <w:rsid w:val="00E20811"/>
    <w:rsid w:val="00E21EC4"/>
    <w:rsid w:val="00E2364E"/>
    <w:rsid w:val="00E23AEE"/>
    <w:rsid w:val="00E2577D"/>
    <w:rsid w:val="00E271BB"/>
    <w:rsid w:val="00E3290F"/>
    <w:rsid w:val="00E34320"/>
    <w:rsid w:val="00E357B9"/>
    <w:rsid w:val="00E41F9B"/>
    <w:rsid w:val="00E430E5"/>
    <w:rsid w:val="00E4316D"/>
    <w:rsid w:val="00E44B63"/>
    <w:rsid w:val="00E46102"/>
    <w:rsid w:val="00E46D31"/>
    <w:rsid w:val="00E47CE7"/>
    <w:rsid w:val="00E47FB8"/>
    <w:rsid w:val="00E47FFD"/>
    <w:rsid w:val="00E50F16"/>
    <w:rsid w:val="00E52148"/>
    <w:rsid w:val="00E54558"/>
    <w:rsid w:val="00E558EA"/>
    <w:rsid w:val="00E55EB6"/>
    <w:rsid w:val="00E573F9"/>
    <w:rsid w:val="00E63534"/>
    <w:rsid w:val="00E66676"/>
    <w:rsid w:val="00E671F9"/>
    <w:rsid w:val="00E70365"/>
    <w:rsid w:val="00E70408"/>
    <w:rsid w:val="00E72ACE"/>
    <w:rsid w:val="00E73861"/>
    <w:rsid w:val="00E83EE6"/>
    <w:rsid w:val="00E85727"/>
    <w:rsid w:val="00E85F18"/>
    <w:rsid w:val="00E92D98"/>
    <w:rsid w:val="00E94AC7"/>
    <w:rsid w:val="00E9601B"/>
    <w:rsid w:val="00E96DA9"/>
    <w:rsid w:val="00E97689"/>
    <w:rsid w:val="00EA0860"/>
    <w:rsid w:val="00EA59F9"/>
    <w:rsid w:val="00EA620D"/>
    <w:rsid w:val="00EA7222"/>
    <w:rsid w:val="00EB00A3"/>
    <w:rsid w:val="00EB22A6"/>
    <w:rsid w:val="00EB27F4"/>
    <w:rsid w:val="00EB2880"/>
    <w:rsid w:val="00EB4256"/>
    <w:rsid w:val="00EB4B4D"/>
    <w:rsid w:val="00EB4B6E"/>
    <w:rsid w:val="00EB508C"/>
    <w:rsid w:val="00EB6C34"/>
    <w:rsid w:val="00EB7684"/>
    <w:rsid w:val="00EC2E64"/>
    <w:rsid w:val="00EC6534"/>
    <w:rsid w:val="00EC755D"/>
    <w:rsid w:val="00EC7823"/>
    <w:rsid w:val="00EC78B0"/>
    <w:rsid w:val="00ED13D6"/>
    <w:rsid w:val="00ED25DF"/>
    <w:rsid w:val="00ED7F7C"/>
    <w:rsid w:val="00EE0A71"/>
    <w:rsid w:val="00EE272E"/>
    <w:rsid w:val="00EE3A33"/>
    <w:rsid w:val="00EE6CDF"/>
    <w:rsid w:val="00EE75CB"/>
    <w:rsid w:val="00EE7C3F"/>
    <w:rsid w:val="00EE7E83"/>
    <w:rsid w:val="00EF039C"/>
    <w:rsid w:val="00EF0A6C"/>
    <w:rsid w:val="00EF1759"/>
    <w:rsid w:val="00EF6455"/>
    <w:rsid w:val="00F00E8C"/>
    <w:rsid w:val="00F02995"/>
    <w:rsid w:val="00F03443"/>
    <w:rsid w:val="00F03AB3"/>
    <w:rsid w:val="00F077EB"/>
    <w:rsid w:val="00F10358"/>
    <w:rsid w:val="00F107B9"/>
    <w:rsid w:val="00F17FA6"/>
    <w:rsid w:val="00F2513F"/>
    <w:rsid w:val="00F261DF"/>
    <w:rsid w:val="00F26CEC"/>
    <w:rsid w:val="00F26D06"/>
    <w:rsid w:val="00F27105"/>
    <w:rsid w:val="00F324B9"/>
    <w:rsid w:val="00F34A44"/>
    <w:rsid w:val="00F35FAF"/>
    <w:rsid w:val="00F37AC5"/>
    <w:rsid w:val="00F4026C"/>
    <w:rsid w:val="00F41278"/>
    <w:rsid w:val="00F41A90"/>
    <w:rsid w:val="00F449ED"/>
    <w:rsid w:val="00F45335"/>
    <w:rsid w:val="00F45877"/>
    <w:rsid w:val="00F46DB2"/>
    <w:rsid w:val="00F50400"/>
    <w:rsid w:val="00F515FC"/>
    <w:rsid w:val="00F51DF9"/>
    <w:rsid w:val="00F51EA6"/>
    <w:rsid w:val="00F5284A"/>
    <w:rsid w:val="00F531FF"/>
    <w:rsid w:val="00F537E6"/>
    <w:rsid w:val="00F57F7B"/>
    <w:rsid w:val="00F61091"/>
    <w:rsid w:val="00F6457A"/>
    <w:rsid w:val="00F647B4"/>
    <w:rsid w:val="00F6626A"/>
    <w:rsid w:val="00F67D61"/>
    <w:rsid w:val="00F71065"/>
    <w:rsid w:val="00F72755"/>
    <w:rsid w:val="00F7291F"/>
    <w:rsid w:val="00F72BE1"/>
    <w:rsid w:val="00F7445C"/>
    <w:rsid w:val="00F76540"/>
    <w:rsid w:val="00F76AC6"/>
    <w:rsid w:val="00F856FD"/>
    <w:rsid w:val="00F912EB"/>
    <w:rsid w:val="00F979D8"/>
    <w:rsid w:val="00FA1D1E"/>
    <w:rsid w:val="00FA37F3"/>
    <w:rsid w:val="00FA551A"/>
    <w:rsid w:val="00FA5FA1"/>
    <w:rsid w:val="00FA62F4"/>
    <w:rsid w:val="00FB2C67"/>
    <w:rsid w:val="00FB7E65"/>
    <w:rsid w:val="00FC0A28"/>
    <w:rsid w:val="00FC5978"/>
    <w:rsid w:val="00FD047F"/>
    <w:rsid w:val="00FD18D3"/>
    <w:rsid w:val="00FD1A48"/>
    <w:rsid w:val="00FD1AC9"/>
    <w:rsid w:val="00FD1E63"/>
    <w:rsid w:val="00FD3263"/>
    <w:rsid w:val="00FD3719"/>
    <w:rsid w:val="00FD4FB6"/>
    <w:rsid w:val="00FE111F"/>
    <w:rsid w:val="00FE1506"/>
    <w:rsid w:val="00FE1F3A"/>
    <w:rsid w:val="00FF06BE"/>
    <w:rsid w:val="00FF423E"/>
    <w:rsid w:val="00FF515D"/>
    <w:rsid w:val="00FF5775"/>
    <w:rsid w:val="00FF65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8955A"/>
  <w15:docId w15:val="{42E6938F-5F06-F341-8706-A31D5A284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A35AE5"/>
    <w:pPr>
      <w:spacing w:after="0" w:line="240" w:lineRule="auto"/>
      <w:jc w:val="center"/>
      <w:outlineLvl w:val="1"/>
    </w:pPr>
    <w:rPr>
      <w:rFonts w:ascii="Times New Roman" w:eastAsia="Times New Roman" w:hAnsi="Times New Roman" w:cs="Times New Roman"/>
      <w:b/>
      <w:bCs/>
      <w:color w:val="000000"/>
      <w:kern w:val="28"/>
      <w:sz w:val="24"/>
      <w:szCs w:val="24"/>
      <w:lang w:eastAsia="en-CA"/>
    </w:rPr>
  </w:style>
  <w:style w:type="paragraph" w:styleId="Heading4">
    <w:name w:val="heading 4"/>
    <w:basedOn w:val="Normal"/>
    <w:next w:val="Normal"/>
    <w:link w:val="Heading4Char"/>
    <w:uiPriority w:val="9"/>
    <w:unhideWhenUsed/>
    <w:qFormat/>
    <w:rsid w:val="004731C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4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48DA"/>
    <w:pPr>
      <w:ind w:left="720"/>
      <w:contextualSpacing/>
    </w:pPr>
  </w:style>
  <w:style w:type="paragraph" w:styleId="Header">
    <w:name w:val="header"/>
    <w:basedOn w:val="Normal"/>
    <w:link w:val="HeaderChar"/>
    <w:unhideWhenUsed/>
    <w:rsid w:val="00C22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76F"/>
  </w:style>
  <w:style w:type="paragraph" w:styleId="Footer">
    <w:name w:val="footer"/>
    <w:basedOn w:val="Normal"/>
    <w:link w:val="FooterChar"/>
    <w:uiPriority w:val="99"/>
    <w:unhideWhenUsed/>
    <w:rsid w:val="00C22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76F"/>
  </w:style>
  <w:style w:type="character" w:styleId="CommentReference">
    <w:name w:val="annotation reference"/>
    <w:basedOn w:val="DefaultParagraphFont"/>
    <w:uiPriority w:val="99"/>
    <w:semiHidden/>
    <w:unhideWhenUsed/>
    <w:rsid w:val="00CC68D7"/>
    <w:rPr>
      <w:sz w:val="16"/>
      <w:szCs w:val="16"/>
    </w:rPr>
  </w:style>
  <w:style w:type="paragraph" w:styleId="CommentText">
    <w:name w:val="annotation text"/>
    <w:basedOn w:val="Normal"/>
    <w:link w:val="CommentTextChar"/>
    <w:uiPriority w:val="99"/>
    <w:semiHidden/>
    <w:unhideWhenUsed/>
    <w:rsid w:val="00CC68D7"/>
    <w:pPr>
      <w:spacing w:line="240" w:lineRule="auto"/>
    </w:pPr>
    <w:rPr>
      <w:sz w:val="20"/>
      <w:szCs w:val="20"/>
    </w:rPr>
  </w:style>
  <w:style w:type="character" w:customStyle="1" w:styleId="CommentTextChar">
    <w:name w:val="Comment Text Char"/>
    <w:basedOn w:val="DefaultParagraphFont"/>
    <w:link w:val="CommentText"/>
    <w:uiPriority w:val="99"/>
    <w:semiHidden/>
    <w:rsid w:val="00CC68D7"/>
    <w:rPr>
      <w:sz w:val="20"/>
      <w:szCs w:val="20"/>
    </w:rPr>
  </w:style>
  <w:style w:type="paragraph" w:styleId="CommentSubject">
    <w:name w:val="annotation subject"/>
    <w:basedOn w:val="CommentText"/>
    <w:next w:val="CommentText"/>
    <w:link w:val="CommentSubjectChar"/>
    <w:uiPriority w:val="99"/>
    <w:semiHidden/>
    <w:unhideWhenUsed/>
    <w:rsid w:val="00CC68D7"/>
    <w:rPr>
      <w:b/>
      <w:bCs/>
    </w:rPr>
  </w:style>
  <w:style w:type="character" w:customStyle="1" w:styleId="CommentSubjectChar">
    <w:name w:val="Comment Subject Char"/>
    <w:basedOn w:val="CommentTextChar"/>
    <w:link w:val="CommentSubject"/>
    <w:uiPriority w:val="99"/>
    <w:semiHidden/>
    <w:rsid w:val="00CC68D7"/>
    <w:rPr>
      <w:b/>
      <w:bCs/>
      <w:sz w:val="20"/>
      <w:szCs w:val="20"/>
    </w:rPr>
  </w:style>
  <w:style w:type="paragraph" w:styleId="BalloonText">
    <w:name w:val="Balloon Text"/>
    <w:basedOn w:val="Normal"/>
    <w:link w:val="BalloonTextChar"/>
    <w:uiPriority w:val="99"/>
    <w:semiHidden/>
    <w:unhideWhenUsed/>
    <w:rsid w:val="00CC68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8D7"/>
    <w:rPr>
      <w:rFonts w:ascii="Segoe UI" w:hAnsi="Segoe UI" w:cs="Segoe UI"/>
      <w:sz w:val="18"/>
      <w:szCs w:val="18"/>
    </w:rPr>
  </w:style>
  <w:style w:type="character" w:styleId="Hyperlink">
    <w:name w:val="Hyperlink"/>
    <w:basedOn w:val="DefaultParagraphFont"/>
    <w:uiPriority w:val="99"/>
    <w:unhideWhenUsed/>
    <w:rsid w:val="007B0C32"/>
    <w:rPr>
      <w:color w:val="0563C1" w:themeColor="hyperlink"/>
      <w:u w:val="single"/>
    </w:rPr>
  </w:style>
  <w:style w:type="character" w:customStyle="1" w:styleId="UnresolvedMention1">
    <w:name w:val="Unresolved Mention1"/>
    <w:basedOn w:val="DefaultParagraphFont"/>
    <w:uiPriority w:val="99"/>
    <w:semiHidden/>
    <w:unhideWhenUsed/>
    <w:rsid w:val="007B0C32"/>
    <w:rPr>
      <w:color w:val="605E5C"/>
      <w:shd w:val="clear" w:color="auto" w:fill="E1DFDD"/>
    </w:rPr>
  </w:style>
  <w:style w:type="paragraph" w:styleId="NoSpacing">
    <w:name w:val="No Spacing"/>
    <w:link w:val="NoSpacingChar"/>
    <w:uiPriority w:val="1"/>
    <w:qFormat/>
    <w:rsid w:val="0090664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06642"/>
    <w:rPr>
      <w:rFonts w:eastAsiaTheme="minorEastAsia"/>
      <w:lang w:val="en-US"/>
    </w:rPr>
  </w:style>
  <w:style w:type="character" w:customStyle="1" w:styleId="Heading2Char">
    <w:name w:val="Heading 2 Char"/>
    <w:basedOn w:val="DefaultParagraphFont"/>
    <w:link w:val="Heading2"/>
    <w:rsid w:val="00A35AE5"/>
    <w:rPr>
      <w:rFonts w:ascii="Times New Roman" w:eastAsia="Times New Roman" w:hAnsi="Times New Roman" w:cs="Times New Roman"/>
      <w:b/>
      <w:bCs/>
      <w:color w:val="000000"/>
      <w:kern w:val="28"/>
      <w:sz w:val="24"/>
      <w:szCs w:val="24"/>
      <w:lang w:eastAsia="en-CA"/>
    </w:rPr>
  </w:style>
  <w:style w:type="character" w:customStyle="1" w:styleId="Heading4Char">
    <w:name w:val="Heading 4 Char"/>
    <w:basedOn w:val="DefaultParagraphFont"/>
    <w:link w:val="Heading4"/>
    <w:uiPriority w:val="9"/>
    <w:rsid w:val="004731C7"/>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4731C7"/>
    <w:pPr>
      <w:spacing w:before="100" w:beforeAutospacing="1" w:after="100" w:afterAutospacing="1" w:line="240" w:lineRule="auto"/>
    </w:pPr>
    <w:rPr>
      <w:rFonts w:ascii="Times New Roman" w:eastAsiaTheme="minorEastAsia" w:hAnsi="Times New Roman" w:cs="Times New Roman"/>
      <w:sz w:val="24"/>
      <w:szCs w:val="24"/>
      <w:lang w:eastAsia="en-CA"/>
    </w:rPr>
  </w:style>
  <w:style w:type="paragraph" w:customStyle="1" w:styleId="sof-title">
    <w:name w:val="sof-title"/>
    <w:basedOn w:val="Normal"/>
    <w:rsid w:val="004731C7"/>
    <w:pPr>
      <w:spacing w:before="100" w:beforeAutospacing="1" w:after="100" w:afterAutospacing="1" w:line="240" w:lineRule="auto"/>
    </w:pPr>
    <w:rPr>
      <w:rFonts w:ascii="Times New Roman" w:eastAsiaTheme="minorEastAsia" w:hAnsi="Times New Roman" w:cs="Times New Roman"/>
      <w:sz w:val="24"/>
      <w:szCs w:val="24"/>
      <w:lang w:eastAsia="en-CA"/>
    </w:rPr>
  </w:style>
  <w:style w:type="paragraph" w:customStyle="1" w:styleId="first-letter">
    <w:name w:val="first-letter"/>
    <w:basedOn w:val="Normal"/>
    <w:rsid w:val="004731C7"/>
    <w:pPr>
      <w:spacing w:before="100" w:beforeAutospacing="1" w:after="100" w:afterAutospacing="1" w:line="240" w:lineRule="auto"/>
    </w:pPr>
    <w:rPr>
      <w:rFonts w:ascii="Times New Roman" w:eastAsiaTheme="minorEastAsia" w:hAnsi="Times New Roman" w:cs="Times New Roman"/>
      <w:sz w:val="24"/>
      <w:szCs w:val="24"/>
      <w:lang w:eastAsia="en-CA"/>
    </w:rPr>
  </w:style>
  <w:style w:type="character" w:customStyle="1" w:styleId="label">
    <w:name w:val="label"/>
    <w:basedOn w:val="DefaultParagraphFont"/>
    <w:rsid w:val="004731C7"/>
  </w:style>
  <w:style w:type="character" w:customStyle="1" w:styleId="cell-value">
    <w:name w:val="cell-value"/>
    <w:basedOn w:val="DefaultParagraphFont"/>
    <w:rsid w:val="004731C7"/>
  </w:style>
  <w:style w:type="character" w:customStyle="1" w:styleId="cell">
    <w:name w:val="cell"/>
    <w:basedOn w:val="DefaultParagraphFont"/>
    <w:rsid w:val="004731C7"/>
  </w:style>
  <w:style w:type="character" w:customStyle="1" w:styleId="block">
    <w:name w:val="block"/>
    <w:basedOn w:val="DefaultParagraphFont"/>
    <w:rsid w:val="004731C7"/>
  </w:style>
  <w:style w:type="character" w:customStyle="1" w:styleId="quality-sign">
    <w:name w:val="quality-sign"/>
    <w:basedOn w:val="DefaultParagraphFont"/>
    <w:rsid w:val="004731C7"/>
  </w:style>
  <w:style w:type="character" w:customStyle="1" w:styleId="quality-text">
    <w:name w:val="quality-text"/>
    <w:basedOn w:val="DefaultParagraphFont"/>
    <w:rsid w:val="004731C7"/>
  </w:style>
  <w:style w:type="character" w:customStyle="1" w:styleId="comma">
    <w:name w:val="comma"/>
    <w:basedOn w:val="DefaultParagraphFont"/>
    <w:rsid w:val="004731C7"/>
  </w:style>
  <w:style w:type="character" w:customStyle="1" w:styleId="short-name">
    <w:name w:val="short-name"/>
    <w:basedOn w:val="DefaultParagraphFont"/>
    <w:rsid w:val="004731C7"/>
  </w:style>
  <w:style w:type="table" w:customStyle="1" w:styleId="Style1">
    <w:name w:val="Style1"/>
    <w:basedOn w:val="TableNormal"/>
    <w:uiPriority w:val="99"/>
    <w:rsid w:val="00C36D67"/>
    <w:pPr>
      <w:spacing w:after="0" w:line="240" w:lineRule="auto"/>
    </w:pPr>
    <w:tblPr>
      <w:tblStyleRowBandSize w:val="1"/>
    </w:tblPr>
    <w:tblStylePr w:type="band1Horz">
      <w:rPr>
        <w:rFonts w:ascii="Times New Roman" w:hAnsi="Times New Roman"/>
        <w:sz w:val="24"/>
      </w:rPr>
      <w:tblPr/>
      <w:tcPr>
        <w:shd w:val="clear" w:color="auto" w:fill="E7E6E6" w:themeFill="background2"/>
      </w:tcPr>
    </w:tblStylePr>
  </w:style>
  <w:style w:type="table" w:customStyle="1" w:styleId="PlainTable51">
    <w:name w:val="Plain Table 51"/>
    <w:basedOn w:val="TableNormal"/>
    <w:uiPriority w:val="45"/>
    <w:rsid w:val="00C36D6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rsid w:val="00C36D6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FD18D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CA"/>
    </w:rPr>
  </w:style>
  <w:style w:type="paragraph" w:customStyle="1" w:styleId="TableStyle2">
    <w:name w:val="Table Style 2"/>
    <w:rsid w:val="00FD18D3"/>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en-CA"/>
    </w:rPr>
  </w:style>
  <w:style w:type="character" w:customStyle="1" w:styleId="Hyperlink0">
    <w:name w:val="Hyperlink.0"/>
    <w:basedOn w:val="Hyperlink"/>
    <w:rsid w:val="00FD18D3"/>
    <w:rPr>
      <w:color w:val="0563C1" w:themeColor="hyperlink"/>
      <w:u w:val="single"/>
    </w:rPr>
  </w:style>
  <w:style w:type="paragraph" w:customStyle="1" w:styleId="TableParagraph">
    <w:name w:val="Table Paragraph"/>
    <w:basedOn w:val="Normal"/>
    <w:uiPriority w:val="1"/>
    <w:qFormat/>
    <w:rsid w:val="001904EF"/>
    <w:pPr>
      <w:widowControl w:val="0"/>
      <w:spacing w:after="0" w:line="240" w:lineRule="auto"/>
    </w:pPr>
    <w:rPr>
      <w:lang w:val="en-US"/>
    </w:rPr>
  </w:style>
  <w:style w:type="paragraph" w:styleId="Revision">
    <w:name w:val="Revision"/>
    <w:hidden/>
    <w:uiPriority w:val="99"/>
    <w:semiHidden/>
    <w:rsid w:val="00855C7B"/>
    <w:pPr>
      <w:spacing w:after="0" w:line="240" w:lineRule="auto"/>
    </w:pPr>
  </w:style>
  <w:style w:type="table" w:customStyle="1" w:styleId="GridTable1Light1">
    <w:name w:val="Grid Table 1 Light1"/>
    <w:basedOn w:val="TableNormal"/>
    <w:uiPriority w:val="46"/>
    <w:rsid w:val="00F4533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6F11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11A0"/>
    <w:rPr>
      <w:sz w:val="20"/>
      <w:szCs w:val="20"/>
    </w:rPr>
  </w:style>
  <w:style w:type="character" w:styleId="FootnoteReference">
    <w:name w:val="footnote reference"/>
    <w:basedOn w:val="DefaultParagraphFont"/>
    <w:uiPriority w:val="99"/>
    <w:semiHidden/>
    <w:unhideWhenUsed/>
    <w:rsid w:val="006F11A0"/>
    <w:rPr>
      <w:vertAlign w:val="superscript"/>
    </w:rPr>
  </w:style>
  <w:style w:type="character" w:customStyle="1" w:styleId="UnresolvedMention2">
    <w:name w:val="Unresolved Mention2"/>
    <w:basedOn w:val="DefaultParagraphFont"/>
    <w:uiPriority w:val="99"/>
    <w:semiHidden/>
    <w:unhideWhenUsed/>
    <w:rsid w:val="00DE6569"/>
    <w:rPr>
      <w:color w:val="605E5C"/>
      <w:shd w:val="clear" w:color="auto" w:fill="E1DFDD"/>
    </w:rPr>
  </w:style>
  <w:style w:type="character" w:customStyle="1" w:styleId="fontstyle01">
    <w:name w:val="fontstyle01"/>
    <w:basedOn w:val="DefaultParagraphFont"/>
    <w:rsid w:val="00A51676"/>
    <w:rPr>
      <w:rFonts w:ascii="AdvTT08640291" w:hAnsi="AdvTT08640291" w:hint="default"/>
      <w:b w:val="0"/>
      <w:bCs w:val="0"/>
      <w:i w:val="0"/>
      <w:iCs w:val="0"/>
      <w:color w:val="000000"/>
      <w:sz w:val="62"/>
      <w:szCs w:val="62"/>
    </w:rPr>
  </w:style>
  <w:style w:type="character" w:customStyle="1" w:styleId="fontstyle21">
    <w:name w:val="fontstyle21"/>
    <w:basedOn w:val="DefaultParagraphFont"/>
    <w:rsid w:val="00A51676"/>
    <w:rPr>
      <w:rFonts w:ascii="AdvTT08640291+fb" w:hAnsi="AdvTT08640291+fb" w:hint="default"/>
      <w:b w:val="0"/>
      <w:bCs w:val="0"/>
      <w:i w:val="0"/>
      <w:iCs w:val="0"/>
      <w:color w:val="000000"/>
      <w:sz w:val="20"/>
      <w:szCs w:val="20"/>
    </w:rPr>
  </w:style>
  <w:style w:type="character" w:customStyle="1" w:styleId="fontstyle31">
    <w:name w:val="fontstyle31"/>
    <w:basedOn w:val="DefaultParagraphFont"/>
    <w:rsid w:val="00A51676"/>
    <w:rPr>
      <w:rFonts w:ascii="AdvTT08640291+20" w:hAnsi="AdvTT08640291+20"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195642">
      <w:bodyDiv w:val="1"/>
      <w:marLeft w:val="0"/>
      <w:marRight w:val="0"/>
      <w:marTop w:val="0"/>
      <w:marBottom w:val="0"/>
      <w:divBdr>
        <w:top w:val="none" w:sz="0" w:space="0" w:color="auto"/>
        <w:left w:val="none" w:sz="0" w:space="0" w:color="auto"/>
        <w:bottom w:val="none" w:sz="0" w:space="0" w:color="auto"/>
        <w:right w:val="none" w:sz="0" w:space="0" w:color="auto"/>
      </w:divBdr>
    </w:div>
    <w:div w:id="475728230">
      <w:bodyDiv w:val="1"/>
      <w:marLeft w:val="0"/>
      <w:marRight w:val="0"/>
      <w:marTop w:val="0"/>
      <w:marBottom w:val="0"/>
      <w:divBdr>
        <w:top w:val="none" w:sz="0" w:space="0" w:color="auto"/>
        <w:left w:val="none" w:sz="0" w:space="0" w:color="auto"/>
        <w:bottom w:val="none" w:sz="0" w:space="0" w:color="auto"/>
        <w:right w:val="none" w:sz="0" w:space="0" w:color="auto"/>
      </w:divBdr>
    </w:div>
    <w:div w:id="475952824">
      <w:bodyDiv w:val="1"/>
      <w:marLeft w:val="0"/>
      <w:marRight w:val="0"/>
      <w:marTop w:val="0"/>
      <w:marBottom w:val="0"/>
      <w:divBdr>
        <w:top w:val="none" w:sz="0" w:space="0" w:color="auto"/>
        <w:left w:val="none" w:sz="0" w:space="0" w:color="auto"/>
        <w:bottom w:val="none" w:sz="0" w:space="0" w:color="auto"/>
        <w:right w:val="none" w:sz="0" w:space="0" w:color="auto"/>
      </w:divBdr>
      <w:divsChild>
        <w:div w:id="915431084">
          <w:marLeft w:val="0"/>
          <w:marRight w:val="0"/>
          <w:marTop w:val="0"/>
          <w:marBottom w:val="0"/>
          <w:divBdr>
            <w:top w:val="none" w:sz="0" w:space="0" w:color="auto"/>
            <w:left w:val="none" w:sz="0" w:space="0" w:color="auto"/>
            <w:bottom w:val="none" w:sz="0" w:space="0" w:color="auto"/>
            <w:right w:val="none" w:sz="0" w:space="0" w:color="auto"/>
          </w:divBdr>
          <w:divsChild>
            <w:div w:id="67248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485144">
      <w:bodyDiv w:val="1"/>
      <w:marLeft w:val="0"/>
      <w:marRight w:val="0"/>
      <w:marTop w:val="0"/>
      <w:marBottom w:val="0"/>
      <w:divBdr>
        <w:top w:val="none" w:sz="0" w:space="0" w:color="auto"/>
        <w:left w:val="none" w:sz="0" w:space="0" w:color="auto"/>
        <w:bottom w:val="none" w:sz="0" w:space="0" w:color="auto"/>
        <w:right w:val="none" w:sz="0" w:space="0" w:color="auto"/>
      </w:divBdr>
    </w:div>
    <w:div w:id="736976034">
      <w:bodyDiv w:val="1"/>
      <w:marLeft w:val="0"/>
      <w:marRight w:val="0"/>
      <w:marTop w:val="0"/>
      <w:marBottom w:val="0"/>
      <w:divBdr>
        <w:top w:val="none" w:sz="0" w:space="0" w:color="auto"/>
        <w:left w:val="none" w:sz="0" w:space="0" w:color="auto"/>
        <w:bottom w:val="none" w:sz="0" w:space="0" w:color="auto"/>
        <w:right w:val="none" w:sz="0" w:space="0" w:color="auto"/>
      </w:divBdr>
    </w:div>
    <w:div w:id="761494423">
      <w:bodyDiv w:val="1"/>
      <w:marLeft w:val="0"/>
      <w:marRight w:val="0"/>
      <w:marTop w:val="0"/>
      <w:marBottom w:val="0"/>
      <w:divBdr>
        <w:top w:val="none" w:sz="0" w:space="0" w:color="auto"/>
        <w:left w:val="none" w:sz="0" w:space="0" w:color="auto"/>
        <w:bottom w:val="none" w:sz="0" w:space="0" w:color="auto"/>
        <w:right w:val="none" w:sz="0" w:space="0" w:color="auto"/>
      </w:divBdr>
      <w:divsChild>
        <w:div w:id="1775242345">
          <w:marLeft w:val="0"/>
          <w:marRight w:val="0"/>
          <w:marTop w:val="0"/>
          <w:marBottom w:val="0"/>
          <w:divBdr>
            <w:top w:val="none" w:sz="0" w:space="0" w:color="auto"/>
            <w:left w:val="none" w:sz="0" w:space="0" w:color="auto"/>
            <w:bottom w:val="none" w:sz="0" w:space="0" w:color="auto"/>
            <w:right w:val="none" w:sz="0" w:space="0" w:color="auto"/>
          </w:divBdr>
          <w:divsChild>
            <w:div w:id="198562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843175">
      <w:bodyDiv w:val="1"/>
      <w:marLeft w:val="0"/>
      <w:marRight w:val="0"/>
      <w:marTop w:val="0"/>
      <w:marBottom w:val="0"/>
      <w:divBdr>
        <w:top w:val="none" w:sz="0" w:space="0" w:color="auto"/>
        <w:left w:val="none" w:sz="0" w:space="0" w:color="auto"/>
        <w:bottom w:val="none" w:sz="0" w:space="0" w:color="auto"/>
        <w:right w:val="none" w:sz="0" w:space="0" w:color="auto"/>
      </w:divBdr>
    </w:div>
    <w:div w:id="1067386284">
      <w:bodyDiv w:val="1"/>
      <w:marLeft w:val="0"/>
      <w:marRight w:val="0"/>
      <w:marTop w:val="0"/>
      <w:marBottom w:val="0"/>
      <w:divBdr>
        <w:top w:val="none" w:sz="0" w:space="0" w:color="auto"/>
        <w:left w:val="none" w:sz="0" w:space="0" w:color="auto"/>
        <w:bottom w:val="none" w:sz="0" w:space="0" w:color="auto"/>
        <w:right w:val="none" w:sz="0" w:space="0" w:color="auto"/>
      </w:divBdr>
      <w:divsChild>
        <w:div w:id="1086417042">
          <w:marLeft w:val="0"/>
          <w:marRight w:val="0"/>
          <w:marTop w:val="0"/>
          <w:marBottom w:val="0"/>
          <w:divBdr>
            <w:top w:val="none" w:sz="0" w:space="0" w:color="auto"/>
            <w:left w:val="none" w:sz="0" w:space="0" w:color="auto"/>
            <w:bottom w:val="none" w:sz="0" w:space="0" w:color="auto"/>
            <w:right w:val="none" w:sz="0" w:space="0" w:color="auto"/>
          </w:divBdr>
          <w:divsChild>
            <w:div w:id="66120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79548">
      <w:bodyDiv w:val="1"/>
      <w:marLeft w:val="0"/>
      <w:marRight w:val="0"/>
      <w:marTop w:val="0"/>
      <w:marBottom w:val="0"/>
      <w:divBdr>
        <w:top w:val="none" w:sz="0" w:space="0" w:color="auto"/>
        <w:left w:val="none" w:sz="0" w:space="0" w:color="auto"/>
        <w:bottom w:val="none" w:sz="0" w:space="0" w:color="auto"/>
        <w:right w:val="none" w:sz="0" w:space="0" w:color="auto"/>
      </w:divBdr>
    </w:div>
    <w:div w:id="1241787829">
      <w:bodyDiv w:val="1"/>
      <w:marLeft w:val="0"/>
      <w:marRight w:val="0"/>
      <w:marTop w:val="0"/>
      <w:marBottom w:val="0"/>
      <w:divBdr>
        <w:top w:val="none" w:sz="0" w:space="0" w:color="auto"/>
        <w:left w:val="none" w:sz="0" w:space="0" w:color="auto"/>
        <w:bottom w:val="none" w:sz="0" w:space="0" w:color="auto"/>
        <w:right w:val="none" w:sz="0" w:space="0" w:color="auto"/>
      </w:divBdr>
    </w:div>
    <w:div w:id="1319530255">
      <w:bodyDiv w:val="1"/>
      <w:marLeft w:val="0"/>
      <w:marRight w:val="0"/>
      <w:marTop w:val="0"/>
      <w:marBottom w:val="0"/>
      <w:divBdr>
        <w:top w:val="none" w:sz="0" w:space="0" w:color="auto"/>
        <w:left w:val="none" w:sz="0" w:space="0" w:color="auto"/>
        <w:bottom w:val="none" w:sz="0" w:space="0" w:color="auto"/>
        <w:right w:val="none" w:sz="0" w:space="0" w:color="auto"/>
      </w:divBdr>
    </w:div>
    <w:div w:id="1337077708">
      <w:bodyDiv w:val="1"/>
      <w:marLeft w:val="0"/>
      <w:marRight w:val="0"/>
      <w:marTop w:val="0"/>
      <w:marBottom w:val="0"/>
      <w:divBdr>
        <w:top w:val="none" w:sz="0" w:space="0" w:color="auto"/>
        <w:left w:val="none" w:sz="0" w:space="0" w:color="auto"/>
        <w:bottom w:val="none" w:sz="0" w:space="0" w:color="auto"/>
        <w:right w:val="none" w:sz="0" w:space="0" w:color="auto"/>
      </w:divBdr>
      <w:divsChild>
        <w:div w:id="741605501">
          <w:marLeft w:val="0"/>
          <w:marRight w:val="0"/>
          <w:marTop w:val="0"/>
          <w:marBottom w:val="0"/>
          <w:divBdr>
            <w:top w:val="none" w:sz="0" w:space="0" w:color="auto"/>
            <w:left w:val="none" w:sz="0" w:space="0" w:color="auto"/>
            <w:bottom w:val="none" w:sz="0" w:space="0" w:color="auto"/>
            <w:right w:val="none" w:sz="0" w:space="0" w:color="auto"/>
          </w:divBdr>
          <w:divsChild>
            <w:div w:id="83900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92723">
      <w:bodyDiv w:val="1"/>
      <w:marLeft w:val="0"/>
      <w:marRight w:val="0"/>
      <w:marTop w:val="0"/>
      <w:marBottom w:val="0"/>
      <w:divBdr>
        <w:top w:val="none" w:sz="0" w:space="0" w:color="auto"/>
        <w:left w:val="none" w:sz="0" w:space="0" w:color="auto"/>
        <w:bottom w:val="none" w:sz="0" w:space="0" w:color="auto"/>
        <w:right w:val="none" w:sz="0" w:space="0" w:color="auto"/>
      </w:divBdr>
    </w:div>
    <w:div w:id="1452477420">
      <w:bodyDiv w:val="1"/>
      <w:marLeft w:val="0"/>
      <w:marRight w:val="0"/>
      <w:marTop w:val="0"/>
      <w:marBottom w:val="0"/>
      <w:divBdr>
        <w:top w:val="none" w:sz="0" w:space="0" w:color="auto"/>
        <w:left w:val="none" w:sz="0" w:space="0" w:color="auto"/>
        <w:bottom w:val="none" w:sz="0" w:space="0" w:color="auto"/>
        <w:right w:val="none" w:sz="0" w:space="0" w:color="auto"/>
      </w:divBdr>
    </w:div>
    <w:div w:id="1631788134">
      <w:bodyDiv w:val="1"/>
      <w:marLeft w:val="0"/>
      <w:marRight w:val="0"/>
      <w:marTop w:val="0"/>
      <w:marBottom w:val="0"/>
      <w:divBdr>
        <w:top w:val="none" w:sz="0" w:space="0" w:color="auto"/>
        <w:left w:val="none" w:sz="0" w:space="0" w:color="auto"/>
        <w:bottom w:val="none" w:sz="0" w:space="0" w:color="auto"/>
        <w:right w:val="none" w:sz="0" w:space="0" w:color="auto"/>
      </w:divBdr>
    </w:div>
    <w:div w:id="1655571786">
      <w:bodyDiv w:val="1"/>
      <w:marLeft w:val="0"/>
      <w:marRight w:val="0"/>
      <w:marTop w:val="0"/>
      <w:marBottom w:val="0"/>
      <w:divBdr>
        <w:top w:val="none" w:sz="0" w:space="0" w:color="auto"/>
        <w:left w:val="none" w:sz="0" w:space="0" w:color="auto"/>
        <w:bottom w:val="none" w:sz="0" w:space="0" w:color="auto"/>
        <w:right w:val="none" w:sz="0" w:space="0" w:color="auto"/>
      </w:divBdr>
      <w:divsChild>
        <w:div w:id="73360412">
          <w:marLeft w:val="0"/>
          <w:marRight w:val="0"/>
          <w:marTop w:val="0"/>
          <w:marBottom w:val="0"/>
          <w:divBdr>
            <w:top w:val="none" w:sz="0" w:space="0" w:color="auto"/>
            <w:left w:val="none" w:sz="0" w:space="0" w:color="auto"/>
            <w:bottom w:val="none" w:sz="0" w:space="0" w:color="auto"/>
            <w:right w:val="none" w:sz="0" w:space="0" w:color="auto"/>
          </w:divBdr>
        </w:div>
        <w:div w:id="203714935">
          <w:marLeft w:val="0"/>
          <w:marRight w:val="0"/>
          <w:marTop w:val="0"/>
          <w:marBottom w:val="0"/>
          <w:divBdr>
            <w:top w:val="none" w:sz="0" w:space="0" w:color="auto"/>
            <w:left w:val="none" w:sz="0" w:space="0" w:color="auto"/>
            <w:bottom w:val="none" w:sz="0" w:space="0" w:color="auto"/>
            <w:right w:val="none" w:sz="0" w:space="0" w:color="auto"/>
          </w:divBdr>
        </w:div>
        <w:div w:id="208999468">
          <w:marLeft w:val="0"/>
          <w:marRight w:val="0"/>
          <w:marTop w:val="0"/>
          <w:marBottom w:val="0"/>
          <w:divBdr>
            <w:top w:val="none" w:sz="0" w:space="0" w:color="auto"/>
            <w:left w:val="none" w:sz="0" w:space="0" w:color="auto"/>
            <w:bottom w:val="none" w:sz="0" w:space="0" w:color="auto"/>
            <w:right w:val="none" w:sz="0" w:space="0" w:color="auto"/>
          </w:divBdr>
        </w:div>
        <w:div w:id="223873270">
          <w:marLeft w:val="0"/>
          <w:marRight w:val="0"/>
          <w:marTop w:val="0"/>
          <w:marBottom w:val="0"/>
          <w:divBdr>
            <w:top w:val="none" w:sz="0" w:space="0" w:color="auto"/>
            <w:left w:val="none" w:sz="0" w:space="0" w:color="auto"/>
            <w:bottom w:val="none" w:sz="0" w:space="0" w:color="auto"/>
            <w:right w:val="none" w:sz="0" w:space="0" w:color="auto"/>
          </w:divBdr>
        </w:div>
        <w:div w:id="297297298">
          <w:marLeft w:val="0"/>
          <w:marRight w:val="0"/>
          <w:marTop w:val="0"/>
          <w:marBottom w:val="0"/>
          <w:divBdr>
            <w:top w:val="none" w:sz="0" w:space="0" w:color="auto"/>
            <w:left w:val="none" w:sz="0" w:space="0" w:color="auto"/>
            <w:bottom w:val="none" w:sz="0" w:space="0" w:color="auto"/>
            <w:right w:val="none" w:sz="0" w:space="0" w:color="auto"/>
          </w:divBdr>
        </w:div>
        <w:div w:id="306861478">
          <w:marLeft w:val="0"/>
          <w:marRight w:val="0"/>
          <w:marTop w:val="0"/>
          <w:marBottom w:val="0"/>
          <w:divBdr>
            <w:top w:val="none" w:sz="0" w:space="0" w:color="auto"/>
            <w:left w:val="none" w:sz="0" w:space="0" w:color="auto"/>
            <w:bottom w:val="none" w:sz="0" w:space="0" w:color="auto"/>
            <w:right w:val="none" w:sz="0" w:space="0" w:color="auto"/>
          </w:divBdr>
        </w:div>
        <w:div w:id="350184861">
          <w:marLeft w:val="0"/>
          <w:marRight w:val="0"/>
          <w:marTop w:val="0"/>
          <w:marBottom w:val="0"/>
          <w:divBdr>
            <w:top w:val="none" w:sz="0" w:space="0" w:color="auto"/>
            <w:left w:val="none" w:sz="0" w:space="0" w:color="auto"/>
            <w:bottom w:val="none" w:sz="0" w:space="0" w:color="auto"/>
            <w:right w:val="none" w:sz="0" w:space="0" w:color="auto"/>
          </w:divBdr>
        </w:div>
        <w:div w:id="455484793">
          <w:marLeft w:val="0"/>
          <w:marRight w:val="0"/>
          <w:marTop w:val="0"/>
          <w:marBottom w:val="0"/>
          <w:divBdr>
            <w:top w:val="none" w:sz="0" w:space="0" w:color="auto"/>
            <w:left w:val="none" w:sz="0" w:space="0" w:color="auto"/>
            <w:bottom w:val="none" w:sz="0" w:space="0" w:color="auto"/>
            <w:right w:val="none" w:sz="0" w:space="0" w:color="auto"/>
          </w:divBdr>
        </w:div>
        <w:div w:id="472019612">
          <w:marLeft w:val="0"/>
          <w:marRight w:val="0"/>
          <w:marTop w:val="0"/>
          <w:marBottom w:val="0"/>
          <w:divBdr>
            <w:top w:val="none" w:sz="0" w:space="0" w:color="auto"/>
            <w:left w:val="none" w:sz="0" w:space="0" w:color="auto"/>
            <w:bottom w:val="none" w:sz="0" w:space="0" w:color="auto"/>
            <w:right w:val="none" w:sz="0" w:space="0" w:color="auto"/>
          </w:divBdr>
        </w:div>
        <w:div w:id="661855617">
          <w:marLeft w:val="0"/>
          <w:marRight w:val="0"/>
          <w:marTop w:val="0"/>
          <w:marBottom w:val="0"/>
          <w:divBdr>
            <w:top w:val="none" w:sz="0" w:space="0" w:color="auto"/>
            <w:left w:val="none" w:sz="0" w:space="0" w:color="auto"/>
            <w:bottom w:val="none" w:sz="0" w:space="0" w:color="auto"/>
            <w:right w:val="none" w:sz="0" w:space="0" w:color="auto"/>
          </w:divBdr>
        </w:div>
        <w:div w:id="704718919">
          <w:marLeft w:val="0"/>
          <w:marRight w:val="0"/>
          <w:marTop w:val="0"/>
          <w:marBottom w:val="0"/>
          <w:divBdr>
            <w:top w:val="none" w:sz="0" w:space="0" w:color="auto"/>
            <w:left w:val="none" w:sz="0" w:space="0" w:color="auto"/>
            <w:bottom w:val="none" w:sz="0" w:space="0" w:color="auto"/>
            <w:right w:val="none" w:sz="0" w:space="0" w:color="auto"/>
          </w:divBdr>
        </w:div>
        <w:div w:id="733897178">
          <w:marLeft w:val="0"/>
          <w:marRight w:val="0"/>
          <w:marTop w:val="0"/>
          <w:marBottom w:val="0"/>
          <w:divBdr>
            <w:top w:val="none" w:sz="0" w:space="0" w:color="auto"/>
            <w:left w:val="none" w:sz="0" w:space="0" w:color="auto"/>
            <w:bottom w:val="none" w:sz="0" w:space="0" w:color="auto"/>
            <w:right w:val="none" w:sz="0" w:space="0" w:color="auto"/>
          </w:divBdr>
        </w:div>
        <w:div w:id="798687790">
          <w:marLeft w:val="0"/>
          <w:marRight w:val="0"/>
          <w:marTop w:val="0"/>
          <w:marBottom w:val="0"/>
          <w:divBdr>
            <w:top w:val="none" w:sz="0" w:space="0" w:color="auto"/>
            <w:left w:val="none" w:sz="0" w:space="0" w:color="auto"/>
            <w:bottom w:val="none" w:sz="0" w:space="0" w:color="auto"/>
            <w:right w:val="none" w:sz="0" w:space="0" w:color="auto"/>
          </w:divBdr>
        </w:div>
        <w:div w:id="840975746">
          <w:marLeft w:val="0"/>
          <w:marRight w:val="0"/>
          <w:marTop w:val="0"/>
          <w:marBottom w:val="0"/>
          <w:divBdr>
            <w:top w:val="none" w:sz="0" w:space="0" w:color="auto"/>
            <w:left w:val="none" w:sz="0" w:space="0" w:color="auto"/>
            <w:bottom w:val="none" w:sz="0" w:space="0" w:color="auto"/>
            <w:right w:val="none" w:sz="0" w:space="0" w:color="auto"/>
          </w:divBdr>
        </w:div>
        <w:div w:id="884759615">
          <w:marLeft w:val="0"/>
          <w:marRight w:val="0"/>
          <w:marTop w:val="0"/>
          <w:marBottom w:val="0"/>
          <w:divBdr>
            <w:top w:val="none" w:sz="0" w:space="0" w:color="auto"/>
            <w:left w:val="none" w:sz="0" w:space="0" w:color="auto"/>
            <w:bottom w:val="none" w:sz="0" w:space="0" w:color="auto"/>
            <w:right w:val="none" w:sz="0" w:space="0" w:color="auto"/>
          </w:divBdr>
        </w:div>
        <w:div w:id="936790325">
          <w:marLeft w:val="0"/>
          <w:marRight w:val="0"/>
          <w:marTop w:val="0"/>
          <w:marBottom w:val="0"/>
          <w:divBdr>
            <w:top w:val="none" w:sz="0" w:space="0" w:color="auto"/>
            <w:left w:val="none" w:sz="0" w:space="0" w:color="auto"/>
            <w:bottom w:val="none" w:sz="0" w:space="0" w:color="auto"/>
            <w:right w:val="none" w:sz="0" w:space="0" w:color="auto"/>
          </w:divBdr>
        </w:div>
        <w:div w:id="943152655">
          <w:marLeft w:val="0"/>
          <w:marRight w:val="0"/>
          <w:marTop w:val="0"/>
          <w:marBottom w:val="0"/>
          <w:divBdr>
            <w:top w:val="none" w:sz="0" w:space="0" w:color="auto"/>
            <w:left w:val="none" w:sz="0" w:space="0" w:color="auto"/>
            <w:bottom w:val="none" w:sz="0" w:space="0" w:color="auto"/>
            <w:right w:val="none" w:sz="0" w:space="0" w:color="auto"/>
          </w:divBdr>
        </w:div>
        <w:div w:id="1023245274">
          <w:marLeft w:val="0"/>
          <w:marRight w:val="0"/>
          <w:marTop w:val="0"/>
          <w:marBottom w:val="0"/>
          <w:divBdr>
            <w:top w:val="none" w:sz="0" w:space="0" w:color="auto"/>
            <w:left w:val="none" w:sz="0" w:space="0" w:color="auto"/>
            <w:bottom w:val="none" w:sz="0" w:space="0" w:color="auto"/>
            <w:right w:val="none" w:sz="0" w:space="0" w:color="auto"/>
          </w:divBdr>
        </w:div>
        <w:div w:id="1039088007">
          <w:marLeft w:val="0"/>
          <w:marRight w:val="0"/>
          <w:marTop w:val="0"/>
          <w:marBottom w:val="0"/>
          <w:divBdr>
            <w:top w:val="none" w:sz="0" w:space="0" w:color="auto"/>
            <w:left w:val="none" w:sz="0" w:space="0" w:color="auto"/>
            <w:bottom w:val="none" w:sz="0" w:space="0" w:color="auto"/>
            <w:right w:val="none" w:sz="0" w:space="0" w:color="auto"/>
          </w:divBdr>
        </w:div>
        <w:div w:id="1043752358">
          <w:marLeft w:val="0"/>
          <w:marRight w:val="0"/>
          <w:marTop w:val="0"/>
          <w:marBottom w:val="0"/>
          <w:divBdr>
            <w:top w:val="none" w:sz="0" w:space="0" w:color="auto"/>
            <w:left w:val="none" w:sz="0" w:space="0" w:color="auto"/>
            <w:bottom w:val="none" w:sz="0" w:space="0" w:color="auto"/>
            <w:right w:val="none" w:sz="0" w:space="0" w:color="auto"/>
          </w:divBdr>
        </w:div>
        <w:div w:id="1077674123">
          <w:marLeft w:val="0"/>
          <w:marRight w:val="0"/>
          <w:marTop w:val="0"/>
          <w:marBottom w:val="0"/>
          <w:divBdr>
            <w:top w:val="none" w:sz="0" w:space="0" w:color="auto"/>
            <w:left w:val="none" w:sz="0" w:space="0" w:color="auto"/>
            <w:bottom w:val="none" w:sz="0" w:space="0" w:color="auto"/>
            <w:right w:val="none" w:sz="0" w:space="0" w:color="auto"/>
          </w:divBdr>
        </w:div>
        <w:div w:id="1205555801">
          <w:marLeft w:val="0"/>
          <w:marRight w:val="0"/>
          <w:marTop w:val="0"/>
          <w:marBottom w:val="0"/>
          <w:divBdr>
            <w:top w:val="none" w:sz="0" w:space="0" w:color="auto"/>
            <w:left w:val="none" w:sz="0" w:space="0" w:color="auto"/>
            <w:bottom w:val="none" w:sz="0" w:space="0" w:color="auto"/>
            <w:right w:val="none" w:sz="0" w:space="0" w:color="auto"/>
          </w:divBdr>
        </w:div>
        <w:div w:id="1244682607">
          <w:marLeft w:val="0"/>
          <w:marRight w:val="0"/>
          <w:marTop w:val="0"/>
          <w:marBottom w:val="0"/>
          <w:divBdr>
            <w:top w:val="none" w:sz="0" w:space="0" w:color="auto"/>
            <w:left w:val="none" w:sz="0" w:space="0" w:color="auto"/>
            <w:bottom w:val="none" w:sz="0" w:space="0" w:color="auto"/>
            <w:right w:val="none" w:sz="0" w:space="0" w:color="auto"/>
          </w:divBdr>
        </w:div>
        <w:div w:id="1319842255">
          <w:marLeft w:val="0"/>
          <w:marRight w:val="0"/>
          <w:marTop w:val="0"/>
          <w:marBottom w:val="0"/>
          <w:divBdr>
            <w:top w:val="none" w:sz="0" w:space="0" w:color="auto"/>
            <w:left w:val="none" w:sz="0" w:space="0" w:color="auto"/>
            <w:bottom w:val="none" w:sz="0" w:space="0" w:color="auto"/>
            <w:right w:val="none" w:sz="0" w:space="0" w:color="auto"/>
          </w:divBdr>
        </w:div>
        <w:div w:id="1519848021">
          <w:marLeft w:val="0"/>
          <w:marRight w:val="0"/>
          <w:marTop w:val="0"/>
          <w:marBottom w:val="0"/>
          <w:divBdr>
            <w:top w:val="none" w:sz="0" w:space="0" w:color="auto"/>
            <w:left w:val="none" w:sz="0" w:space="0" w:color="auto"/>
            <w:bottom w:val="none" w:sz="0" w:space="0" w:color="auto"/>
            <w:right w:val="none" w:sz="0" w:space="0" w:color="auto"/>
          </w:divBdr>
        </w:div>
        <w:div w:id="1577125773">
          <w:marLeft w:val="0"/>
          <w:marRight w:val="0"/>
          <w:marTop w:val="0"/>
          <w:marBottom w:val="0"/>
          <w:divBdr>
            <w:top w:val="none" w:sz="0" w:space="0" w:color="auto"/>
            <w:left w:val="none" w:sz="0" w:space="0" w:color="auto"/>
            <w:bottom w:val="none" w:sz="0" w:space="0" w:color="auto"/>
            <w:right w:val="none" w:sz="0" w:space="0" w:color="auto"/>
          </w:divBdr>
        </w:div>
        <w:div w:id="1597396475">
          <w:marLeft w:val="0"/>
          <w:marRight w:val="0"/>
          <w:marTop w:val="0"/>
          <w:marBottom w:val="0"/>
          <w:divBdr>
            <w:top w:val="none" w:sz="0" w:space="0" w:color="auto"/>
            <w:left w:val="none" w:sz="0" w:space="0" w:color="auto"/>
            <w:bottom w:val="none" w:sz="0" w:space="0" w:color="auto"/>
            <w:right w:val="none" w:sz="0" w:space="0" w:color="auto"/>
          </w:divBdr>
        </w:div>
        <w:div w:id="1814250108">
          <w:marLeft w:val="0"/>
          <w:marRight w:val="0"/>
          <w:marTop w:val="0"/>
          <w:marBottom w:val="0"/>
          <w:divBdr>
            <w:top w:val="none" w:sz="0" w:space="0" w:color="auto"/>
            <w:left w:val="none" w:sz="0" w:space="0" w:color="auto"/>
            <w:bottom w:val="none" w:sz="0" w:space="0" w:color="auto"/>
            <w:right w:val="none" w:sz="0" w:space="0" w:color="auto"/>
          </w:divBdr>
        </w:div>
        <w:div w:id="1878202066">
          <w:marLeft w:val="0"/>
          <w:marRight w:val="0"/>
          <w:marTop w:val="0"/>
          <w:marBottom w:val="0"/>
          <w:divBdr>
            <w:top w:val="none" w:sz="0" w:space="0" w:color="auto"/>
            <w:left w:val="none" w:sz="0" w:space="0" w:color="auto"/>
            <w:bottom w:val="none" w:sz="0" w:space="0" w:color="auto"/>
            <w:right w:val="none" w:sz="0" w:space="0" w:color="auto"/>
          </w:divBdr>
        </w:div>
        <w:div w:id="1957060427">
          <w:marLeft w:val="0"/>
          <w:marRight w:val="0"/>
          <w:marTop w:val="0"/>
          <w:marBottom w:val="0"/>
          <w:divBdr>
            <w:top w:val="none" w:sz="0" w:space="0" w:color="auto"/>
            <w:left w:val="none" w:sz="0" w:space="0" w:color="auto"/>
            <w:bottom w:val="none" w:sz="0" w:space="0" w:color="auto"/>
            <w:right w:val="none" w:sz="0" w:space="0" w:color="auto"/>
          </w:divBdr>
        </w:div>
        <w:div w:id="1978492442">
          <w:marLeft w:val="0"/>
          <w:marRight w:val="0"/>
          <w:marTop w:val="0"/>
          <w:marBottom w:val="0"/>
          <w:divBdr>
            <w:top w:val="none" w:sz="0" w:space="0" w:color="auto"/>
            <w:left w:val="none" w:sz="0" w:space="0" w:color="auto"/>
            <w:bottom w:val="none" w:sz="0" w:space="0" w:color="auto"/>
            <w:right w:val="none" w:sz="0" w:space="0" w:color="auto"/>
          </w:divBdr>
        </w:div>
        <w:div w:id="1997293668">
          <w:marLeft w:val="0"/>
          <w:marRight w:val="0"/>
          <w:marTop w:val="0"/>
          <w:marBottom w:val="0"/>
          <w:divBdr>
            <w:top w:val="none" w:sz="0" w:space="0" w:color="auto"/>
            <w:left w:val="none" w:sz="0" w:space="0" w:color="auto"/>
            <w:bottom w:val="none" w:sz="0" w:space="0" w:color="auto"/>
            <w:right w:val="none" w:sz="0" w:space="0" w:color="auto"/>
          </w:divBdr>
        </w:div>
        <w:div w:id="2005353545">
          <w:marLeft w:val="0"/>
          <w:marRight w:val="0"/>
          <w:marTop w:val="0"/>
          <w:marBottom w:val="0"/>
          <w:divBdr>
            <w:top w:val="none" w:sz="0" w:space="0" w:color="auto"/>
            <w:left w:val="none" w:sz="0" w:space="0" w:color="auto"/>
            <w:bottom w:val="none" w:sz="0" w:space="0" w:color="auto"/>
            <w:right w:val="none" w:sz="0" w:space="0" w:color="auto"/>
          </w:divBdr>
        </w:div>
        <w:div w:id="2090039606">
          <w:marLeft w:val="0"/>
          <w:marRight w:val="0"/>
          <w:marTop w:val="0"/>
          <w:marBottom w:val="0"/>
          <w:divBdr>
            <w:top w:val="none" w:sz="0" w:space="0" w:color="auto"/>
            <w:left w:val="none" w:sz="0" w:space="0" w:color="auto"/>
            <w:bottom w:val="none" w:sz="0" w:space="0" w:color="auto"/>
            <w:right w:val="none" w:sz="0" w:space="0" w:color="auto"/>
          </w:divBdr>
        </w:div>
        <w:div w:id="2110546311">
          <w:marLeft w:val="0"/>
          <w:marRight w:val="0"/>
          <w:marTop w:val="0"/>
          <w:marBottom w:val="0"/>
          <w:divBdr>
            <w:top w:val="none" w:sz="0" w:space="0" w:color="auto"/>
            <w:left w:val="none" w:sz="0" w:space="0" w:color="auto"/>
            <w:bottom w:val="none" w:sz="0" w:space="0" w:color="auto"/>
            <w:right w:val="none" w:sz="0" w:space="0" w:color="auto"/>
          </w:divBdr>
        </w:div>
        <w:div w:id="2114550450">
          <w:marLeft w:val="0"/>
          <w:marRight w:val="0"/>
          <w:marTop w:val="0"/>
          <w:marBottom w:val="0"/>
          <w:divBdr>
            <w:top w:val="none" w:sz="0" w:space="0" w:color="auto"/>
            <w:left w:val="none" w:sz="0" w:space="0" w:color="auto"/>
            <w:bottom w:val="none" w:sz="0" w:space="0" w:color="auto"/>
            <w:right w:val="none" w:sz="0" w:space="0" w:color="auto"/>
          </w:divBdr>
        </w:div>
      </w:divsChild>
    </w:div>
    <w:div w:id="1672483088">
      <w:bodyDiv w:val="1"/>
      <w:marLeft w:val="0"/>
      <w:marRight w:val="0"/>
      <w:marTop w:val="0"/>
      <w:marBottom w:val="0"/>
      <w:divBdr>
        <w:top w:val="none" w:sz="0" w:space="0" w:color="auto"/>
        <w:left w:val="none" w:sz="0" w:space="0" w:color="auto"/>
        <w:bottom w:val="none" w:sz="0" w:space="0" w:color="auto"/>
        <w:right w:val="none" w:sz="0" w:space="0" w:color="auto"/>
      </w:divBdr>
    </w:div>
    <w:div w:id="1963657623">
      <w:bodyDiv w:val="1"/>
      <w:marLeft w:val="0"/>
      <w:marRight w:val="0"/>
      <w:marTop w:val="0"/>
      <w:marBottom w:val="0"/>
      <w:divBdr>
        <w:top w:val="none" w:sz="0" w:space="0" w:color="auto"/>
        <w:left w:val="none" w:sz="0" w:space="0" w:color="auto"/>
        <w:bottom w:val="none" w:sz="0" w:space="0" w:color="auto"/>
        <w:right w:val="none" w:sz="0" w:space="0" w:color="auto"/>
      </w:divBdr>
    </w:div>
    <w:div w:id="1989705568">
      <w:bodyDiv w:val="1"/>
      <w:marLeft w:val="0"/>
      <w:marRight w:val="0"/>
      <w:marTop w:val="0"/>
      <w:marBottom w:val="0"/>
      <w:divBdr>
        <w:top w:val="none" w:sz="0" w:space="0" w:color="auto"/>
        <w:left w:val="none" w:sz="0" w:space="0" w:color="auto"/>
        <w:bottom w:val="none" w:sz="0" w:space="0" w:color="auto"/>
        <w:right w:val="none" w:sz="0" w:space="0" w:color="auto"/>
      </w:divBdr>
      <w:divsChild>
        <w:div w:id="111559191">
          <w:marLeft w:val="0"/>
          <w:marRight w:val="0"/>
          <w:marTop w:val="0"/>
          <w:marBottom w:val="0"/>
          <w:divBdr>
            <w:top w:val="none" w:sz="0" w:space="0" w:color="auto"/>
            <w:left w:val="none" w:sz="0" w:space="0" w:color="auto"/>
            <w:bottom w:val="none" w:sz="0" w:space="0" w:color="auto"/>
            <w:right w:val="none" w:sz="0" w:space="0" w:color="auto"/>
          </w:divBdr>
        </w:div>
        <w:div w:id="155731963">
          <w:marLeft w:val="0"/>
          <w:marRight w:val="0"/>
          <w:marTop w:val="0"/>
          <w:marBottom w:val="0"/>
          <w:divBdr>
            <w:top w:val="none" w:sz="0" w:space="0" w:color="auto"/>
            <w:left w:val="none" w:sz="0" w:space="0" w:color="auto"/>
            <w:bottom w:val="none" w:sz="0" w:space="0" w:color="auto"/>
            <w:right w:val="none" w:sz="0" w:space="0" w:color="auto"/>
          </w:divBdr>
        </w:div>
      </w:divsChild>
    </w:div>
    <w:div w:id="200686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April</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3FEA9C-90C7-4339-80EE-7200E4DD6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10047</Words>
  <Characters>57268</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Celiac disease</vt:lpstr>
    </vt:vector>
  </TitlesOfParts>
  <Company/>
  <LinksUpToDate>false</LinksUpToDate>
  <CharactersWithSpaces>67181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Celiac disease</dc:title>
  <dc:subject>Authors:</dc:subject>
  <dc:creator>Maria Ines</dc:creator>
  <cp:keywords/>
  <dc:description/>
  <cp:lastModifiedBy>Caroline Seiler</cp:lastModifiedBy>
  <cp:revision>15</cp:revision>
  <dcterms:created xsi:type="dcterms:W3CDTF">2020-03-14T18:19:00Z</dcterms:created>
  <dcterms:modified xsi:type="dcterms:W3CDTF">2020-03-16T04:41:00Z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http://www.zotero.org/styles/brain-behavior-and-immunity</vt:lpwstr>
  </property>
  <property fmtid="{D5CDD505-2E9C-101B-9397-08002B2CF9AE}" pid="9" name="Mendeley Recent Style Name 3_1">
    <vt:lpwstr>Brain Behavior and Immunity</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http://www.zotero.org/styles/gastroenterology</vt:lpwstr>
  </property>
  <property fmtid="{D5CDD505-2E9C-101B-9397-08002B2CF9AE}" pid="15" name="Mendeley Recent Style Name 6_1">
    <vt:lpwstr>Gastroenterology</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e8d8a3d3-9362-3d57-8b83-3a320c9f5f45</vt:lpwstr>
  </property>
  <property fmtid="{D5CDD505-2E9C-101B-9397-08002B2CF9AE}" pid="24" name="Mendeley Citation Style_1">
    <vt:lpwstr>http://www.zotero.org/styles/american-medical-association</vt:lpwstr>
  </property>
</Properties>
</file>