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B2914" w14:textId="3AE01126" w:rsidR="00D753AE" w:rsidRDefault="002664C5">
      <w:pPr>
        <w:rPr>
          <w:b/>
          <w:lang w:val="en-US"/>
        </w:rPr>
      </w:pPr>
      <w:r w:rsidRPr="002664C5">
        <w:rPr>
          <w:b/>
          <w:lang w:val="en-US"/>
        </w:rPr>
        <w:t>SUPPLEMENTARY FILE 1</w:t>
      </w:r>
      <w:r w:rsidR="00477161">
        <w:rPr>
          <w:b/>
          <w:lang w:val="en-US"/>
        </w:rPr>
        <w:t>: ADDITIONAL METHODS</w:t>
      </w:r>
    </w:p>
    <w:p w14:paraId="0AECD625" w14:textId="77777777" w:rsidR="00477161" w:rsidRPr="002664C5" w:rsidRDefault="00477161">
      <w:pPr>
        <w:rPr>
          <w:b/>
          <w:lang w:val="en-US"/>
        </w:rPr>
      </w:pPr>
    </w:p>
    <w:p w14:paraId="0923CFF1" w14:textId="77777777" w:rsidR="002664C5" w:rsidRDefault="002664C5" w:rsidP="002664C5">
      <w:pPr>
        <w:spacing w:after="0" w:line="480" w:lineRule="auto"/>
        <w:rPr>
          <w:b/>
          <w:lang w:val="en-GB"/>
        </w:rPr>
      </w:pPr>
      <w:r w:rsidRPr="002C4546">
        <w:rPr>
          <w:b/>
          <w:lang w:val="en-GB"/>
        </w:rPr>
        <w:t>Quantif</w:t>
      </w:r>
      <w:r>
        <w:rPr>
          <w:b/>
          <w:lang w:val="en-GB"/>
        </w:rPr>
        <w:t>ication of GIP in stool samples</w:t>
      </w:r>
    </w:p>
    <w:p w14:paraId="3DED04B4" w14:textId="2346C4EB" w:rsidR="002664C5" w:rsidRDefault="002664C5" w:rsidP="002664C5">
      <w:pPr>
        <w:spacing w:after="0" w:line="480" w:lineRule="auto"/>
        <w:rPr>
          <w:rFonts w:ascii="Calibri" w:eastAsia="Times New Roman" w:hAnsi="Calibri" w:cs="Times New Roman"/>
          <w:lang w:val="en-US" w:eastAsia="es-ES_tradnl"/>
        </w:rPr>
      </w:pPr>
      <w:r w:rsidRPr="002664C5">
        <w:rPr>
          <w:lang w:val="en-GB"/>
        </w:rPr>
        <w:t xml:space="preserve">The concentration of f-GIP was measured by sandwich enzyme-linked immunosorbent assay (ELISA) using the </w:t>
      </w:r>
      <w:proofErr w:type="spellStart"/>
      <w:r w:rsidRPr="002664C5">
        <w:rPr>
          <w:lang w:val="en-GB"/>
        </w:rPr>
        <w:t>iVYDAL</w:t>
      </w:r>
      <w:proofErr w:type="spellEnd"/>
      <w:r w:rsidRPr="002664C5">
        <w:rPr>
          <w:lang w:val="en-GB"/>
        </w:rPr>
        <w:t xml:space="preserve"> In Vitro Diagnostics </w:t>
      </w:r>
      <w:proofErr w:type="spellStart"/>
      <w:r w:rsidRPr="002664C5">
        <w:rPr>
          <w:lang w:val="en-GB"/>
        </w:rPr>
        <w:t>iVYLISA</w:t>
      </w:r>
      <w:proofErr w:type="spellEnd"/>
      <w:r w:rsidRPr="002664C5">
        <w:rPr>
          <w:lang w:val="en-GB"/>
        </w:rPr>
        <w:t xml:space="preserve"> GIP-Stool kit (</w:t>
      </w:r>
      <w:proofErr w:type="spellStart"/>
      <w:r w:rsidRPr="002664C5">
        <w:rPr>
          <w:lang w:val="en-GB"/>
        </w:rPr>
        <w:t>Biomedal</w:t>
      </w:r>
      <w:proofErr w:type="spellEnd"/>
      <w:r w:rsidR="0007708F">
        <w:rPr>
          <w:lang w:val="en-GB"/>
        </w:rPr>
        <w:t xml:space="preserve"> S.L., Seville, Spain)</w:t>
      </w:r>
      <w:r w:rsidRPr="002664C5">
        <w:rPr>
          <w:lang w:val="en-GB"/>
        </w:rPr>
        <w:t>.</w:t>
      </w:r>
      <w:r w:rsidR="002717B8">
        <w:rPr>
          <w:vertAlign w:val="superscript"/>
          <w:lang w:val="en-GB"/>
        </w:rPr>
        <w:t>1</w:t>
      </w:r>
      <w:r w:rsidRPr="002664C5">
        <w:rPr>
          <w:lang w:val="en-GB"/>
        </w:rPr>
        <w:t xml:space="preserve"> Briefly, stool samples were incubated for 60 min</w:t>
      </w:r>
      <w:r w:rsidR="0007708F">
        <w:rPr>
          <w:lang w:val="en-GB"/>
        </w:rPr>
        <w:t>utes</w:t>
      </w:r>
      <w:r w:rsidRPr="002664C5">
        <w:rPr>
          <w:lang w:val="en-GB"/>
        </w:rPr>
        <w:t xml:space="preserve"> at 50°</w:t>
      </w:r>
      <w:r w:rsidR="0007708F">
        <w:rPr>
          <w:lang w:val="en-GB"/>
        </w:rPr>
        <w:t xml:space="preserve"> C with gentle agitation in 5 mL</w:t>
      </w:r>
      <w:r w:rsidRPr="002664C5">
        <w:rPr>
          <w:lang w:val="en-GB"/>
        </w:rPr>
        <w:t xml:space="preserve"> of Extraction Solution per gram of stool to release the GIP from the stool matrix. After extraction, samples were diluted 1:10 and incubated for 60 minutes in the provided </w:t>
      </w:r>
      <w:r w:rsidR="00566602" w:rsidRPr="002664C5">
        <w:rPr>
          <w:lang w:val="en-GB"/>
        </w:rPr>
        <w:t>microtit</w:t>
      </w:r>
      <w:r w:rsidR="00566602">
        <w:rPr>
          <w:lang w:val="en-GB"/>
        </w:rPr>
        <w:t>er</w:t>
      </w:r>
      <w:bookmarkStart w:id="0" w:name="_GoBack"/>
      <w:bookmarkEnd w:id="0"/>
      <w:r w:rsidRPr="002664C5">
        <w:rPr>
          <w:lang w:val="en-GB"/>
        </w:rPr>
        <w:t xml:space="preserve"> plate coated with G12</w:t>
      </w:r>
      <w:r w:rsidR="007F361F">
        <w:rPr>
          <w:lang w:val="en-GB"/>
        </w:rPr>
        <w:t>,</w:t>
      </w:r>
      <w:r w:rsidRPr="002664C5">
        <w:rPr>
          <w:lang w:val="en-GB"/>
        </w:rPr>
        <w:t xml:space="preserve"> together with the standards and the assay’s positive and negative controls. Wells were then washed and samples incubated with horseradish peroxidase-conjugated G12 antibody for another 60 min</w:t>
      </w:r>
      <w:r w:rsidR="0007708F">
        <w:rPr>
          <w:lang w:val="en-GB"/>
        </w:rPr>
        <w:t>utes</w:t>
      </w:r>
      <w:r w:rsidRPr="002664C5">
        <w:rPr>
          <w:lang w:val="en-GB"/>
        </w:rPr>
        <w:t xml:space="preserve">. Subsequently, plates were washed again and incubated with the horseradish peroxidase substrate. Colour development was stopped with sulphuric acid and absorbance </w:t>
      </w:r>
      <w:r w:rsidR="007F361F">
        <w:rPr>
          <w:lang w:val="en-GB"/>
        </w:rPr>
        <w:t xml:space="preserve">was </w:t>
      </w:r>
      <w:r w:rsidRPr="002664C5">
        <w:rPr>
          <w:lang w:val="en-GB"/>
        </w:rPr>
        <w:t>measured at 450 nm using a UVM340 microplate reader (</w:t>
      </w:r>
      <w:proofErr w:type="spellStart"/>
      <w:r w:rsidRPr="002664C5">
        <w:rPr>
          <w:lang w:val="en-GB"/>
        </w:rPr>
        <w:t>Asys</w:t>
      </w:r>
      <w:proofErr w:type="spellEnd"/>
      <w:r w:rsidRPr="002664C5">
        <w:rPr>
          <w:lang w:val="en-GB"/>
        </w:rPr>
        <w:t xml:space="preserve"> Hitech GmbH, </w:t>
      </w:r>
      <w:proofErr w:type="spellStart"/>
      <w:r w:rsidRPr="002664C5">
        <w:rPr>
          <w:lang w:val="en-GB"/>
        </w:rPr>
        <w:t>Eugendorf</w:t>
      </w:r>
      <w:proofErr w:type="spellEnd"/>
      <w:r w:rsidRPr="002664C5">
        <w:rPr>
          <w:lang w:val="en-GB"/>
        </w:rPr>
        <w:t xml:space="preserve">, Austria). The results were expressed as </w:t>
      </w:r>
      <w:proofErr w:type="spellStart"/>
      <w:r w:rsidRPr="002664C5">
        <w:rPr>
          <w:lang w:val="en-GB"/>
        </w:rPr>
        <w:t>μg</w:t>
      </w:r>
      <w:proofErr w:type="spellEnd"/>
      <w:r w:rsidRPr="002664C5">
        <w:rPr>
          <w:lang w:val="en-GB"/>
        </w:rPr>
        <w:t xml:space="preserve"> GIP per gram of faeces. Each sample was run in duplicate and at least two different aliquots of each sample were tested on different days. </w:t>
      </w:r>
      <w:r w:rsidRPr="002664C5">
        <w:rPr>
          <w:rFonts w:ascii="Calibri" w:eastAsia="Times New Roman" w:hAnsi="Calibri" w:cs="Times New Roman"/>
          <w:lang w:val="en-US" w:eastAsia="es-ES_tradnl"/>
        </w:rPr>
        <w:t xml:space="preserve">The validity of this method </w:t>
      </w:r>
      <w:r w:rsidR="007F361F">
        <w:rPr>
          <w:rFonts w:ascii="Calibri" w:eastAsia="Times New Roman" w:hAnsi="Calibri" w:cs="Times New Roman"/>
          <w:lang w:val="en-US" w:eastAsia="es-ES_tradnl"/>
        </w:rPr>
        <w:t>for</w:t>
      </w:r>
      <w:r w:rsidR="007F361F" w:rsidRPr="002664C5">
        <w:rPr>
          <w:rFonts w:ascii="Calibri" w:eastAsia="Times New Roman" w:hAnsi="Calibri" w:cs="Times New Roman"/>
          <w:lang w:val="en-US" w:eastAsia="es-ES_tradnl"/>
        </w:rPr>
        <w:t xml:space="preserve"> </w:t>
      </w:r>
      <w:r w:rsidRPr="002664C5">
        <w:rPr>
          <w:rFonts w:ascii="Calibri" w:eastAsia="Times New Roman" w:hAnsi="Calibri" w:cs="Times New Roman"/>
          <w:lang w:val="en-US" w:eastAsia="es-ES_tradnl"/>
        </w:rPr>
        <w:t xml:space="preserve">detecting gluten-free diet transgressions was determined by its analytical sensitivity (limit of quantification 0.08 </w:t>
      </w:r>
      <w:r w:rsidRPr="002664C5">
        <w:rPr>
          <w:rFonts w:ascii="Calibri" w:eastAsia="Times New Roman" w:hAnsi="Calibri" w:cs="Times New Roman"/>
          <w:lang w:eastAsia="es-ES_tradnl"/>
        </w:rPr>
        <w:t>μ</w:t>
      </w:r>
      <w:r w:rsidR="00566602">
        <w:rPr>
          <w:rFonts w:ascii="Calibri" w:eastAsia="Times New Roman" w:hAnsi="Calibri" w:cs="Times New Roman"/>
          <w:lang w:val="en-US" w:eastAsia="es-ES_tradnl"/>
        </w:rPr>
        <w:t>g GIP per gram of f</w:t>
      </w:r>
      <w:r w:rsidRPr="002664C5">
        <w:rPr>
          <w:rFonts w:ascii="Calibri" w:eastAsia="Times New Roman" w:hAnsi="Calibri" w:cs="Times New Roman"/>
          <w:lang w:val="en-US" w:eastAsia="es-ES_tradnl"/>
        </w:rPr>
        <w:t>eces) and diagnostic sensitivity and specificity (98.5% and 100%, respectively).</w:t>
      </w:r>
    </w:p>
    <w:p w14:paraId="48DA310D" w14:textId="77777777" w:rsidR="002664C5" w:rsidRPr="002664C5" w:rsidRDefault="002664C5" w:rsidP="002664C5">
      <w:pPr>
        <w:spacing w:after="0" w:line="480" w:lineRule="auto"/>
        <w:rPr>
          <w:rFonts w:ascii="Calibri" w:eastAsia="Times New Roman" w:hAnsi="Calibri" w:cs="Times New Roman"/>
          <w:b/>
          <w:lang w:val="en-US" w:eastAsia="es-ES_tradnl"/>
        </w:rPr>
      </w:pPr>
      <w:r w:rsidRPr="002664C5">
        <w:rPr>
          <w:rFonts w:ascii="Calibri" w:eastAsia="Times New Roman" w:hAnsi="Calibri" w:cs="Times New Roman"/>
          <w:b/>
          <w:lang w:val="en-US" w:eastAsia="es-ES_tradnl"/>
        </w:rPr>
        <w:t>Coeliac serology</w:t>
      </w:r>
    </w:p>
    <w:p w14:paraId="42DB754F" w14:textId="40FEB220" w:rsidR="00222C7C" w:rsidRPr="00477161" w:rsidRDefault="002664C5" w:rsidP="002664C5">
      <w:pPr>
        <w:spacing w:after="0" w:line="480" w:lineRule="auto"/>
        <w:rPr>
          <w:lang w:val="en-GB"/>
        </w:rPr>
      </w:pPr>
      <w:r w:rsidRPr="002664C5">
        <w:rPr>
          <w:lang w:val="en-GB"/>
        </w:rPr>
        <w:t xml:space="preserve">Serum IgA anti-tTG2 (or IgG anti-tTG2 in IgA deficient patients) was analysed using a quantitative automated ELISA (Elia </w:t>
      </w:r>
      <w:proofErr w:type="spellStart"/>
      <w:r w:rsidRPr="002664C5">
        <w:rPr>
          <w:lang w:val="en-GB"/>
        </w:rPr>
        <w:t>CelikeyTM</w:t>
      </w:r>
      <w:proofErr w:type="spellEnd"/>
      <w:r w:rsidRPr="002664C5">
        <w:rPr>
          <w:lang w:val="en-GB"/>
        </w:rPr>
        <w:t xml:space="preserve">, </w:t>
      </w:r>
      <w:proofErr w:type="spellStart"/>
      <w:r w:rsidRPr="002664C5">
        <w:rPr>
          <w:lang w:val="en-GB"/>
        </w:rPr>
        <w:t>Phadia</w:t>
      </w:r>
      <w:proofErr w:type="spellEnd"/>
      <w:r w:rsidRPr="002664C5">
        <w:rPr>
          <w:lang w:val="en-GB"/>
        </w:rPr>
        <w:t xml:space="preserve"> AB, Freiburg, Germany) with recombinant human tTG2 as antigen (positive values &gt;2 U/mL).</w:t>
      </w:r>
      <w:r w:rsidR="002717B8">
        <w:rPr>
          <w:vertAlign w:val="superscript"/>
          <w:lang w:val="en-GB"/>
        </w:rPr>
        <w:t>2</w:t>
      </w:r>
      <w:r w:rsidRPr="002664C5">
        <w:rPr>
          <w:lang w:val="en-GB"/>
        </w:rPr>
        <w:t xml:space="preserve"> Anti-tTG2 at low titres was considered to be positive only if confirmed by positive </w:t>
      </w:r>
      <w:proofErr w:type="spellStart"/>
      <w:r w:rsidRPr="002664C5">
        <w:rPr>
          <w:lang w:val="en-GB"/>
        </w:rPr>
        <w:t>EmA</w:t>
      </w:r>
      <w:proofErr w:type="spellEnd"/>
      <w:r w:rsidRPr="002664C5">
        <w:rPr>
          <w:lang w:val="en-GB"/>
        </w:rPr>
        <w:t xml:space="preserve">. </w:t>
      </w:r>
      <w:proofErr w:type="spellStart"/>
      <w:r w:rsidRPr="002664C5">
        <w:rPr>
          <w:lang w:val="en-GB"/>
        </w:rPr>
        <w:t>EmA</w:t>
      </w:r>
      <w:proofErr w:type="spellEnd"/>
      <w:r w:rsidRPr="002664C5">
        <w:rPr>
          <w:lang w:val="en-GB"/>
        </w:rPr>
        <w:t xml:space="preserve"> was performed by indirect immunofluorescence assay in serum samples at 1:5 dilution (commercial sections of monkey distal oesophagus; </w:t>
      </w:r>
      <w:proofErr w:type="spellStart"/>
      <w:r w:rsidRPr="002664C5">
        <w:rPr>
          <w:lang w:val="en-GB"/>
        </w:rPr>
        <w:t>BioMedical</w:t>
      </w:r>
      <w:proofErr w:type="spellEnd"/>
      <w:r w:rsidRPr="002664C5">
        <w:rPr>
          <w:lang w:val="en-GB"/>
        </w:rPr>
        <w:t xml:space="preserve"> Diagnostics, Marne-la-</w:t>
      </w:r>
      <w:proofErr w:type="spellStart"/>
      <w:r w:rsidRPr="002664C5">
        <w:rPr>
          <w:lang w:val="en-GB"/>
        </w:rPr>
        <w:t>Vallée</w:t>
      </w:r>
      <w:proofErr w:type="spellEnd"/>
      <w:r w:rsidRPr="002664C5">
        <w:rPr>
          <w:lang w:val="en-GB"/>
        </w:rPr>
        <w:t xml:space="preserve">, France) in all patients with </w:t>
      </w:r>
      <w:r w:rsidRPr="002664C5">
        <w:rPr>
          <w:lang w:val="en-GB"/>
        </w:rPr>
        <w:lastRenderedPageBreak/>
        <w:t xml:space="preserve">positive tTG2. Total serum IgA was measured using rate nephelometry (BN II, Siemens Healthcare Diagnostics SL, </w:t>
      </w:r>
      <w:proofErr w:type="gramStart"/>
      <w:r w:rsidRPr="002664C5">
        <w:rPr>
          <w:lang w:val="en-GB"/>
        </w:rPr>
        <w:t>Marburg</w:t>
      </w:r>
      <w:proofErr w:type="gramEnd"/>
      <w:r w:rsidRPr="002664C5">
        <w:rPr>
          <w:lang w:val="en-GB"/>
        </w:rPr>
        <w:t xml:space="preserve">, Germany). </w:t>
      </w:r>
    </w:p>
    <w:p w14:paraId="7A67998F" w14:textId="77777777" w:rsidR="002664C5" w:rsidRPr="002664C5" w:rsidRDefault="002664C5" w:rsidP="002664C5">
      <w:pPr>
        <w:spacing w:after="0" w:line="480" w:lineRule="auto"/>
        <w:rPr>
          <w:b/>
          <w:lang w:val="en-GB"/>
        </w:rPr>
      </w:pPr>
      <w:r w:rsidRPr="002664C5">
        <w:rPr>
          <w:b/>
          <w:lang w:val="en-GB"/>
        </w:rPr>
        <w:t>Coeliac genetics</w:t>
      </w:r>
    </w:p>
    <w:p w14:paraId="737AFBCE" w14:textId="77777777" w:rsidR="002664C5" w:rsidRPr="002664C5" w:rsidRDefault="002664C5" w:rsidP="002664C5">
      <w:pPr>
        <w:spacing w:after="0" w:line="480" w:lineRule="auto"/>
        <w:rPr>
          <w:lang w:val="en-GB"/>
        </w:rPr>
      </w:pPr>
      <w:r w:rsidRPr="002664C5">
        <w:rPr>
          <w:lang w:val="en-GB"/>
        </w:rPr>
        <w:t xml:space="preserve">Genomic DNA from whole blood was purified using the commercial </w:t>
      </w:r>
      <w:proofErr w:type="spellStart"/>
      <w:r w:rsidRPr="002664C5">
        <w:rPr>
          <w:lang w:val="en-GB"/>
        </w:rPr>
        <w:t>Qiamp</w:t>
      </w:r>
      <w:proofErr w:type="spellEnd"/>
      <w:r w:rsidRPr="002664C5">
        <w:rPr>
          <w:lang w:val="en-GB"/>
        </w:rPr>
        <w:t xml:space="preserve"> DNA Blood Mini kit (Qiagen, Düsseldorf, Germany). A commercial reverse hybridization kit for the detection of CD heterodimers HLA-DQ2.5 (A1*0501/*0505, B1*0201/*0202) and HLA-DQ8 (A1*0301, B1*0302) was used (</w:t>
      </w:r>
      <w:proofErr w:type="spellStart"/>
      <w:r w:rsidRPr="002664C5">
        <w:rPr>
          <w:lang w:val="en-GB"/>
        </w:rPr>
        <w:t>GenID</w:t>
      </w:r>
      <w:proofErr w:type="spellEnd"/>
      <w:r w:rsidRPr="002664C5">
        <w:rPr>
          <w:lang w:val="en-GB"/>
        </w:rPr>
        <w:t xml:space="preserve">, GMBH, Strasburg, Germany). </w:t>
      </w:r>
    </w:p>
    <w:p w14:paraId="40B5F79D" w14:textId="77777777" w:rsidR="00222C7C" w:rsidRPr="00E73804" w:rsidRDefault="00222C7C" w:rsidP="00222C7C">
      <w:pPr>
        <w:spacing w:after="0" w:line="480" w:lineRule="auto"/>
        <w:rPr>
          <w:b/>
          <w:lang w:val="en-US"/>
        </w:rPr>
      </w:pPr>
      <w:r w:rsidRPr="00E73804">
        <w:rPr>
          <w:b/>
          <w:lang w:val="en-US"/>
        </w:rPr>
        <w:t xml:space="preserve">Histological studies </w:t>
      </w:r>
    </w:p>
    <w:p w14:paraId="1FE90E77" w14:textId="444D20BC" w:rsidR="00222C7C" w:rsidRPr="00E73804" w:rsidRDefault="00222C7C" w:rsidP="00222C7C">
      <w:pPr>
        <w:spacing w:after="0" w:line="480" w:lineRule="auto"/>
        <w:rPr>
          <w:lang w:val="en-US"/>
        </w:rPr>
      </w:pPr>
      <w:r w:rsidRPr="00E73804">
        <w:rPr>
          <w:lang w:val="en-US"/>
        </w:rPr>
        <w:t xml:space="preserve">Two endoscopic biopsies from the bulb and four from the second portion of the duodenum were obtained using a one-bite-per-pass technique with 2.8 mm biopsy forceps (Radial </w:t>
      </w:r>
      <w:proofErr w:type="spellStart"/>
      <w:r w:rsidRPr="00E73804">
        <w:rPr>
          <w:lang w:val="en-US"/>
        </w:rPr>
        <w:t>JawTM</w:t>
      </w:r>
      <w:proofErr w:type="spellEnd"/>
      <w:r w:rsidRPr="00E73804">
        <w:rPr>
          <w:lang w:val="en-US"/>
        </w:rPr>
        <w:t xml:space="preserve"> 4, Boston Scientific, </w:t>
      </w:r>
      <w:proofErr w:type="gramStart"/>
      <w:r w:rsidRPr="00E73804">
        <w:rPr>
          <w:lang w:val="en-US"/>
        </w:rPr>
        <w:t>USA</w:t>
      </w:r>
      <w:proofErr w:type="gramEnd"/>
      <w:r w:rsidRPr="00E73804">
        <w:rPr>
          <w:lang w:val="en-US"/>
        </w:rPr>
        <w:t>) and were placed in separate vials for standard histological studies. Diagnostic and follow-up tissue slides were blindly evaluated by two expert pathologists and a consensus was reached in case of disagreement. Histopathological changes were classified according to the modified Marsh-</w:t>
      </w:r>
      <w:proofErr w:type="spellStart"/>
      <w:r w:rsidRPr="00E73804">
        <w:rPr>
          <w:lang w:val="en-US"/>
        </w:rPr>
        <w:t>Oberhuber</w:t>
      </w:r>
      <w:proofErr w:type="spellEnd"/>
      <w:r w:rsidRPr="00E73804">
        <w:rPr>
          <w:lang w:val="en-US"/>
        </w:rPr>
        <w:t xml:space="preserve"> classification.</w:t>
      </w:r>
      <w:r>
        <w:rPr>
          <w:vertAlign w:val="superscript"/>
          <w:lang w:val="en-US"/>
        </w:rPr>
        <w:t>3</w:t>
      </w:r>
      <w:proofErr w:type="gramStart"/>
      <w:r>
        <w:rPr>
          <w:vertAlign w:val="superscript"/>
          <w:lang w:val="en-US"/>
        </w:rPr>
        <w:t>,4</w:t>
      </w:r>
      <w:proofErr w:type="gramEnd"/>
      <w:r w:rsidRPr="00E73804">
        <w:rPr>
          <w:lang w:val="en-US"/>
        </w:rPr>
        <w:t xml:space="preserve"> Lymphocytic enteropathy (Marsh type 1 lesion) was defined as 25 or more intraepithelial lymphocytes per 100 epithelial nuclei in samples stained with anti-CD3, and a normal villous architecture. The degree of concordance between the two pathologists was analyzed. Mucosal recovery was defined as the absence of villous atrophy at the follow-up biopsy (i.e., Marsh 0-2).</w:t>
      </w:r>
    </w:p>
    <w:p w14:paraId="4ADCA932" w14:textId="77777777" w:rsidR="00222C7C" w:rsidRPr="00E73804" w:rsidRDefault="00222C7C" w:rsidP="00222C7C">
      <w:pPr>
        <w:spacing w:after="0" w:line="480" w:lineRule="auto"/>
        <w:rPr>
          <w:lang w:val="en-US"/>
        </w:rPr>
      </w:pPr>
      <w:r w:rsidRPr="00E73804">
        <w:rPr>
          <w:lang w:val="en-US"/>
        </w:rPr>
        <w:t>Special attention was paid to patients who did not show any signs of histological recovery after two years on dietary treatment.</w:t>
      </w:r>
    </w:p>
    <w:p w14:paraId="501B0D97" w14:textId="77777777" w:rsidR="002664C5" w:rsidRPr="00222C7C" w:rsidRDefault="002664C5" w:rsidP="002664C5">
      <w:pPr>
        <w:spacing w:after="0" w:line="480" w:lineRule="auto"/>
        <w:rPr>
          <w:b/>
          <w:lang w:val="en-US"/>
        </w:rPr>
      </w:pPr>
    </w:p>
    <w:p w14:paraId="38E52828" w14:textId="77777777" w:rsidR="002717B8" w:rsidRDefault="002717B8" w:rsidP="002664C5">
      <w:pPr>
        <w:spacing w:after="0" w:line="480" w:lineRule="auto"/>
        <w:rPr>
          <w:b/>
          <w:lang w:val="en-GB"/>
        </w:rPr>
      </w:pPr>
      <w:r>
        <w:rPr>
          <w:b/>
          <w:lang w:val="en-GB"/>
        </w:rPr>
        <w:t>References</w:t>
      </w:r>
    </w:p>
    <w:p w14:paraId="4A425940" w14:textId="77777777" w:rsidR="002717B8" w:rsidRDefault="002717B8" w:rsidP="002717B8">
      <w:pPr>
        <w:pStyle w:val="Prrafodelista"/>
        <w:numPr>
          <w:ilvl w:val="0"/>
          <w:numId w:val="1"/>
        </w:numPr>
        <w:spacing w:after="0" w:line="480" w:lineRule="auto"/>
        <w:ind w:left="357" w:hanging="357"/>
        <w:rPr>
          <w:lang w:val="en-GB"/>
        </w:rPr>
      </w:pPr>
      <w:r w:rsidRPr="002C4546">
        <w:t xml:space="preserve">Comino I, Fernández-Bañares F, Esteve M, et al. </w:t>
      </w:r>
      <w:proofErr w:type="spellStart"/>
      <w:r w:rsidRPr="002C4546">
        <w:rPr>
          <w:lang w:val="en-GB"/>
        </w:rPr>
        <w:t>Fecal</w:t>
      </w:r>
      <w:proofErr w:type="spellEnd"/>
      <w:r w:rsidRPr="002C4546">
        <w:rPr>
          <w:lang w:val="en-GB"/>
        </w:rPr>
        <w:t xml:space="preserve"> Gluten Peptides Reveal Limitations of Serological Tests and Food Questionnaires for Monitoring Gluten-Free Diet in Celiac Disease Patients. Am J Gastroenterol 2016</w:t>
      </w:r>
      <w:proofErr w:type="gramStart"/>
      <w:r w:rsidRPr="002C4546">
        <w:rPr>
          <w:lang w:val="en-GB"/>
        </w:rPr>
        <w:t>;111:1456</w:t>
      </w:r>
      <w:proofErr w:type="gramEnd"/>
      <w:r w:rsidRPr="002C4546">
        <w:rPr>
          <w:lang w:val="en-GB"/>
        </w:rPr>
        <w:t>-65.</w:t>
      </w:r>
    </w:p>
    <w:p w14:paraId="6E66DA78" w14:textId="77777777" w:rsidR="002717B8" w:rsidRDefault="002717B8" w:rsidP="002717B8">
      <w:pPr>
        <w:pStyle w:val="Prrafodelista"/>
        <w:numPr>
          <w:ilvl w:val="0"/>
          <w:numId w:val="1"/>
        </w:numPr>
        <w:spacing w:line="480" w:lineRule="auto"/>
        <w:ind w:left="357" w:hanging="357"/>
        <w:rPr>
          <w:lang w:val="en-GB"/>
        </w:rPr>
      </w:pPr>
      <w:r w:rsidRPr="002717B8">
        <w:lastRenderedPageBreak/>
        <w:t xml:space="preserve">Mariné M, Fernández-Bañares F, Alsina M, et al.  </w:t>
      </w:r>
      <w:r w:rsidRPr="002717B8">
        <w:rPr>
          <w:lang w:val="en-GB"/>
        </w:rPr>
        <w:t xml:space="preserve">Impact of mass screening for gluten-sensitive enteropathy in working population. World J </w:t>
      </w:r>
      <w:proofErr w:type="spellStart"/>
      <w:r w:rsidRPr="002717B8">
        <w:rPr>
          <w:lang w:val="en-GB"/>
        </w:rPr>
        <w:t>Gastroenterol</w:t>
      </w:r>
      <w:proofErr w:type="spellEnd"/>
      <w:r w:rsidRPr="002717B8">
        <w:rPr>
          <w:lang w:val="en-GB"/>
        </w:rPr>
        <w:t xml:space="preserve"> 2009</w:t>
      </w:r>
      <w:proofErr w:type="gramStart"/>
      <w:r w:rsidRPr="002717B8">
        <w:rPr>
          <w:lang w:val="en-GB"/>
        </w:rPr>
        <w:t>;15:1331</w:t>
      </w:r>
      <w:proofErr w:type="gramEnd"/>
      <w:r w:rsidRPr="002717B8">
        <w:rPr>
          <w:lang w:val="en-GB"/>
        </w:rPr>
        <w:t>-8.</w:t>
      </w:r>
    </w:p>
    <w:p w14:paraId="2FDBDA31" w14:textId="77777777" w:rsidR="00222C7C" w:rsidRPr="00222C7C" w:rsidRDefault="00222C7C" w:rsidP="00222C7C">
      <w:pPr>
        <w:pStyle w:val="Prrafodelista"/>
        <w:numPr>
          <w:ilvl w:val="0"/>
          <w:numId w:val="1"/>
        </w:numPr>
        <w:spacing w:line="480" w:lineRule="auto"/>
        <w:rPr>
          <w:lang w:val="en-GB"/>
        </w:rPr>
      </w:pPr>
      <w:r w:rsidRPr="00222C7C">
        <w:rPr>
          <w:lang w:val="en-GB"/>
        </w:rPr>
        <w:t xml:space="preserve">Marsh MN. Gluten, major histocompatibility complex, and the small intestine. A molecular and </w:t>
      </w:r>
      <w:proofErr w:type="spellStart"/>
      <w:r w:rsidRPr="00222C7C">
        <w:rPr>
          <w:lang w:val="en-GB"/>
        </w:rPr>
        <w:t>immunobiologic</w:t>
      </w:r>
      <w:proofErr w:type="spellEnd"/>
      <w:r w:rsidRPr="00222C7C">
        <w:rPr>
          <w:lang w:val="en-GB"/>
        </w:rPr>
        <w:t xml:space="preserve"> approach to the spectrum of gluten sensitivity ('celiac sprue'). Gastroenterology 1992</w:t>
      </w:r>
      <w:proofErr w:type="gramStart"/>
      <w:r w:rsidRPr="00222C7C">
        <w:rPr>
          <w:lang w:val="en-GB"/>
        </w:rPr>
        <w:t>;102:330</w:t>
      </w:r>
      <w:proofErr w:type="gramEnd"/>
      <w:r w:rsidRPr="00222C7C">
        <w:rPr>
          <w:lang w:val="en-GB"/>
        </w:rPr>
        <w:t>-54.</w:t>
      </w:r>
    </w:p>
    <w:p w14:paraId="204E497E" w14:textId="77777777" w:rsidR="00222C7C" w:rsidRPr="00222C7C" w:rsidRDefault="00222C7C" w:rsidP="00222C7C">
      <w:pPr>
        <w:pStyle w:val="Prrafodelista"/>
        <w:numPr>
          <w:ilvl w:val="0"/>
          <w:numId w:val="1"/>
        </w:numPr>
        <w:spacing w:line="480" w:lineRule="auto"/>
        <w:rPr>
          <w:lang w:val="en-GB"/>
        </w:rPr>
      </w:pPr>
      <w:proofErr w:type="spellStart"/>
      <w:r w:rsidRPr="00222C7C">
        <w:rPr>
          <w:lang w:val="en-GB"/>
        </w:rPr>
        <w:t>Oberhuber</w:t>
      </w:r>
      <w:proofErr w:type="spellEnd"/>
      <w:r w:rsidRPr="00222C7C">
        <w:rPr>
          <w:lang w:val="en-GB"/>
        </w:rPr>
        <w:t xml:space="preserve"> G, </w:t>
      </w:r>
      <w:proofErr w:type="spellStart"/>
      <w:r w:rsidRPr="00222C7C">
        <w:rPr>
          <w:lang w:val="en-GB"/>
        </w:rPr>
        <w:t>Granditsch</w:t>
      </w:r>
      <w:proofErr w:type="spellEnd"/>
      <w:r w:rsidRPr="00222C7C">
        <w:rPr>
          <w:lang w:val="en-GB"/>
        </w:rPr>
        <w:t xml:space="preserve"> G, </w:t>
      </w:r>
      <w:proofErr w:type="spellStart"/>
      <w:r w:rsidRPr="00222C7C">
        <w:rPr>
          <w:lang w:val="en-GB"/>
        </w:rPr>
        <w:t>Vogelsang</w:t>
      </w:r>
      <w:proofErr w:type="spellEnd"/>
      <w:r w:rsidRPr="00222C7C">
        <w:rPr>
          <w:lang w:val="en-GB"/>
        </w:rPr>
        <w:t xml:space="preserve"> H. The histopathology of celiac disease: time for a standardized report scheme for pathologists. </w:t>
      </w:r>
      <w:proofErr w:type="spellStart"/>
      <w:r w:rsidRPr="00222C7C">
        <w:rPr>
          <w:lang w:val="en-GB"/>
        </w:rPr>
        <w:t>Eur</w:t>
      </w:r>
      <w:proofErr w:type="spellEnd"/>
      <w:r w:rsidRPr="00222C7C">
        <w:rPr>
          <w:lang w:val="en-GB"/>
        </w:rPr>
        <w:t xml:space="preserve"> J </w:t>
      </w:r>
      <w:proofErr w:type="spellStart"/>
      <w:r w:rsidRPr="00222C7C">
        <w:rPr>
          <w:lang w:val="en-GB"/>
        </w:rPr>
        <w:t>Gastroenterol</w:t>
      </w:r>
      <w:proofErr w:type="spellEnd"/>
      <w:r w:rsidRPr="00222C7C">
        <w:rPr>
          <w:lang w:val="en-GB"/>
        </w:rPr>
        <w:t xml:space="preserve"> </w:t>
      </w:r>
      <w:proofErr w:type="spellStart"/>
      <w:r w:rsidRPr="00222C7C">
        <w:rPr>
          <w:lang w:val="en-GB"/>
        </w:rPr>
        <w:t>Hepatol</w:t>
      </w:r>
      <w:proofErr w:type="spellEnd"/>
      <w:r w:rsidRPr="00222C7C">
        <w:rPr>
          <w:lang w:val="en-GB"/>
        </w:rPr>
        <w:t xml:space="preserve"> 1999</w:t>
      </w:r>
      <w:proofErr w:type="gramStart"/>
      <w:r w:rsidRPr="00222C7C">
        <w:rPr>
          <w:lang w:val="en-GB"/>
        </w:rPr>
        <w:t>;11:1185</w:t>
      </w:r>
      <w:proofErr w:type="gramEnd"/>
      <w:r w:rsidRPr="00222C7C">
        <w:rPr>
          <w:lang w:val="en-GB"/>
        </w:rPr>
        <w:t>-94.</w:t>
      </w:r>
    </w:p>
    <w:p w14:paraId="5DEDB2B9" w14:textId="77777777" w:rsidR="00222C7C" w:rsidRPr="00222C7C" w:rsidRDefault="00222C7C" w:rsidP="00222C7C">
      <w:pPr>
        <w:spacing w:line="480" w:lineRule="auto"/>
        <w:rPr>
          <w:lang w:val="en-GB"/>
        </w:rPr>
      </w:pPr>
    </w:p>
    <w:p w14:paraId="7AD80ED9" w14:textId="77777777" w:rsidR="002717B8" w:rsidRPr="002C4546" w:rsidRDefault="002717B8" w:rsidP="002717B8">
      <w:pPr>
        <w:pStyle w:val="Prrafodelista"/>
        <w:spacing w:after="0" w:line="480" w:lineRule="auto"/>
        <w:ind w:left="360"/>
        <w:rPr>
          <w:lang w:val="en-GB"/>
        </w:rPr>
      </w:pPr>
    </w:p>
    <w:p w14:paraId="4DBE9258" w14:textId="77777777" w:rsidR="002717B8" w:rsidRPr="002664C5" w:rsidRDefault="002717B8" w:rsidP="002664C5">
      <w:pPr>
        <w:spacing w:after="0" w:line="480" w:lineRule="auto"/>
        <w:rPr>
          <w:b/>
          <w:lang w:val="en-GB"/>
        </w:rPr>
      </w:pPr>
    </w:p>
    <w:sectPr w:rsidR="002717B8" w:rsidRPr="00266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B0253"/>
    <w:multiLevelType w:val="hybridMultilevel"/>
    <w:tmpl w:val="224C2C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C5"/>
    <w:rsid w:val="0007708F"/>
    <w:rsid w:val="00222C7C"/>
    <w:rsid w:val="002664C5"/>
    <w:rsid w:val="002717B8"/>
    <w:rsid w:val="00477161"/>
    <w:rsid w:val="00566602"/>
    <w:rsid w:val="007F361F"/>
    <w:rsid w:val="00C55EC0"/>
    <w:rsid w:val="00D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D07E"/>
  <w15:chartTrackingRefBased/>
  <w15:docId w15:val="{821CAF75-7E7F-4FAF-A247-966DA050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7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Bañares, Fernando</dc:creator>
  <cp:keywords/>
  <dc:description/>
  <cp:lastModifiedBy>Fernández Bañares, Fernando</cp:lastModifiedBy>
  <cp:revision>5</cp:revision>
  <dcterms:created xsi:type="dcterms:W3CDTF">2020-06-25T12:02:00Z</dcterms:created>
  <dcterms:modified xsi:type="dcterms:W3CDTF">2020-11-14T11:02:00Z</dcterms:modified>
</cp:coreProperties>
</file>