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98" w:rsidRDefault="007B4DB6" w:rsidP="00F03898">
      <w:pPr>
        <w:spacing w:after="0" w:line="360" w:lineRule="auto"/>
      </w:pPr>
      <w:r>
        <w:t xml:space="preserve">Supplementary </w:t>
      </w:r>
      <w:r w:rsidR="00F03898" w:rsidRPr="00AD0741">
        <w:t xml:space="preserve">Table </w:t>
      </w:r>
      <w:r w:rsidR="00F03898">
        <w:t>2</w:t>
      </w:r>
      <w:r w:rsidR="00F03898" w:rsidRPr="00AD0741">
        <w:t>. Changes for</w:t>
      </w:r>
      <w:r w:rsidR="00B37084">
        <w:t xml:space="preserve"> further</w:t>
      </w:r>
      <w:r w:rsidR="00F03898" w:rsidRPr="00AD0741">
        <w:t xml:space="preserve"> secondary outcomes over the study period (12 </w:t>
      </w:r>
      <w:r w:rsidR="00F03898">
        <w:t>m</w:t>
      </w:r>
      <w:r w:rsidR="00F03898" w:rsidRPr="00AD0741">
        <w:t>onths) of CBT and AC.</w:t>
      </w:r>
    </w:p>
    <w:tbl>
      <w:tblPr>
        <w:tblW w:w="4615" w:type="pct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3"/>
        <w:gridCol w:w="2127"/>
        <w:gridCol w:w="851"/>
        <w:gridCol w:w="2122"/>
        <w:gridCol w:w="709"/>
        <w:gridCol w:w="8"/>
        <w:gridCol w:w="2119"/>
        <w:gridCol w:w="709"/>
      </w:tblGrid>
      <w:tr w:rsidR="00F03898" w:rsidRPr="00AD0741" w:rsidTr="00F3332A">
        <w:trPr>
          <w:trHeight w:val="233"/>
        </w:trPr>
        <w:tc>
          <w:tcPr>
            <w:tcW w:w="1720" w:type="pct"/>
            <w:vMerge w:val="restart"/>
            <w:tcBorders>
              <w:top w:val="single" w:sz="4" w:space="0" w:color="7F7F7F"/>
            </w:tcBorders>
            <w:vAlign w:val="center"/>
          </w:tcPr>
          <w:p w:rsidR="00F03898" w:rsidRPr="00AD0741" w:rsidRDefault="00F03898" w:rsidP="00F3332A">
            <w:pPr>
              <w:spacing w:after="0" w:line="240" w:lineRule="auto"/>
              <w:ind w:left="-62"/>
              <w:rPr>
                <w:b/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1130" w:type="pct"/>
            <w:gridSpan w:val="2"/>
            <w:tcBorders>
              <w:top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CBT</w:t>
            </w:r>
          </w:p>
        </w:tc>
        <w:tc>
          <w:tcPr>
            <w:tcW w:w="1077" w:type="pct"/>
            <w:gridSpan w:val="3"/>
            <w:tcBorders>
              <w:top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AC</w:t>
            </w:r>
          </w:p>
        </w:tc>
        <w:tc>
          <w:tcPr>
            <w:tcW w:w="1073" w:type="pct"/>
            <w:gridSpan w:val="2"/>
            <w:tcBorders>
              <w:top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Additional Reduction CBT</w:t>
            </w:r>
          </w:p>
        </w:tc>
      </w:tr>
      <w:tr w:rsidR="00F03898" w:rsidRPr="00AD0741" w:rsidTr="00F3332A">
        <w:trPr>
          <w:trHeight w:val="310"/>
        </w:trPr>
        <w:tc>
          <w:tcPr>
            <w:tcW w:w="1720" w:type="pct"/>
            <w:vMerge/>
          </w:tcPr>
          <w:p w:rsidR="00F03898" w:rsidRPr="00AD0741" w:rsidRDefault="00F03898" w:rsidP="00F3332A">
            <w:pPr>
              <w:widowControl w:val="0"/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Mean reduction</w:t>
            </w:r>
          </w:p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323" w:type="pct"/>
          </w:tcPr>
          <w:p w:rsidR="00F03898" w:rsidRPr="00B53D68" w:rsidRDefault="00F03898" w:rsidP="00F3332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3D68">
              <w:rPr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05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Mean reduction</w:t>
            </w:r>
          </w:p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269" w:type="pct"/>
          </w:tcPr>
          <w:p w:rsidR="00F03898" w:rsidRPr="00B53D68" w:rsidRDefault="00F03898" w:rsidP="00F3332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3D68">
              <w:rPr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807" w:type="pct"/>
            <w:gridSpan w:val="2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Mean reduction</w:t>
            </w:r>
          </w:p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269" w:type="pct"/>
          </w:tcPr>
          <w:p w:rsidR="00F03898" w:rsidRPr="00B53D68" w:rsidRDefault="00F03898" w:rsidP="00F3332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B53D68">
              <w:rPr>
                <w:i/>
                <w:color w:val="000000"/>
                <w:sz w:val="20"/>
                <w:szCs w:val="20"/>
              </w:rPr>
              <w:t>p</w:t>
            </w:r>
          </w:p>
        </w:tc>
      </w:tr>
      <w:tr w:rsidR="00F03898" w:rsidRPr="00AD0741" w:rsidTr="00F3332A">
        <w:trPr>
          <w:trHeight w:val="340"/>
        </w:trPr>
        <w:tc>
          <w:tcPr>
            <w:tcW w:w="1720" w:type="pct"/>
            <w:vAlign w:val="center"/>
          </w:tcPr>
          <w:p w:rsidR="00F03898" w:rsidRPr="00AD0741" w:rsidRDefault="00F03898" w:rsidP="00F333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D0741">
              <w:rPr>
                <w:color w:val="000000"/>
                <w:sz w:val="20"/>
                <w:szCs w:val="20"/>
              </w:rPr>
              <w:t xml:space="preserve">elf-efficacy </w:t>
            </w:r>
          </w:p>
        </w:tc>
        <w:tc>
          <w:tcPr>
            <w:tcW w:w="807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0.05 (0.02 to 0.08)</w:t>
            </w:r>
          </w:p>
        </w:tc>
        <w:tc>
          <w:tcPr>
            <w:tcW w:w="323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.019</w:t>
            </w:r>
          </w:p>
        </w:tc>
        <w:tc>
          <w:tcPr>
            <w:tcW w:w="805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0.04 (0.01 to 0.06)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.471</w:t>
            </w:r>
          </w:p>
        </w:tc>
        <w:tc>
          <w:tcPr>
            <w:tcW w:w="807" w:type="pct"/>
            <w:gridSpan w:val="2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0.01 (-0.02 to 0.05)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.470</w:t>
            </w:r>
          </w:p>
        </w:tc>
      </w:tr>
      <w:tr w:rsidR="00F03898" w:rsidRPr="00AD0741" w:rsidTr="00F3332A">
        <w:trPr>
          <w:trHeight w:val="340"/>
        </w:trPr>
        <w:tc>
          <w:tcPr>
            <w:tcW w:w="1720" w:type="pct"/>
            <w:vAlign w:val="center"/>
          </w:tcPr>
          <w:p w:rsidR="00F03898" w:rsidRPr="00AD0741" w:rsidRDefault="00F03898" w:rsidP="00F333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D0741">
              <w:rPr>
                <w:color w:val="000000"/>
                <w:sz w:val="20"/>
                <w:szCs w:val="20"/>
              </w:rPr>
              <w:t xml:space="preserve">elf-esteem </w:t>
            </w:r>
          </w:p>
        </w:tc>
        <w:tc>
          <w:tcPr>
            <w:tcW w:w="807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0.01 (-0.01 to 0.04)</w:t>
            </w:r>
          </w:p>
        </w:tc>
        <w:tc>
          <w:tcPr>
            <w:tcW w:w="323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.788</w:t>
            </w:r>
          </w:p>
        </w:tc>
        <w:tc>
          <w:tcPr>
            <w:tcW w:w="805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0.00 (-0.02 to 0.03)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.355</w:t>
            </w:r>
          </w:p>
        </w:tc>
        <w:tc>
          <w:tcPr>
            <w:tcW w:w="807" w:type="pct"/>
            <w:gridSpan w:val="2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0.01 (-0.01 to 0.04)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.354</w:t>
            </w:r>
          </w:p>
        </w:tc>
      </w:tr>
      <w:tr w:rsidR="00F03898" w:rsidRPr="00AD0741" w:rsidTr="00F3332A">
        <w:trPr>
          <w:trHeight w:val="340"/>
        </w:trPr>
        <w:tc>
          <w:tcPr>
            <w:tcW w:w="1720" w:type="pct"/>
            <w:vAlign w:val="center"/>
          </w:tcPr>
          <w:p w:rsidR="00F03898" w:rsidRPr="00AD0741" w:rsidRDefault="00F03898" w:rsidP="00F333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D0741">
              <w:rPr>
                <w:color w:val="000000"/>
                <w:sz w:val="20"/>
                <w:szCs w:val="20"/>
              </w:rPr>
              <w:t>elf-esteem (P)</w:t>
            </w:r>
          </w:p>
        </w:tc>
        <w:tc>
          <w:tcPr>
            <w:tcW w:w="807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0.00 (-0.03 to 0.02)</w:t>
            </w:r>
          </w:p>
        </w:tc>
        <w:tc>
          <w:tcPr>
            <w:tcW w:w="323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.632</w:t>
            </w:r>
          </w:p>
        </w:tc>
        <w:tc>
          <w:tcPr>
            <w:tcW w:w="805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-0.01 (-0.03 to 0.02)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.756</w:t>
            </w:r>
          </w:p>
        </w:tc>
        <w:tc>
          <w:tcPr>
            <w:tcW w:w="807" w:type="pct"/>
            <w:gridSpan w:val="2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0.00 (-0.02 to 0.03)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.756</w:t>
            </w:r>
          </w:p>
        </w:tc>
      </w:tr>
      <w:tr w:rsidR="00F03898" w:rsidRPr="00AD0741" w:rsidTr="00F3332A">
        <w:trPr>
          <w:trHeight w:val="340"/>
        </w:trPr>
        <w:tc>
          <w:tcPr>
            <w:tcW w:w="1720" w:type="pct"/>
            <w:vAlign w:val="center"/>
          </w:tcPr>
          <w:p w:rsidR="00F03898" w:rsidRPr="00AD0741" w:rsidRDefault="00F03898" w:rsidP="00F3332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D0741">
              <w:rPr>
                <w:color w:val="000000"/>
                <w:sz w:val="20"/>
                <w:szCs w:val="20"/>
              </w:rPr>
              <w:t>tress experience</w:t>
            </w:r>
          </w:p>
        </w:tc>
        <w:tc>
          <w:tcPr>
            <w:tcW w:w="807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0.02 (-0.00 to 0.04)</w:t>
            </w:r>
          </w:p>
        </w:tc>
        <w:tc>
          <w:tcPr>
            <w:tcW w:w="323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.101</w:t>
            </w:r>
          </w:p>
        </w:tc>
        <w:tc>
          <w:tcPr>
            <w:tcW w:w="805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0.02 (-0.00 to 0.04)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.899</w:t>
            </w:r>
          </w:p>
        </w:tc>
        <w:tc>
          <w:tcPr>
            <w:tcW w:w="807" w:type="pct"/>
            <w:gridSpan w:val="2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0.00 (-0.02 to 0.02)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.899</w:t>
            </w:r>
          </w:p>
        </w:tc>
      </w:tr>
      <w:tr w:rsidR="00F03898" w:rsidRPr="00AD0741" w:rsidTr="00F3332A">
        <w:trPr>
          <w:trHeight w:val="340"/>
        </w:trPr>
        <w:tc>
          <w:tcPr>
            <w:tcW w:w="1720" w:type="pct"/>
            <w:vAlign w:val="center"/>
          </w:tcPr>
          <w:p w:rsidR="00F03898" w:rsidRPr="00AD0741" w:rsidRDefault="00F03898" w:rsidP="00F333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Pr="00AD0741">
              <w:rPr>
                <w:color w:val="000000"/>
                <w:sz w:val="20"/>
                <w:szCs w:val="20"/>
              </w:rPr>
              <w:t>ealth care utilization</w:t>
            </w:r>
          </w:p>
        </w:tc>
        <w:tc>
          <w:tcPr>
            <w:tcW w:w="807" w:type="pct"/>
          </w:tcPr>
          <w:p w:rsidR="00F03898" w:rsidRPr="00AD0741" w:rsidRDefault="00F03898" w:rsidP="00F3332A">
            <w:pPr>
              <w:spacing w:after="0" w:line="240" w:lineRule="auto"/>
              <w:ind w:left="720" w:hanging="720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-0.86 (-2.15 to 0.42)</w:t>
            </w:r>
          </w:p>
        </w:tc>
        <w:tc>
          <w:tcPr>
            <w:tcW w:w="323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.443</w:t>
            </w:r>
          </w:p>
        </w:tc>
        <w:tc>
          <w:tcPr>
            <w:tcW w:w="805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-0.13 (-1.56 to 1.29)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.853</w:t>
            </w:r>
          </w:p>
        </w:tc>
        <w:tc>
          <w:tcPr>
            <w:tcW w:w="807" w:type="pct"/>
            <w:gridSpan w:val="2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-0.36 (-1.83 to 1.10)</w:t>
            </w:r>
          </w:p>
        </w:tc>
        <w:tc>
          <w:tcPr>
            <w:tcW w:w="269" w:type="pct"/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.622</w:t>
            </w:r>
          </w:p>
        </w:tc>
      </w:tr>
      <w:tr w:rsidR="00F03898" w:rsidRPr="00AD0741" w:rsidTr="00F3332A">
        <w:trPr>
          <w:trHeight w:val="340"/>
        </w:trPr>
        <w:tc>
          <w:tcPr>
            <w:tcW w:w="1720" w:type="pct"/>
            <w:tcBorders>
              <w:bottom w:val="single" w:sz="4" w:space="0" w:color="7F7F7F"/>
            </w:tcBorders>
            <w:vAlign w:val="center"/>
          </w:tcPr>
          <w:p w:rsidR="00F03898" w:rsidRPr="00AD0741" w:rsidRDefault="00F03898" w:rsidP="00F333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D0741">
              <w:rPr>
                <w:color w:val="000000"/>
                <w:sz w:val="20"/>
                <w:szCs w:val="20"/>
              </w:rPr>
              <w:t>chool absence</w:t>
            </w:r>
          </w:p>
        </w:tc>
        <w:tc>
          <w:tcPr>
            <w:tcW w:w="807" w:type="pct"/>
            <w:tcBorders>
              <w:bottom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0.86 (-0.10 to 1.83)</w:t>
            </w:r>
          </w:p>
        </w:tc>
        <w:tc>
          <w:tcPr>
            <w:tcW w:w="323" w:type="pct"/>
            <w:tcBorders>
              <w:bottom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.071</w:t>
            </w:r>
          </w:p>
        </w:tc>
        <w:tc>
          <w:tcPr>
            <w:tcW w:w="805" w:type="pct"/>
            <w:tcBorders>
              <w:bottom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0.91 (-0.07 to 1.88)</w:t>
            </w:r>
          </w:p>
        </w:tc>
        <w:tc>
          <w:tcPr>
            <w:tcW w:w="269" w:type="pct"/>
            <w:tcBorders>
              <w:bottom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.068</w:t>
            </w:r>
          </w:p>
        </w:tc>
        <w:tc>
          <w:tcPr>
            <w:tcW w:w="807" w:type="pct"/>
            <w:gridSpan w:val="2"/>
            <w:tcBorders>
              <w:bottom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-0.02 (0.84 to -0.89)</w:t>
            </w:r>
          </w:p>
        </w:tc>
        <w:tc>
          <w:tcPr>
            <w:tcW w:w="269" w:type="pct"/>
            <w:tcBorders>
              <w:bottom w:val="single" w:sz="4" w:space="0" w:color="7F7F7F"/>
            </w:tcBorders>
          </w:tcPr>
          <w:p w:rsidR="00F03898" w:rsidRPr="00AD0741" w:rsidRDefault="00F03898" w:rsidP="00F333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0741">
              <w:rPr>
                <w:color w:val="000000"/>
                <w:sz w:val="20"/>
                <w:szCs w:val="20"/>
              </w:rPr>
              <w:t>.960</w:t>
            </w:r>
          </w:p>
        </w:tc>
      </w:tr>
    </w:tbl>
    <w:p w:rsidR="00F03898" w:rsidRDefault="00B53D68" w:rsidP="00F03898">
      <w:pPr>
        <w:spacing w:after="0"/>
        <w:rPr>
          <w:sz w:val="20"/>
          <w:szCs w:val="20"/>
        </w:rPr>
      </w:pPr>
      <w:r w:rsidRPr="00B53D68">
        <w:rPr>
          <w:i/>
          <w:sz w:val="20"/>
          <w:szCs w:val="20"/>
        </w:rPr>
        <w:t>Notes</w:t>
      </w:r>
      <w:r>
        <w:rPr>
          <w:sz w:val="20"/>
          <w:szCs w:val="20"/>
        </w:rPr>
        <w:t xml:space="preserve">. </w:t>
      </w:r>
      <w:r w:rsidR="00F03898" w:rsidRPr="00AD0741">
        <w:rPr>
          <w:sz w:val="20"/>
          <w:szCs w:val="20"/>
        </w:rPr>
        <w:t>P</w:t>
      </w:r>
      <w:r>
        <w:rPr>
          <w:sz w:val="20"/>
          <w:szCs w:val="20"/>
        </w:rPr>
        <w:t xml:space="preserve"> =</w:t>
      </w:r>
      <w:r w:rsidR="00F03898" w:rsidRPr="00AD0741">
        <w:rPr>
          <w:sz w:val="20"/>
          <w:szCs w:val="20"/>
        </w:rPr>
        <w:t xml:space="preserve"> Parent report</w:t>
      </w:r>
      <w:r>
        <w:rPr>
          <w:sz w:val="20"/>
          <w:szCs w:val="20"/>
        </w:rPr>
        <w:t xml:space="preserve">; </w:t>
      </w:r>
      <w:r w:rsidRPr="00B53D68">
        <w:rPr>
          <w:sz w:val="20"/>
          <w:szCs w:val="20"/>
        </w:rPr>
        <w:t>CBT = Cognitive-behavioral therapy; AC = Attention control; CI = Confidence Interval; p = p-value.</w:t>
      </w:r>
    </w:p>
    <w:p w:rsidR="00A71DBB" w:rsidRDefault="00B53D68">
      <w:bookmarkStart w:id="0" w:name="_GoBack"/>
      <w:bookmarkEnd w:id="0"/>
    </w:p>
    <w:sectPr w:rsidR="00A71DBB" w:rsidSect="00F038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8"/>
    <w:rsid w:val="00285BFF"/>
    <w:rsid w:val="00477D26"/>
    <w:rsid w:val="007B4DB6"/>
    <w:rsid w:val="00B37084"/>
    <w:rsid w:val="00B53D68"/>
    <w:rsid w:val="00F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D487-6032-49A8-9D64-B035FF3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898"/>
    <w:pPr>
      <w:spacing w:after="200" w:line="480" w:lineRule="auto"/>
    </w:pPr>
    <w:rPr>
      <w:rFonts w:ascii="Arial" w:eastAsia="Arial" w:hAnsi="Arial" w:cs="Aria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Warschburger</dc:creator>
  <cp:keywords/>
  <dc:description/>
  <cp:lastModifiedBy>ann-christin</cp:lastModifiedBy>
  <cp:revision>2</cp:revision>
  <dcterms:created xsi:type="dcterms:W3CDTF">2021-02-09T19:02:00Z</dcterms:created>
  <dcterms:modified xsi:type="dcterms:W3CDTF">2021-02-09T19:02:00Z</dcterms:modified>
</cp:coreProperties>
</file>