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A" w:rsidRPr="003927AA" w:rsidRDefault="003927AA" w:rsidP="00986D4B">
      <w:pPr>
        <w:widowControl/>
        <w:jc w:val="center"/>
        <w:rPr>
          <w:rFonts w:ascii="Times New Roman" w:eastAsia="等线" w:hAnsi="Times New Roman" w:cs="Times New Roman"/>
          <w:b/>
          <w:kern w:val="0"/>
          <w:sz w:val="20"/>
          <w:szCs w:val="20"/>
        </w:rPr>
      </w:pPr>
      <w:bookmarkStart w:id="0" w:name="OLE_LINK58"/>
      <w:bookmarkStart w:id="1" w:name="OLE_LINK59"/>
      <w:r w:rsidRPr="003927AA">
        <w:rPr>
          <w:rFonts w:ascii="Times New Roman" w:eastAsia="等线" w:hAnsi="Times New Roman" w:cs="Times New Roman"/>
          <w:b/>
          <w:kern w:val="0"/>
          <w:sz w:val="20"/>
          <w:szCs w:val="20"/>
        </w:rPr>
        <w:t xml:space="preserve"> Supplemental Digital Content </w:t>
      </w:r>
      <w:r w:rsidR="00CA22FB">
        <w:rPr>
          <w:rFonts w:ascii="Times New Roman" w:eastAsia="等线" w:hAnsi="Times New Roman" w:cs="Times New Roman"/>
          <w:b/>
          <w:kern w:val="0"/>
          <w:sz w:val="20"/>
          <w:szCs w:val="20"/>
        </w:rPr>
        <w:t>5</w:t>
      </w:r>
    </w:p>
    <w:bookmarkEnd w:id="0"/>
    <w:bookmarkEnd w:id="1"/>
    <w:p w:rsidR="003927AA" w:rsidRPr="00C1608C" w:rsidRDefault="00B0766F" w:rsidP="003927A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0766F" w:rsidRPr="00C1608C" w:rsidRDefault="00B0766F" w:rsidP="00B0766F">
      <w:pPr>
        <w:widowControl/>
        <w:jc w:val="left"/>
        <w:rPr>
          <w:rFonts w:ascii="Times New Roman" w:eastAsia="等线" w:hAnsi="Times New Roman" w:cs="Times New Roman"/>
          <w:kern w:val="0"/>
          <w:sz w:val="20"/>
          <w:szCs w:val="20"/>
        </w:rPr>
      </w:pPr>
      <w:bookmarkStart w:id="2" w:name="OLE_LINK396"/>
      <w:bookmarkStart w:id="3" w:name="OLE_LINK397"/>
      <w:bookmarkStart w:id="4" w:name="OLE_LINK398"/>
      <w:r w:rsidRPr="00C1608C">
        <w:rPr>
          <w:rFonts w:ascii="Times New Roman" w:eastAsia="等线" w:hAnsi="Times New Roman" w:cs="Times New Roman"/>
          <w:b/>
          <w:kern w:val="0"/>
          <w:sz w:val="20"/>
          <w:szCs w:val="20"/>
        </w:rPr>
        <w:t xml:space="preserve">Table S3. </w:t>
      </w:r>
      <w:bookmarkStart w:id="5" w:name="OLE_LINK154"/>
      <w:bookmarkStart w:id="6" w:name="OLE_LINK155"/>
      <w:bookmarkStart w:id="7" w:name="OLE_LINK156"/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>Associations of regular use of PPI with the risk of all-causes and specific-cause m</w:t>
      </w:r>
      <w:bookmarkStart w:id="8" w:name="OLE_LINK152"/>
      <w:bookmarkStart w:id="9" w:name="OLE_LINK153"/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ortality </w:t>
      </w:r>
      <w:r w:rsidRPr="00C1608C">
        <w:rPr>
          <w:rFonts w:ascii="Times New Roman" w:eastAsia="等线" w:hAnsi="Times New Roman" w:cs="Times New Roman" w:hint="eastAsia"/>
          <w:kern w:val="0"/>
          <w:sz w:val="20"/>
          <w:szCs w:val="20"/>
        </w:rPr>
        <w:t>in</w:t>
      </w:r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  <w:r w:rsidRPr="00C1608C">
        <w:rPr>
          <w:rFonts w:ascii="Times New Roman" w:eastAsia="等线" w:hAnsi="Times New Roman" w:cs="Times New Roman" w:hint="eastAsia"/>
          <w:kern w:val="0"/>
          <w:sz w:val="20"/>
          <w:szCs w:val="20"/>
        </w:rPr>
        <w:t>participants</w:t>
      </w:r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  <w:r w:rsidRPr="00C1608C">
        <w:rPr>
          <w:rFonts w:ascii="Times New Roman" w:eastAsia="等线" w:hAnsi="Times New Roman" w:cs="Times New Roman" w:hint="eastAsia"/>
          <w:kern w:val="0"/>
          <w:sz w:val="20"/>
          <w:szCs w:val="20"/>
        </w:rPr>
        <w:t>with</w:t>
      </w:r>
      <w:bookmarkStart w:id="10" w:name="OLE_LINK127"/>
      <w:bookmarkStart w:id="11" w:name="OLE_LINK126"/>
      <w:bookmarkStart w:id="12" w:name="OLE_LINK125"/>
      <w:r w:rsidR="002B4453">
        <w:rPr>
          <w:rFonts w:ascii="Times New Roman" w:eastAsia="等线" w:hAnsi="Times New Roman" w:cs="Times New Roman"/>
          <w:kern w:val="0"/>
          <w:sz w:val="20"/>
          <w:szCs w:val="20"/>
        </w:rPr>
        <w:t xml:space="preserve"> </w:t>
      </w:r>
      <w:r w:rsidR="002B4453" w:rsidRPr="00A9603C">
        <w:rPr>
          <w:rFonts w:ascii="Times New Roman" w:eastAsia="等线" w:hAnsi="Times New Roman" w:cs="Times New Roman"/>
          <w:kern w:val="0"/>
          <w:sz w:val="20"/>
          <w:szCs w:val="20"/>
        </w:rPr>
        <w:t>gastroesophageal reflux disease</w:t>
      </w:r>
      <w:bookmarkEnd w:id="10"/>
      <w:bookmarkEnd w:id="11"/>
      <w:bookmarkEnd w:id="12"/>
      <w:r w:rsidR="002B4453" w:rsidRPr="00A9603C">
        <w:rPr>
          <w:rFonts w:ascii="Times New Roman" w:eastAsia="等线" w:hAnsi="Times New Roman" w:cs="Times New Roman"/>
          <w:kern w:val="0"/>
          <w:sz w:val="20"/>
          <w:szCs w:val="20"/>
        </w:rPr>
        <w:t>.</w:t>
      </w:r>
      <w:bookmarkEnd w:id="5"/>
      <w:bookmarkEnd w:id="6"/>
      <w:bookmarkEnd w:id="7"/>
      <w:bookmarkEnd w:id="8"/>
      <w:bookmarkEnd w:id="9"/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3582"/>
        <w:gridCol w:w="753"/>
        <w:gridCol w:w="876"/>
        <w:gridCol w:w="1206"/>
        <w:gridCol w:w="2432"/>
        <w:gridCol w:w="1701"/>
        <w:gridCol w:w="1657"/>
        <w:gridCol w:w="1935"/>
      </w:tblGrid>
      <w:tr w:rsidR="00B0766F" w:rsidRPr="00C1608C" w:rsidTr="002B4453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Cause of death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Cases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Person-years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Incidence rate </w:t>
            </w: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Hazard Ratio [95% Confidence Interval]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0766F" w:rsidRPr="00C1608C" w:rsidTr="002B4453">
        <w:trPr>
          <w:trHeight w:val="525"/>
        </w:trPr>
        <w:tc>
          <w:tcPr>
            <w:tcW w:w="3582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Age, gender and indication-stratified 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1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2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3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All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456.8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</w:t>
            </w:r>
            <w:bookmarkStart w:id="13" w:name="_GoBack"/>
            <w:bookmarkEnd w:id="13"/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633.9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1.24 [1.06,1.45]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1.21 [1.04,1.42]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1.17 [0.99,1.38]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1.12 [0.95,1.33]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Neoplasms (C00-D49)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237.8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313.7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1.16 [0.93,1.44]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1.13 [0.91,1.41]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1.14 [0.90,1.43]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1.13 [0.90,1.43]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Circulatory system diseases (I00-I99)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126.3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1.13 [0.81,1.59]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1.07 [0.77,1.50]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0.98 [0.69,1.40]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0.92 [0.64,1.31]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Respiratory system diseases (J00-J99)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1.48 [0.86,2.55]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1.54 [0.89,2.67]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1.53 [0.85,2.74]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1.35 [0.75,2.44]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Digestive system diseases (K00-K99)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1.63 [0.83,3.20]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1.68 [0.85,3.32]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1.26 [0.61,2.61]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1.19 [0.57,2.48]</w:t>
            </w:r>
          </w:p>
        </w:tc>
      </w:tr>
      <w:tr w:rsidR="00B0766F" w:rsidRPr="00C1608C" w:rsidTr="002B4453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External causes (V00-Y99)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1.32 [0.55,3.19]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1.25 [0.51,3.04]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1.57 [0.59,4.15]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1.64 [0.61,4.37]</w:t>
            </w:r>
          </w:p>
        </w:tc>
      </w:tr>
      <w:tr w:rsidR="00B0766F" w:rsidRPr="00C1608C" w:rsidTr="002B4453">
        <w:trPr>
          <w:trHeight w:val="5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Other causes (A00-B99, D55-H99,</w:t>
            </w: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  <w:t>L00-R99, U00-U49)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66F" w:rsidRPr="00C1608C" w:rsidTr="002B445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47,509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B0766F" w:rsidRPr="00C1608C" w:rsidTr="002B4453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2B44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93,395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72.8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1.49 [0.91,2.43]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1.45 [0.89,2.38]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1.30 [0.78,2.17]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766F" w:rsidRPr="00C1608C" w:rsidRDefault="00B0766F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1.18 [0.71,1.97]</w:t>
            </w:r>
          </w:p>
        </w:tc>
      </w:tr>
    </w:tbl>
    <w:p w:rsidR="00B0766F" w:rsidRPr="00C1608C" w:rsidRDefault="00B0766F" w:rsidP="00B0766F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1608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*</w:t>
      </w:r>
      <w:r w:rsidRPr="00C1608C">
        <w:rPr>
          <w:rFonts w:ascii="Times New Roman" w:eastAsia="宋体" w:hAnsi="Times New Roman" w:cs="Times New Roman"/>
          <w:kern w:val="0"/>
          <w:sz w:val="20"/>
          <w:szCs w:val="20"/>
        </w:rPr>
        <w:t xml:space="preserve"> Per 100 000 person years.</w:t>
      </w:r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†</w:t>
      </w:r>
      <w:r w:rsidRPr="00C1608C">
        <w:rPr>
          <w:rFonts w:ascii="Times New Roman" w:hAnsi="Times New Roman" w:cs="Times New Roman"/>
          <w:sz w:val="20"/>
          <w:szCs w:val="20"/>
        </w:rPr>
        <w:t xml:space="preserve"> Multivariable adjusted model 1: additionally adjusted for ethnicity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white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 socioeconomic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index of multiple deprivation</w:t>
      </w:r>
      <w:r w:rsidRPr="00C1608C">
        <w:rPr>
          <w:rFonts w:ascii="Times New Roman" w:hAnsi="Times New Roman" w:cs="Times New Roman"/>
          <w:sz w:val="20"/>
          <w:szCs w:val="20"/>
        </w:rPr>
        <w:t>, fifth), education level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college or university degree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),smoking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previous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current smoker</w:t>
      </w:r>
      <w:r w:rsidRPr="00C1608C">
        <w:rPr>
          <w:rFonts w:ascii="Times New Roman" w:hAnsi="Times New Roman" w:cs="Times New Roman"/>
          <w:sz w:val="20"/>
          <w:szCs w:val="20"/>
        </w:rPr>
        <w:t>), alcohol consumption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daily or almost daily</w:t>
      </w:r>
      <w:r w:rsidRPr="00C1608C">
        <w:rPr>
          <w:rFonts w:ascii="Times New Roman" w:hAnsi="Times New Roman" w:cs="Times New Roman"/>
          <w:sz w:val="20"/>
          <w:szCs w:val="20"/>
        </w:rPr>
        <w:t>,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 xml:space="preserve"> one to four times a week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one to three times a month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special occasions only or never</w:t>
      </w:r>
      <w:r w:rsidRPr="00C1608C">
        <w:rPr>
          <w:rFonts w:ascii="Times New Roman" w:hAnsi="Times New Roman" w:cs="Times New Roman"/>
          <w:sz w:val="20"/>
          <w:szCs w:val="20"/>
        </w:rPr>
        <w:t>), physical activity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low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moderate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high</w:t>
      </w:r>
      <w:r w:rsidRPr="00C1608C">
        <w:rPr>
          <w:rFonts w:ascii="Times New Roman" w:hAnsi="Times New Roman" w:cs="Times New Roman"/>
          <w:sz w:val="20"/>
          <w:szCs w:val="20"/>
        </w:rPr>
        <w:t>), fruit and vegetable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≥5 portions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&lt;5 portions</w:t>
      </w:r>
      <w:r w:rsidRPr="00C1608C">
        <w:rPr>
          <w:rFonts w:ascii="Times New Roman" w:hAnsi="Times New Roman" w:cs="Times New Roman"/>
          <w:sz w:val="20"/>
          <w:szCs w:val="20"/>
        </w:rPr>
        <w:t>), salt added to food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or rarely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sometimes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usually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always</w:t>
      </w:r>
      <w:r w:rsidRPr="00C1608C">
        <w:rPr>
          <w:rFonts w:ascii="Times New Roman" w:hAnsi="Times New Roman" w:cs="Times New Roman"/>
          <w:sz w:val="20"/>
          <w:szCs w:val="20"/>
        </w:rPr>
        <w:t>), BMI, sleep time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to 9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&gt;9 hours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C1608C">
        <w:rPr>
          <w:rFonts w:ascii="Times New Roman" w:hAnsi="Times New Roman" w:cs="Times New Roman"/>
          <w:sz w:val="20"/>
          <w:szCs w:val="20"/>
        </w:rPr>
        <w:t xml:space="preserve"> Multivariable adjusted model 2: additionally adjusted for hypercholesterolemia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hypertension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diabetes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mental health disorders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COPD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asthma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atrial fibrillation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inflammatory bowel disease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cholelithiasis</w:t>
      </w:r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rheumatoid arthritis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renal failure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gastritis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liver disease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anaemia</w:t>
      </w:r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multivitamin use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mineral supplements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and medications use, including aspirin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non-aspirin NSAIDs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acetaminophen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angiotensin-converting enzyme inhibitors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 receptor blocker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beta-blockers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calcium channel 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thiazide diuretics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statin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metformin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insulin treatment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t xml:space="preserve">¶ </w:t>
      </w:r>
      <w:r w:rsidRPr="00C1608C">
        <w:rPr>
          <w:rFonts w:ascii="Times New Roman" w:hAnsi="Times New Roman" w:cs="Times New Roman"/>
          <w:sz w:val="20"/>
          <w:szCs w:val="20"/>
        </w:rPr>
        <w:t>Multivariable adjusted model 3: additionally adjusted for general health indicator variables, including overall health rating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poor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fair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good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excellent</w:t>
      </w:r>
      <w:r w:rsidRPr="00C1608C">
        <w:rPr>
          <w:rFonts w:ascii="Times New Roman" w:hAnsi="Times New Roman" w:cs="Times New Roman"/>
          <w:sz w:val="20"/>
          <w:szCs w:val="20"/>
        </w:rPr>
        <w:t>) and longstanding illness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</w:p>
    <w:p w:rsidR="002B4453" w:rsidRDefault="002B4453" w:rsidP="002B445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Abbreviation: PPI, proton pump inhibitor.</w:t>
      </w:r>
    </w:p>
    <w:p w:rsidR="00B0766F" w:rsidRPr="002B4453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bookmarkEnd w:id="2"/>
    <w:bookmarkEnd w:id="3"/>
    <w:bookmarkEnd w:id="4"/>
    <w:p w:rsidR="00B0766F" w:rsidRPr="00B0766F" w:rsidRDefault="00B0766F" w:rsidP="00B0766F">
      <w:pPr>
        <w:widowControl/>
        <w:jc w:val="left"/>
        <w:rPr>
          <w:rFonts w:ascii="Arial" w:hAnsi="Arial" w:cs="Arial"/>
          <w:color w:val="333333"/>
          <w:shd w:val="clear" w:color="auto" w:fill="FFFFFF"/>
        </w:rPr>
      </w:pPr>
    </w:p>
    <w:p w:rsidR="00B0766F" w:rsidRPr="00C1608C" w:rsidRDefault="00B0766F" w:rsidP="00B0766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72467C" w:rsidRPr="003927AA" w:rsidRDefault="0072467C"/>
    <w:sectPr w:rsidR="0072467C" w:rsidRPr="003927AA" w:rsidSect="00B0766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C"/>
    <w:rsid w:val="001D3791"/>
    <w:rsid w:val="002B4453"/>
    <w:rsid w:val="003927AA"/>
    <w:rsid w:val="0072467C"/>
    <w:rsid w:val="008A1195"/>
    <w:rsid w:val="00986D4B"/>
    <w:rsid w:val="00A9603C"/>
    <w:rsid w:val="00B0766F"/>
    <w:rsid w:val="00CA22FB"/>
    <w:rsid w:val="00F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135F-4298-4322-A179-6313957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7A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2021-04-20T01:04:00Z</dcterms:created>
  <dcterms:modified xsi:type="dcterms:W3CDTF">2021-04-21T01:01:00Z</dcterms:modified>
</cp:coreProperties>
</file>