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47" w:rsidRDefault="00462E47" w:rsidP="00462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 2A. Results of risk of bias assessment for cohort studies </w:t>
      </w:r>
    </w:p>
    <w:tbl>
      <w:tblPr>
        <w:tblStyle w:val="a5"/>
        <w:tblW w:w="1215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942"/>
        <w:gridCol w:w="709"/>
        <w:gridCol w:w="850"/>
        <w:gridCol w:w="992"/>
        <w:gridCol w:w="993"/>
        <w:gridCol w:w="1702"/>
        <w:gridCol w:w="983"/>
        <w:gridCol w:w="1085"/>
        <w:gridCol w:w="1192"/>
        <w:gridCol w:w="1702"/>
      </w:tblGrid>
      <w:tr w:rsidR="00462E47" w:rsidTr="00BC1256">
        <w:trPr>
          <w:trHeight w:val="278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Selection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Comparability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Outcome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Risk of bias</w:t>
            </w:r>
          </w:p>
        </w:tc>
      </w:tr>
      <w:tr w:rsidR="00462E47" w:rsidTr="00BC1256">
        <w:trPr>
          <w:trHeight w:val="401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E47" w:rsidTr="00BC1256">
        <w:trPr>
          <w:trHeight w:val="278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Moore, 2004</w:t>
            </w:r>
            <w:r>
              <w:rPr>
                <w:rFonts w:ascii="Times New Roman" w:hAnsi="Times New Roman" w:cs="Times New Roman"/>
                <w:vertAlign w:val="superscript"/>
              </w:rPr>
              <w:t>[32]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</w:tr>
      <w:tr w:rsidR="00462E47" w:rsidTr="00BC1256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Kantor, 2016</w:t>
            </w:r>
            <w:r>
              <w:rPr>
                <w:rFonts w:ascii="Times New Roman" w:hAnsi="Times New Roman" w:cs="Times New Roman"/>
                <w:vertAlign w:val="superscript"/>
              </w:rPr>
              <w:t>[35]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</w:tr>
      <w:tr w:rsidR="00462E47" w:rsidTr="00BC1256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Levi, 2017</w:t>
            </w:r>
            <w:r>
              <w:rPr>
                <w:rFonts w:ascii="Times New Roman" w:hAnsi="Times New Roman" w:cs="Times New Roman"/>
                <w:vertAlign w:val="superscript"/>
              </w:rPr>
              <w:t>[36]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</w:tr>
      <w:tr w:rsidR="00462E47" w:rsidTr="00BC1256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Glover, 2019</w:t>
            </w:r>
            <w:r>
              <w:rPr>
                <w:rFonts w:ascii="Times New Roman" w:hAnsi="Times New Roman" w:cs="Times New Roman"/>
                <w:vertAlign w:val="superscript"/>
              </w:rPr>
              <w:t>[37],d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</w:tr>
      <w:tr w:rsidR="00462E47" w:rsidTr="00BC1256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Liu, 2019</w:t>
            </w:r>
            <w:r>
              <w:rPr>
                <w:rFonts w:ascii="Times New Roman" w:hAnsi="Times New Roman" w:cs="Times New Roman"/>
                <w:vertAlign w:val="superscript"/>
              </w:rPr>
              <w:t>[38]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</w:tr>
      <w:tr w:rsidR="00462E47" w:rsidTr="00BC1256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Syed, 2019</w:t>
            </w:r>
            <w:r>
              <w:rPr>
                <w:rFonts w:ascii="Times New Roman" w:hAnsi="Times New Roman" w:cs="Times New Roman"/>
                <w:vertAlign w:val="superscript"/>
              </w:rPr>
              <w:t>[39],d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</w:tr>
      <w:tr w:rsidR="00462E47" w:rsidTr="00BC1256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Dash, 2020</w:t>
            </w:r>
            <w:r>
              <w:rPr>
                <w:rFonts w:ascii="Times New Roman" w:hAnsi="Times New Roman" w:cs="Times New Roman"/>
                <w:vertAlign w:val="superscript"/>
              </w:rPr>
              <w:t>[40]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</w:tr>
      <w:tr w:rsidR="00462E47" w:rsidTr="00BC1256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Elangovan,2020</w:t>
            </w:r>
            <w:r>
              <w:rPr>
                <w:rFonts w:ascii="Times New Roman" w:hAnsi="Times New Roman" w:cs="Times New Roman"/>
                <w:vertAlign w:val="superscript"/>
              </w:rPr>
              <w:t>[41]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</w:tr>
    </w:tbl>
    <w:p w:rsidR="00462E47" w:rsidRDefault="00462E47" w:rsidP="00462E47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Abbreviations:</w:t>
      </w:r>
      <w:r>
        <w:rPr>
          <w:rFonts w:ascii="Times New Roman" w:hAnsi="Times New Roman" w:cs="Times New Roman"/>
          <w:bCs/>
          <w:sz w:val="20"/>
          <w:szCs w:val="20"/>
        </w:rPr>
        <w:t xml:space="preserve"> SL: Selection; CP: Comparability; OC: Outcome. NA: Not applicable.</w:t>
      </w:r>
    </w:p>
    <w:p w:rsidR="00462E47" w:rsidRDefault="00462E47" w:rsidP="00462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>SL1: Representativeness of the exposed cohort; SL2: Selection of the non-exposed cohort; SL3: Ascertainment of exposure; SL4: Low risk of reverse causality.</w:t>
      </w:r>
    </w:p>
    <w:p w:rsidR="00462E47" w:rsidRDefault="00462E47" w:rsidP="00462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>CP: Comparability of cohorts.</w:t>
      </w:r>
    </w:p>
    <w:p w:rsidR="00462E47" w:rsidRDefault="00462E47" w:rsidP="00462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c </w:t>
      </w:r>
      <w:r>
        <w:rPr>
          <w:rFonts w:ascii="Times New Roman" w:hAnsi="Times New Roman" w:cs="Times New Roman"/>
        </w:rPr>
        <w:t>OC1: Assessment of outcome; OC2: Adequate follow up length; OC3: Adequate follow up response (80%).</w:t>
      </w:r>
    </w:p>
    <w:p w:rsidR="00462E47" w:rsidRDefault="00462E47" w:rsidP="00462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d </w:t>
      </w:r>
      <w:r>
        <w:rPr>
          <w:rFonts w:ascii="Times New Roman" w:hAnsi="Times New Roman" w:cs="Times New Roman"/>
        </w:rPr>
        <w:t xml:space="preserve">A nested case-control study (OC2 and OC3 criteria are </w:t>
      </w:r>
      <w:r>
        <w:rPr>
          <w:rFonts w:ascii="Times New Roman" w:hAnsi="Times New Roman" w:cs="Times New Roman"/>
        </w:rPr>
        <w:t>not applicable (NA) to these three</w:t>
      </w:r>
      <w:r>
        <w:rPr>
          <w:rFonts w:ascii="Times New Roman" w:hAnsi="Times New Roman" w:cs="Times New Roman"/>
        </w:rPr>
        <w:t xml:space="preserve"> studies).</w:t>
      </w:r>
      <w:bookmarkStart w:id="0" w:name="_GoBack"/>
      <w:bookmarkEnd w:id="0"/>
    </w:p>
    <w:p w:rsidR="00462E47" w:rsidRDefault="00462E47" w:rsidP="00462E47">
      <w:pPr>
        <w:rPr>
          <w:rFonts w:ascii="Times New Roman" w:hAnsi="Times New Roman" w:cs="Times New Roman"/>
        </w:rPr>
      </w:pPr>
    </w:p>
    <w:p w:rsidR="00462E47" w:rsidRDefault="00462E47" w:rsidP="00462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 2B. Results of risk of bias assessment for case-control studies</w:t>
      </w:r>
    </w:p>
    <w:tbl>
      <w:tblPr>
        <w:tblStyle w:val="a5"/>
        <w:tblW w:w="1200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654"/>
        <w:gridCol w:w="747"/>
        <w:gridCol w:w="992"/>
        <w:gridCol w:w="991"/>
        <w:gridCol w:w="992"/>
        <w:gridCol w:w="1704"/>
        <w:gridCol w:w="1085"/>
        <w:gridCol w:w="1143"/>
        <w:gridCol w:w="1028"/>
        <w:gridCol w:w="1664"/>
      </w:tblGrid>
      <w:tr w:rsidR="00462E47" w:rsidTr="00BC1256">
        <w:trPr>
          <w:trHeight w:val="278"/>
        </w:trPr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Selection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Comparability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Exposure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Risk of bias</w:t>
            </w:r>
          </w:p>
        </w:tc>
      </w:tr>
      <w:tr w:rsidR="00462E47" w:rsidTr="00BC1256">
        <w:trPr>
          <w:trHeight w:val="401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E47" w:rsidRDefault="00462E47" w:rsidP="00BC12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E47" w:rsidTr="00BC1256">
        <w:trPr>
          <w:trHeight w:val="278"/>
        </w:trPr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Caan, 1998</w:t>
            </w:r>
            <w:r>
              <w:rPr>
                <w:rFonts w:ascii="Times New Roman" w:hAnsi="Times New Roman" w:cs="Times New Roman"/>
                <w:vertAlign w:val="superscript"/>
              </w:rPr>
              <w:t>[30]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tabs>
                <w:tab w:val="left" w:pos="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</w:tr>
      <w:tr w:rsidR="00462E47" w:rsidTr="00BC1256">
        <w:trPr>
          <w:trHeight w:val="278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Russo, 1998</w:t>
            </w:r>
            <w:r>
              <w:rPr>
                <w:rFonts w:ascii="Times New Roman" w:hAnsi="Times New Roman" w:cs="Times New Roman"/>
                <w:vertAlign w:val="superscript"/>
              </w:rPr>
              <w:t>[31]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</w:tr>
      <w:tr w:rsidR="00462E47" w:rsidTr="00BC1256">
        <w:trPr>
          <w:trHeight w:val="278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Hou, 2006</w:t>
            </w:r>
            <w:r>
              <w:rPr>
                <w:rFonts w:ascii="Times New Roman" w:hAnsi="Times New Roman" w:cs="Times New Roman"/>
                <w:vertAlign w:val="superscript"/>
              </w:rPr>
              <w:t>[33]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</w:tr>
      <w:tr w:rsidR="00462E47" w:rsidTr="00BC1256">
        <w:trPr>
          <w:trHeight w:val="278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Rosato, 2013</w:t>
            </w:r>
            <w:r>
              <w:rPr>
                <w:rFonts w:ascii="Times New Roman" w:hAnsi="Times New Roman" w:cs="Times New Roman"/>
                <w:vertAlign w:val="superscript"/>
              </w:rPr>
              <w:t>[34]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Low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Unclear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E47" w:rsidRDefault="00462E47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</w:tr>
    </w:tbl>
    <w:p w:rsidR="00462E47" w:rsidRDefault="00462E47" w:rsidP="00462E47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Abbreviations:</w:t>
      </w:r>
      <w:r>
        <w:rPr>
          <w:rFonts w:ascii="Times New Roman" w:hAnsi="Times New Roman" w:cs="Times New Roman"/>
          <w:bCs/>
          <w:sz w:val="20"/>
          <w:szCs w:val="20"/>
        </w:rPr>
        <w:t xml:space="preserve"> SL: Selection; CP: Comparability; EP: Exposure; NA: Not applicable.</w:t>
      </w:r>
    </w:p>
    <w:p w:rsidR="00462E47" w:rsidRDefault="00462E47" w:rsidP="00462E4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a </w:t>
      </w:r>
      <w:r>
        <w:rPr>
          <w:rFonts w:ascii="Times New Roman" w:hAnsi="Times New Roman" w:cs="Times New Roman"/>
          <w:sz w:val="20"/>
        </w:rPr>
        <w:t>SL1: Adequate definition of cases; SL2: Representativeness of the cases; SL3: Selection of controls; SL4: Definition of controls.</w:t>
      </w:r>
    </w:p>
    <w:p w:rsidR="00462E47" w:rsidRDefault="00462E47" w:rsidP="00462E4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b </w:t>
      </w:r>
      <w:r>
        <w:rPr>
          <w:rFonts w:ascii="Times New Roman" w:hAnsi="Times New Roman" w:cs="Times New Roman"/>
          <w:sz w:val="20"/>
        </w:rPr>
        <w:t>CP: Control or adjustment for important factors.</w:t>
      </w:r>
    </w:p>
    <w:p w:rsidR="001904C0" w:rsidRPr="00462E47" w:rsidRDefault="00462E47">
      <w:pPr>
        <w:rPr>
          <w:rFonts w:hint="eastAsia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c </w:t>
      </w:r>
      <w:r>
        <w:rPr>
          <w:rFonts w:ascii="Times New Roman" w:hAnsi="Times New Roman" w:cs="Times New Roman"/>
          <w:sz w:val="20"/>
        </w:rPr>
        <w:t>EP1: Ascertainment of exposure; EP2: Same method of ascertainment for cases and controls; EP3: Non-response rate</w:t>
      </w:r>
      <w:r>
        <w:rPr>
          <w:rFonts w:hint="eastAsia"/>
        </w:rPr>
        <w:t>.</w:t>
      </w:r>
    </w:p>
    <w:sectPr w:rsidR="001904C0" w:rsidRPr="00462E47" w:rsidSect="00B42EBF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A4" w:rsidRDefault="00293FA4" w:rsidP="00462E47">
      <w:r>
        <w:separator/>
      </w:r>
    </w:p>
  </w:endnote>
  <w:endnote w:type="continuationSeparator" w:id="0">
    <w:p w:rsidR="00293FA4" w:rsidRDefault="00293FA4" w:rsidP="0046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A4" w:rsidRDefault="00293FA4" w:rsidP="00462E47">
      <w:r>
        <w:separator/>
      </w:r>
    </w:p>
  </w:footnote>
  <w:footnote w:type="continuationSeparator" w:id="0">
    <w:p w:rsidR="00293FA4" w:rsidRDefault="00293FA4" w:rsidP="0046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36"/>
    <w:rsid w:val="001904C0"/>
    <w:rsid w:val="00293FA4"/>
    <w:rsid w:val="00462E47"/>
    <w:rsid w:val="00C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7685C-1C3B-46C6-A896-C213A04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E47"/>
    <w:rPr>
      <w:sz w:val="18"/>
      <w:szCs w:val="18"/>
    </w:rPr>
  </w:style>
  <w:style w:type="table" w:styleId="a5">
    <w:name w:val="Table Grid"/>
    <w:basedOn w:val="a1"/>
    <w:uiPriority w:val="39"/>
    <w:rsid w:val="0046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Hengjing.YangLi</dc:creator>
  <cp:keywords/>
  <dc:description/>
  <cp:lastModifiedBy>Hengjing.YangLi</cp:lastModifiedBy>
  <cp:revision>2</cp:revision>
  <dcterms:created xsi:type="dcterms:W3CDTF">2021-05-10T05:10:00Z</dcterms:created>
  <dcterms:modified xsi:type="dcterms:W3CDTF">2021-05-10T05:15:00Z</dcterms:modified>
</cp:coreProperties>
</file>