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Supplemental Figure</w:t>
      </w:r>
    </w:p>
    <w:p>
      <w:pPr>
        <w:pStyle w:val="Normal"/>
        <w:spacing w:lineRule="auto" w:line="480"/>
        <w:rPr>
          <w:rFonts w:ascii="Arial" w:hAnsi="Arial" w:cs="Arial"/>
          <w:sz w:val="24"/>
        </w:rPr>
      </w:pPr>
      <w:r>
        <w:rPr>
          <w:rFonts w:cs="Arial" w:ascii="Arial" w:hAnsi="Arial"/>
          <w:b/>
          <w:sz w:val="24"/>
        </w:rPr>
        <w:t xml:space="preserve">Figure S1. Flow of patients.  </w:t>
      </w:r>
      <w:r>
        <w:rPr>
          <w:rFonts w:cs="Arial" w:ascii="Arial" w:hAnsi="Arial"/>
          <w:sz w:val="24"/>
        </w:rPr>
        <w:t>Flow of patients for study inclusion.  FLIP – functional luminal imaging probe.  HRM – high-resolution manometry.  TBE – timed barium esophagram.</w:t>
      </w:r>
    </w:p>
    <w:p>
      <w:pPr>
        <w:pStyle w:val="Normal"/>
        <w:spacing w:lineRule="auto" w:line="480"/>
        <w:ind w:left="-900" w:hanging="0"/>
        <w:rPr>
          <w:rFonts w:ascii="Arial" w:hAnsi="Arial" w:cs="Arial"/>
          <w:sz w:val="24"/>
        </w:rPr>
      </w:pPr>
      <w:r>
        <w:rPr/>
        <w:drawing>
          <wp:inline distT="0" distB="0" distL="0" distR="0">
            <wp:extent cx="7207250" cy="527685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  <w:r>
        <w:br w:type="page"/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Supplemental Table</w:t>
      </w:r>
    </w:p>
    <w:p>
      <w:pPr>
        <w:pStyle w:val="Normal"/>
        <w:spacing w:lineRule="auto" w:line="480" w:before="0" w:after="0"/>
        <w:rPr>
          <w:rFonts w:ascii="Arial" w:hAnsi="Arial" w:cs="Arial"/>
          <w:bCs/>
          <w:sz w:val="24"/>
        </w:rPr>
      </w:pPr>
      <w:r>
        <w:rPr>
          <w:rFonts w:cs="Arial" w:ascii="Arial" w:hAnsi="Arial"/>
          <w:b/>
          <w:bCs/>
          <w:sz w:val="24"/>
        </w:rPr>
        <w:t>Table S1. Binary logistic regression for prediction of timed barium esophagram column height &gt;5 cm at 5-minutes. S1A</w:t>
      </w:r>
      <w:r>
        <w:rPr>
          <w:rFonts w:cs="Arial" w:ascii="Arial" w:hAnsi="Arial"/>
          <w:bCs/>
          <w:sz w:val="24"/>
        </w:rPr>
        <w:t xml:space="preserve"> reflects the binary logistic regression model that included the entire cohort (n=329). </w:t>
      </w:r>
      <w:r>
        <w:rPr>
          <w:rFonts w:cs="Arial" w:ascii="Arial" w:hAnsi="Arial"/>
          <w:b/>
          <w:bCs/>
          <w:sz w:val="24"/>
        </w:rPr>
        <w:t>S1B</w:t>
      </w:r>
      <w:r>
        <w:rPr>
          <w:rFonts w:cs="Arial" w:ascii="Arial" w:hAnsi="Arial"/>
          <w:bCs/>
          <w:sz w:val="24"/>
        </w:rPr>
        <w:t xml:space="preserve"> reflects the subgroup analysis that omitted patients with achalasia or absent contractility on high-resolution manometry (n=186); 24/186 (13%) met the threshold for an abnormal TBE.  </w:t>
      </w:r>
      <w:r>
        <w:rPr>
          <w:rFonts w:cs="Arial" w:ascii="Arial" w:hAnsi="Arial"/>
          <w:bCs/>
          <w:sz w:val="24"/>
          <w:vertAlign w:val="superscript"/>
        </w:rPr>
        <w:t>a</w:t>
      </w:r>
      <w:r>
        <w:rPr>
          <w:rFonts w:cs="Arial" w:ascii="Arial" w:hAnsi="Arial"/>
          <w:bCs/>
          <w:sz w:val="24"/>
        </w:rPr>
        <w:t>Defined by type II or type III EGJ-morphology on high-resolution manometry.</w:t>
      </w:r>
      <w:r>
        <w:rPr>
          <w:rFonts w:cs="Arial" w:ascii="Arial" w:hAnsi="Arial"/>
          <w:bCs/>
          <w:sz w:val="24"/>
          <w:vertAlign w:val="superscript"/>
        </w:rPr>
        <w:t>4</w:t>
      </w:r>
      <w:r>
        <w:rPr>
          <w:rFonts w:cs="Arial" w:ascii="Arial" w:hAnsi="Arial"/>
          <w:bCs/>
          <w:sz w:val="24"/>
        </w:rPr>
        <w:t xml:space="preserve"> SE – standard error.  OR – odds ratio.  IRP – integrated relaxation pressure. EGJ – esophagogastric junction</w:t>
      </w:r>
    </w:p>
    <w:tbl>
      <w:tblPr>
        <w:tblStyle w:val="TableGrid"/>
        <w:tblW w:w="10512" w:type="dxa"/>
        <w:jc w:val="left"/>
        <w:tblInd w:w="-45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31"/>
        <w:gridCol w:w="1439"/>
        <w:gridCol w:w="1439"/>
        <w:gridCol w:w="2159"/>
        <w:gridCol w:w="1444"/>
      </w:tblGrid>
      <w:tr>
        <w:trPr>
          <w:trHeight w:val="20" w:hRule="atLeast"/>
        </w:trPr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S1A – Total Cohort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20" w:hRule="atLeast"/>
        </w:trPr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B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SE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OR (95% CI)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P</w:t>
            </w:r>
          </w:p>
        </w:tc>
      </w:tr>
      <w:tr>
        <w:trPr>
          <w:trHeight w:val="20" w:hRule="atLeast"/>
        </w:trPr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Age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-0.16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0.01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0.99 (0.97-1.0)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0.093</w:t>
            </w:r>
          </w:p>
        </w:tc>
      </w:tr>
      <w:tr>
        <w:trPr>
          <w:trHeight w:val="20" w:hRule="atLeast"/>
        </w:trPr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Female Gender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-0.56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0.30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0.57 (0.32-1.0)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0.061</w:t>
            </w:r>
          </w:p>
        </w:tc>
      </w:tr>
      <w:tr>
        <w:trPr>
          <w:trHeight w:val="20" w:hRule="atLeast"/>
        </w:trPr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vertAlign w:val="superscript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Hiatal hernia present</w:t>
            </w:r>
            <w:r>
              <w:rPr>
                <w:rFonts w:cs="Arial" w:ascii="Arial" w:hAnsi="Arial"/>
                <w:b/>
                <w:bCs/>
                <w:sz w:val="24"/>
                <w:vertAlign w:val="superscript"/>
              </w:rPr>
              <w:t>a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1.2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0.44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3.2 (1.3-7.5)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0.009</w:t>
            </w:r>
          </w:p>
        </w:tc>
      </w:tr>
      <w:tr>
        <w:trPr>
          <w:trHeight w:val="20" w:hRule="atLeast"/>
        </w:trPr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IRP classification (normal IRP)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--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0.051</w:t>
            </w:r>
          </w:p>
        </w:tc>
      </w:tr>
      <w:tr>
        <w:trPr>
          <w:trHeight w:val="20" w:hRule="atLeast"/>
        </w:trPr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Isolated IRP elevation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0.10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0.52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1.1 (0.40-3.1)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0.850</w:t>
            </w:r>
          </w:p>
        </w:tc>
      </w:tr>
      <w:tr>
        <w:trPr>
          <w:trHeight w:val="20" w:hRule="atLeast"/>
        </w:trPr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Consistent IRP elevation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0.84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0.43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2.3 (0.99-5.4)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0.051</w:t>
            </w:r>
          </w:p>
        </w:tc>
      </w:tr>
      <w:tr>
        <w:trPr>
          <w:trHeight w:val="20" w:hRule="atLeast"/>
        </w:trPr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FLIP-EGJ (Normal EGJ opening)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--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&lt;0.001</w:t>
            </w:r>
          </w:p>
        </w:tc>
      </w:tr>
      <w:tr>
        <w:trPr>
          <w:trHeight w:val="20" w:hRule="atLeast"/>
        </w:trPr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Borderline-normal EGJ opening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0.83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0.76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2.3 (0.52-10.0)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0.274</w:t>
            </w:r>
          </w:p>
        </w:tc>
      </w:tr>
      <w:tr>
        <w:trPr>
          <w:trHeight w:val="20" w:hRule="atLeast"/>
        </w:trPr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Borderline-reduced EGJ opening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2.5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0.63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11.9 (3.5-41.0)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&lt;0.001</w:t>
            </w:r>
          </w:p>
        </w:tc>
      </w:tr>
      <w:tr>
        <w:trPr>
          <w:trHeight w:val="20" w:hRule="atLeast"/>
        </w:trPr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Reduced EGJ opening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3.3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0.57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28.1 (9.1-86.7)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&lt;0.001</w:t>
            </w:r>
          </w:p>
        </w:tc>
      </w:tr>
      <w:tr>
        <w:trPr>
          <w:trHeight w:val="20" w:hRule="atLeast"/>
        </w:trPr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i/>
                <w:sz w:val="24"/>
              </w:rPr>
              <w:t>Constant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-3.1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0.89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0.04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&lt;0.001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tbl>
      <w:tblPr>
        <w:tblStyle w:val="TableGrid"/>
        <w:tblW w:w="10512" w:type="dxa"/>
        <w:jc w:val="left"/>
        <w:tblInd w:w="-45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31"/>
        <w:gridCol w:w="1439"/>
        <w:gridCol w:w="1439"/>
        <w:gridCol w:w="2159"/>
        <w:gridCol w:w="1444"/>
      </w:tblGrid>
      <w:tr>
        <w:trPr>
          <w:trHeight w:val="20" w:hRule="atLeast"/>
        </w:trPr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S1B – Subgroup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20" w:hRule="atLeast"/>
        </w:trPr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B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SE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OR (95% CI)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P</w:t>
            </w:r>
          </w:p>
        </w:tc>
      </w:tr>
      <w:tr>
        <w:trPr>
          <w:trHeight w:val="20" w:hRule="atLeast"/>
        </w:trPr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Age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-0.01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0.02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0.99 (0.96-1.03)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0.675</w:t>
            </w:r>
          </w:p>
        </w:tc>
      </w:tr>
      <w:tr>
        <w:trPr>
          <w:trHeight w:val="20" w:hRule="atLeast"/>
        </w:trPr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Female Gender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-1.0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0.56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0.36 (0.12-1.1)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0.070</w:t>
            </w:r>
          </w:p>
        </w:tc>
      </w:tr>
      <w:tr>
        <w:trPr>
          <w:trHeight w:val="20" w:hRule="atLeast"/>
        </w:trPr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Hiatal hernia present</w:t>
            </w:r>
            <w:r>
              <w:rPr>
                <w:rFonts w:cs="Arial" w:ascii="Arial" w:hAnsi="Arial"/>
                <w:b/>
                <w:bCs/>
                <w:sz w:val="24"/>
                <w:vertAlign w:val="superscript"/>
              </w:rPr>
              <w:t>a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1.1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0.73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2.9 (0.70-12.2)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0.141</w:t>
            </w:r>
          </w:p>
        </w:tc>
      </w:tr>
      <w:tr>
        <w:trPr>
          <w:trHeight w:val="20" w:hRule="atLeast"/>
        </w:trPr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IRP classification (normal IRP)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--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0.933</w:t>
            </w:r>
          </w:p>
        </w:tc>
      </w:tr>
      <w:tr>
        <w:trPr>
          <w:trHeight w:val="20" w:hRule="atLeast"/>
        </w:trPr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Isolated IRP elevation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-0.08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0.89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0.93 (0.16-5.2)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0.93</w:t>
            </w:r>
          </w:p>
        </w:tc>
      </w:tr>
      <w:tr>
        <w:trPr>
          <w:trHeight w:val="20" w:hRule="atLeast"/>
        </w:trPr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Consistent IRP elevation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-0.25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0.70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0.78 (0.20-3.1)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0.782</w:t>
            </w:r>
          </w:p>
        </w:tc>
      </w:tr>
      <w:tr>
        <w:trPr>
          <w:trHeight w:val="20" w:hRule="atLeast"/>
        </w:trPr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FLIP-EGJ (Normal EGJ opening)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--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&lt;0.001</w:t>
            </w:r>
          </w:p>
        </w:tc>
      </w:tr>
      <w:tr>
        <w:trPr>
          <w:trHeight w:val="20" w:hRule="atLeast"/>
        </w:trPr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Borderline-normal EGJ opening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0.69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1.5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2.0 (0.11-34.1)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0.637</w:t>
            </w:r>
          </w:p>
        </w:tc>
      </w:tr>
      <w:tr>
        <w:trPr>
          <w:trHeight w:val="20" w:hRule="atLeast"/>
        </w:trPr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Borderline-reduced EGJ opening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1.3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1.5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3.7 (0.21-66.1)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0.376</w:t>
            </w:r>
          </w:p>
        </w:tc>
      </w:tr>
      <w:tr>
        <w:trPr>
          <w:trHeight w:val="20" w:hRule="atLeast"/>
        </w:trPr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Reduced EGJ opening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4.0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1.1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56.9 (6.4-504)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&lt;0.001</w:t>
            </w:r>
          </w:p>
        </w:tc>
      </w:tr>
      <w:tr>
        <w:trPr>
          <w:trHeight w:val="20" w:hRule="atLeast"/>
        </w:trPr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i/>
                <w:sz w:val="24"/>
              </w:rPr>
              <w:t>Constant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-4.1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1.6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0.02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 w:ascii="Arial" w:hAnsi="Arial"/>
                <w:bCs/>
                <w:sz w:val="24"/>
              </w:rPr>
              <w:t>0.008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008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700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LibreOffice/6.3.2.2$Windows_X86_64 LibreOffice_project/98b30e735bda24bc04ab42594c85f7fd8be07b9c</Application>
  <Pages>2</Pages>
  <Words>280</Words>
  <Characters>1637</Characters>
  <CharactersWithSpaces>1817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2021-07-19T14:32:00Z</dcterms:created>
  <dc:creator>Claire Neumann</dc:creator>
  <dc:description/>
  <dc:language>en-IN</dc:language>
  <cp:lastModifiedBy/>
  <dcterms:modified xsi:type="dcterms:W3CDTF">2021-07-20T18:29:41Z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