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2E" w:rsidRDefault="00B97FD4" w:rsidP="000E1E7B">
      <w:pPr>
        <w:spacing w:after="0" w:line="240" w:lineRule="auto"/>
        <w:rPr>
          <w:rFonts w:ascii="Arial" w:eastAsia="Arial" w:hAnsi="Arial" w:cs="Arial"/>
          <w:b/>
        </w:rPr>
      </w:pPr>
      <w:r>
        <w:rPr>
          <w:rFonts w:ascii="Arial" w:eastAsia="Arial" w:hAnsi="Arial" w:cs="Arial"/>
          <w:b/>
        </w:rPr>
        <w:t xml:space="preserve">ADDITIONAL </w:t>
      </w:r>
      <w:r w:rsidR="00A21B44">
        <w:rPr>
          <w:rFonts w:ascii="Arial" w:eastAsia="Arial" w:hAnsi="Arial" w:cs="Arial"/>
          <w:b/>
        </w:rPr>
        <w:t>SUPPLEMENTA</w:t>
      </w:r>
      <w:r w:rsidR="003078E2">
        <w:rPr>
          <w:rFonts w:ascii="Arial" w:eastAsia="Arial" w:hAnsi="Arial" w:cs="Arial"/>
          <w:b/>
        </w:rPr>
        <w:t xml:space="preserve">L </w:t>
      </w:r>
      <w:r w:rsidR="00A21B44">
        <w:rPr>
          <w:rFonts w:ascii="Arial" w:eastAsia="Arial" w:hAnsi="Arial" w:cs="Arial"/>
          <w:b/>
        </w:rPr>
        <w:t>DIGITAL CONTENT</w:t>
      </w:r>
    </w:p>
    <w:p w:rsidR="000E1E7B" w:rsidRDefault="000E1E7B" w:rsidP="000E1E7B">
      <w:pPr>
        <w:spacing w:after="0" w:line="240" w:lineRule="auto"/>
        <w:rPr>
          <w:rFonts w:ascii="Arial" w:eastAsia="Arial" w:hAnsi="Arial" w:cs="Arial"/>
          <w:b/>
        </w:rPr>
      </w:pPr>
    </w:p>
    <w:p w:rsidR="006A68E6" w:rsidRPr="005E0ED8" w:rsidRDefault="00E07611" w:rsidP="000E1E7B">
      <w:pPr>
        <w:spacing w:after="0" w:line="240" w:lineRule="auto"/>
        <w:rPr>
          <w:rFonts w:ascii="Arial" w:eastAsia="Arial" w:hAnsi="Arial" w:cs="Arial"/>
          <w:b/>
        </w:rPr>
      </w:pPr>
      <w:r>
        <w:rPr>
          <w:rFonts w:ascii="Arial" w:eastAsia="Arial" w:hAnsi="Arial" w:cs="Arial"/>
          <w:b/>
        </w:rPr>
        <w:t>I</w:t>
      </w:r>
      <w:r w:rsidR="00660410">
        <w:rPr>
          <w:rFonts w:ascii="Arial" w:eastAsia="Arial" w:hAnsi="Arial" w:cs="Arial"/>
          <w:b/>
        </w:rPr>
        <w:t>nsurance plan design</w:t>
      </w:r>
    </w:p>
    <w:p w:rsidR="006A68E6" w:rsidRDefault="00660410" w:rsidP="000E1E7B">
      <w:pPr>
        <w:spacing w:after="0" w:line="240" w:lineRule="auto"/>
        <w:ind w:firstLine="720"/>
        <w:rPr>
          <w:rFonts w:ascii="Arial" w:eastAsia="Arial" w:hAnsi="Arial" w:cs="Arial"/>
        </w:rPr>
      </w:pPr>
      <w:r>
        <w:rPr>
          <w:rFonts w:ascii="Arial" w:eastAsia="Arial" w:hAnsi="Arial" w:cs="Arial"/>
        </w:rPr>
        <w:t xml:space="preserve">We assumed that </w:t>
      </w:r>
      <w:r w:rsidR="006A68E6">
        <w:rPr>
          <w:rFonts w:ascii="Arial" w:eastAsia="Arial" w:hAnsi="Arial" w:cs="Arial"/>
        </w:rPr>
        <w:t xml:space="preserve">a patient </w:t>
      </w:r>
      <w:r>
        <w:rPr>
          <w:rFonts w:ascii="Arial" w:eastAsia="Arial" w:hAnsi="Arial" w:cs="Arial"/>
        </w:rPr>
        <w:t xml:space="preserve">as enrolled in a </w:t>
      </w:r>
      <w:r w:rsidR="006A68E6">
        <w:rPr>
          <w:rFonts w:ascii="Arial" w:eastAsia="Arial" w:hAnsi="Arial" w:cs="Arial"/>
        </w:rPr>
        <w:t>Health Management Organization managed care plan with a $</w:t>
      </w:r>
      <w:r>
        <w:rPr>
          <w:rFonts w:ascii="Arial" w:eastAsia="Arial" w:hAnsi="Arial" w:cs="Arial"/>
        </w:rPr>
        <w:t>3</w:t>
      </w:r>
      <w:r w:rsidR="006A68E6">
        <w:rPr>
          <w:rFonts w:ascii="Arial" w:eastAsia="Arial" w:hAnsi="Arial" w:cs="Arial"/>
        </w:rPr>
        <w:t>0</w:t>
      </w:r>
      <w:r w:rsidR="001D2C1F">
        <w:rPr>
          <w:rFonts w:ascii="Arial" w:eastAsia="Arial" w:hAnsi="Arial" w:cs="Arial"/>
        </w:rPr>
        <w:t xml:space="preserve"> prescription drug</w:t>
      </w:r>
      <w:r w:rsidR="006A68E6">
        <w:rPr>
          <w:rFonts w:ascii="Arial" w:eastAsia="Arial" w:hAnsi="Arial" w:cs="Arial"/>
        </w:rPr>
        <w:t xml:space="preserve"> co-pay </w:t>
      </w:r>
      <w:r w:rsidR="001D2C1F">
        <w:rPr>
          <w:rFonts w:ascii="Arial" w:eastAsia="Arial" w:hAnsi="Arial" w:cs="Arial"/>
        </w:rPr>
        <w:t xml:space="preserve">for a 30 day supply </w:t>
      </w:r>
      <w:r w:rsidR="006A68E6">
        <w:rPr>
          <w:rFonts w:ascii="Arial" w:eastAsia="Arial" w:hAnsi="Arial" w:cs="Arial"/>
        </w:rPr>
        <w:t xml:space="preserve">and </w:t>
      </w:r>
      <w:r w:rsidR="001D2C1F">
        <w:rPr>
          <w:rFonts w:ascii="Arial" w:eastAsia="Arial" w:hAnsi="Arial" w:cs="Arial"/>
        </w:rPr>
        <w:t xml:space="preserve">a </w:t>
      </w:r>
      <w:r w:rsidR="006A68E6">
        <w:rPr>
          <w:rFonts w:ascii="Arial" w:eastAsia="Arial" w:hAnsi="Arial" w:cs="Arial"/>
        </w:rPr>
        <w:t>$0 annual premium</w:t>
      </w:r>
      <w:r>
        <w:rPr>
          <w:rFonts w:ascii="Arial" w:eastAsia="Arial" w:hAnsi="Arial" w:cs="Arial"/>
        </w:rPr>
        <w:t xml:space="preserve">. There are a variety of high-deductible health plan designs </w:t>
      </w:r>
      <w:r w:rsidR="006A68E6">
        <w:rPr>
          <w:rFonts w:ascii="Arial" w:eastAsia="Arial" w:hAnsi="Arial" w:cs="Arial"/>
        </w:rPr>
        <w:t>and individual hea</w:t>
      </w:r>
      <w:r>
        <w:rPr>
          <w:rFonts w:ascii="Arial" w:eastAsia="Arial" w:hAnsi="Arial" w:cs="Arial"/>
        </w:rPr>
        <w:t>lth plans</w:t>
      </w:r>
      <w:r w:rsidR="006A68E6">
        <w:rPr>
          <w:rFonts w:ascii="Arial" w:eastAsia="Arial" w:hAnsi="Arial" w:cs="Arial"/>
        </w:rPr>
        <w:fldChar w:fldCharType="begin"/>
      </w:r>
      <w:r w:rsidR="008B39D9">
        <w:rPr>
          <w:rFonts w:ascii="Arial" w:eastAsia="Arial" w:hAnsi="Arial" w:cs="Arial"/>
        </w:rPr>
        <w:instrText xml:space="preserve"> ADDIN ZOTERO_ITEM CSL_CITATION {"citationID":"8Db6Hwqg","properties":{"formattedCitation":"\\super 1\\nosupersub{}","plainCitation":"1","noteIndex":0},"citationItems":[{"id":18147,"uris":["http://zotero.org/users/2707299/items/MKMW2RF4"],"uri":["http://zotero.org/users/2707299/items/MKMW2RF4"],"itemData":{"id":18147,"type":"article-journal","container-title":"JAMA Internal Medicine","DOI":"10.1001/jamainternmed.2015.7559","ISSN":"2168-6106","issue":"3","language":"en","page":"397","source":"Crossref","title":"High-Deductible Health Plans and Higher-Value Decisions: A Mirage or Are We Just Not There Yet?","title-short":"High-Deductible Health Plans and Higher-Value Decisions","volume":"176","author":[{"family":"Ross","given":"Joseph S."}],"issued":{"date-parts":[["2016",3,1]]}}}],"schema":"https://github.com/citation-style-language/schema/raw/master/csl-citation.json"} </w:instrText>
      </w:r>
      <w:r w:rsidR="006A68E6">
        <w:rPr>
          <w:rFonts w:ascii="Arial" w:eastAsia="Arial" w:hAnsi="Arial" w:cs="Arial"/>
        </w:rPr>
        <w:fldChar w:fldCharType="separate"/>
      </w:r>
      <w:r w:rsidR="008B39D9" w:rsidRPr="008B39D9">
        <w:rPr>
          <w:rFonts w:ascii="Arial" w:hAnsi="Arial" w:cs="Arial"/>
          <w:szCs w:val="24"/>
          <w:vertAlign w:val="superscript"/>
        </w:rPr>
        <w:t>1</w:t>
      </w:r>
      <w:r w:rsidR="006A68E6">
        <w:rPr>
          <w:rFonts w:ascii="Arial" w:eastAsia="Arial" w:hAnsi="Arial" w:cs="Arial"/>
        </w:rPr>
        <w:fldChar w:fldCharType="end"/>
      </w:r>
      <w:r>
        <w:rPr>
          <w:rFonts w:ascii="Arial" w:eastAsia="Arial" w:hAnsi="Arial" w:cs="Arial"/>
        </w:rPr>
        <w:t xml:space="preserve"> which incorporate cost-sharing </w:t>
      </w:r>
      <w:r w:rsidR="006A68E6">
        <w:rPr>
          <w:rFonts w:ascii="Arial" w:eastAsia="Arial" w:hAnsi="Arial" w:cs="Arial"/>
        </w:rPr>
        <w:t>(</w:t>
      </w:r>
      <w:r>
        <w:rPr>
          <w:rFonts w:ascii="Arial" w:eastAsia="Arial" w:hAnsi="Arial" w:cs="Arial"/>
        </w:rPr>
        <w:t>higher prescription drug and appointment co-pays, deductibles</w:t>
      </w:r>
      <w:r w:rsidR="006A68E6">
        <w:rPr>
          <w:rFonts w:ascii="Arial" w:eastAsia="Arial" w:hAnsi="Arial" w:cs="Arial"/>
        </w:rPr>
        <w:t>, and out-of-pock</w:t>
      </w:r>
      <w:r>
        <w:rPr>
          <w:rFonts w:ascii="Arial" w:eastAsia="Arial" w:hAnsi="Arial" w:cs="Arial"/>
        </w:rPr>
        <w:t xml:space="preserve">et maximums). </w:t>
      </w:r>
      <w:r w:rsidR="001D2C1F">
        <w:rPr>
          <w:rFonts w:ascii="Arial" w:eastAsia="Arial" w:hAnsi="Arial" w:cs="Arial"/>
        </w:rPr>
        <w:t xml:space="preserve">The range of possible insurance designs was </w:t>
      </w:r>
      <w:r>
        <w:rPr>
          <w:rFonts w:ascii="Arial" w:eastAsia="Arial" w:hAnsi="Arial" w:cs="Arial"/>
        </w:rPr>
        <w:t>not modeled, noting that the patient perspective becomes similar to the insurer perspective with increasing cost-sharing.</w:t>
      </w:r>
    </w:p>
    <w:p w:rsidR="00B22380" w:rsidRDefault="00B22380" w:rsidP="000E1E7B">
      <w:pPr>
        <w:spacing w:after="0" w:line="240" w:lineRule="auto"/>
        <w:rPr>
          <w:rFonts w:ascii="Arial" w:eastAsia="Arial" w:hAnsi="Arial" w:cs="Arial"/>
        </w:rPr>
      </w:pPr>
    </w:p>
    <w:p w:rsidR="00B22380" w:rsidRPr="00B22380" w:rsidRDefault="00B22380" w:rsidP="000E1E7B">
      <w:pPr>
        <w:spacing w:after="0" w:line="240" w:lineRule="auto"/>
        <w:rPr>
          <w:rFonts w:ascii="Arial" w:eastAsia="Arial" w:hAnsi="Arial" w:cs="Arial"/>
          <w:b/>
        </w:rPr>
      </w:pPr>
      <w:r>
        <w:rPr>
          <w:rFonts w:ascii="Arial" w:eastAsia="Arial" w:hAnsi="Arial" w:cs="Arial"/>
          <w:b/>
        </w:rPr>
        <w:t xml:space="preserve">Explanation of </w:t>
      </w:r>
      <w:r w:rsidRPr="00B22380">
        <w:rPr>
          <w:rFonts w:ascii="Arial" w:eastAsia="Arial" w:hAnsi="Arial" w:cs="Arial"/>
          <w:b/>
        </w:rPr>
        <w:t>RAND/UCLA expert consensus method</w:t>
      </w:r>
    </w:p>
    <w:p w:rsidR="00B22380" w:rsidRDefault="00B22380" w:rsidP="000E1E7B">
      <w:pPr>
        <w:spacing w:after="0" w:line="240" w:lineRule="auto"/>
        <w:ind w:firstLine="720"/>
        <w:rPr>
          <w:rFonts w:ascii="Arial" w:eastAsia="Arial" w:hAnsi="Arial" w:cs="Arial"/>
        </w:rPr>
      </w:pPr>
      <w:r>
        <w:rPr>
          <w:rFonts w:ascii="Arial" w:eastAsia="Arial" w:hAnsi="Arial" w:cs="Arial"/>
        </w:rPr>
        <w:t>Our method of model development was designed to optimize the model’s applicability to clinical practice in a manner which recognizes variable strength-of-evidence, gaps in knowledge, and areas of disagreement among gastroenterologists (</w:t>
      </w:r>
      <w:r w:rsidRPr="00517211">
        <w:rPr>
          <w:rFonts w:ascii="Arial" w:eastAsia="Arial" w:hAnsi="Arial" w:cs="Arial"/>
          <w:b/>
        </w:rPr>
        <w:t>Supplement Table 1</w:t>
      </w:r>
      <w:r>
        <w:rPr>
          <w:rFonts w:ascii="Arial" w:eastAsia="Arial" w:hAnsi="Arial" w:cs="Arial"/>
        </w:rPr>
        <w:t xml:space="preserve">). Survey data was managed using Dartmouth </w:t>
      </w:r>
      <w:proofErr w:type="spellStart"/>
      <w:r>
        <w:rPr>
          <w:rFonts w:ascii="Arial" w:eastAsia="Arial" w:hAnsi="Arial" w:cs="Arial"/>
        </w:rPr>
        <w:t>REDCap</w:t>
      </w:r>
      <w:proofErr w:type="spellEnd"/>
      <w:r>
        <w:rPr>
          <w:rFonts w:ascii="Arial" w:eastAsia="Arial" w:hAnsi="Arial" w:cs="Arial"/>
        </w:rPr>
        <w:t>. A blinded electronic survey was distributed to participants to rate the appropriateness of proposed model inputs on a 9-point Likert scale (score of 1-3 [not appropriate], score of 4-6 [uncertain], score of 7-9 [appropriate]). A 90-minute video teleconference was held to discuss assumptions and inputs rated as ‘not appropriate’ by at least one participant or ‘uncertain’ by at least two participants (moderated by E.S.). A blinded post-meeting survey was then distributed with updated assumptions and inputs informed by group discussion, on which model assumptions and inputs were finalized based on convergence of expert opinions.</w:t>
      </w:r>
    </w:p>
    <w:p w:rsidR="00864A18" w:rsidRDefault="00864A18" w:rsidP="000E1E7B">
      <w:pPr>
        <w:spacing w:after="0" w:line="240" w:lineRule="auto"/>
        <w:ind w:firstLine="720"/>
        <w:rPr>
          <w:rFonts w:ascii="Arial" w:eastAsia="Arial" w:hAnsi="Arial" w:cs="Arial"/>
        </w:rPr>
      </w:pPr>
      <w:bookmarkStart w:id="0" w:name="_GoBack"/>
      <w:bookmarkEnd w:id="0"/>
    </w:p>
    <w:p w:rsidR="00AA29EE" w:rsidRPr="00AA29EE" w:rsidRDefault="00AA29EE" w:rsidP="000E1E7B">
      <w:pPr>
        <w:spacing w:after="0" w:line="240" w:lineRule="auto"/>
        <w:rPr>
          <w:rFonts w:ascii="Arial" w:eastAsia="Arial" w:hAnsi="Arial" w:cs="Arial"/>
          <w:b/>
        </w:rPr>
      </w:pPr>
      <w:r w:rsidRPr="00AA29EE">
        <w:rPr>
          <w:rFonts w:ascii="Arial" w:eastAsia="Arial" w:hAnsi="Arial" w:cs="Arial"/>
          <w:b/>
        </w:rPr>
        <w:t>Explanation of efficacy endpoints</w:t>
      </w:r>
    </w:p>
    <w:p w:rsidR="00AA29EE" w:rsidRDefault="00AA29EE" w:rsidP="000E1E7B">
      <w:pPr>
        <w:spacing w:after="0" w:line="240" w:lineRule="auto"/>
        <w:ind w:firstLine="720"/>
        <w:rPr>
          <w:rFonts w:ascii="Arial" w:eastAsia="Arial" w:hAnsi="Arial" w:cs="Arial"/>
        </w:rPr>
      </w:pPr>
      <w:r>
        <w:rPr>
          <w:rFonts w:ascii="Arial" w:eastAsia="Arial" w:hAnsi="Arial" w:cs="Arial"/>
        </w:rPr>
        <w:t xml:space="preserve">For </w:t>
      </w:r>
      <w:proofErr w:type="spellStart"/>
      <w:r>
        <w:rPr>
          <w:rFonts w:ascii="Arial" w:eastAsia="Arial" w:hAnsi="Arial" w:cs="Arial"/>
        </w:rPr>
        <w:t>linaclotide</w:t>
      </w:r>
      <w:proofErr w:type="spellEnd"/>
      <w:r>
        <w:rPr>
          <w:rFonts w:ascii="Arial" w:eastAsia="Arial" w:hAnsi="Arial" w:cs="Arial"/>
        </w:rPr>
        <w:t xml:space="preserve">, </w:t>
      </w:r>
      <w:proofErr w:type="spellStart"/>
      <w:r>
        <w:rPr>
          <w:rFonts w:ascii="Arial" w:eastAsia="Arial" w:hAnsi="Arial" w:cs="Arial"/>
        </w:rPr>
        <w:t>plecanatide</w:t>
      </w:r>
      <w:proofErr w:type="spellEnd"/>
      <w:r>
        <w:rPr>
          <w:rFonts w:ascii="Arial" w:eastAsia="Arial" w:hAnsi="Arial" w:cs="Arial"/>
        </w:rPr>
        <w:t xml:space="preserve">, and </w:t>
      </w:r>
      <w:proofErr w:type="spellStart"/>
      <w:r>
        <w:rPr>
          <w:rFonts w:ascii="Arial" w:eastAsia="Arial" w:hAnsi="Arial" w:cs="Arial"/>
        </w:rPr>
        <w:t>prucalopride</w:t>
      </w:r>
      <w:proofErr w:type="spellEnd"/>
      <w:r>
        <w:rPr>
          <w:rFonts w:ascii="Arial" w:eastAsia="Arial" w:hAnsi="Arial" w:cs="Arial"/>
        </w:rPr>
        <w:t>, we used a responder definition of “</w:t>
      </w:r>
      <w:r w:rsidRPr="00DE4A2B">
        <w:rPr>
          <w:rFonts w:ascii="Arial" w:eastAsia="Arial" w:hAnsi="Arial" w:cs="Arial"/>
          <w:i/>
        </w:rPr>
        <w:t>improvement in complete spontaneous bowel movements (CSBM) ≥1 per week with ≥3 CSBM per week for at least 75% of weeks in a 12-week trial of therapy</w:t>
      </w:r>
      <w:r>
        <w:rPr>
          <w:rFonts w:ascii="Arial" w:eastAsia="Arial" w:hAnsi="Arial" w:cs="Arial"/>
          <w:iCs/>
        </w:rPr>
        <w:t>,</w:t>
      </w:r>
      <w:r>
        <w:rPr>
          <w:rFonts w:ascii="Arial" w:eastAsia="Arial" w:hAnsi="Arial" w:cs="Arial"/>
        </w:rPr>
        <w:t xml:space="preserve">” noting that </w:t>
      </w:r>
      <w:proofErr w:type="spellStart"/>
      <w:r>
        <w:rPr>
          <w:rFonts w:ascii="Arial" w:eastAsia="Arial" w:hAnsi="Arial" w:cs="Arial"/>
        </w:rPr>
        <w:t>plecanatide</w:t>
      </w:r>
      <w:proofErr w:type="spellEnd"/>
      <w:r>
        <w:rPr>
          <w:rFonts w:ascii="Arial" w:eastAsia="Arial" w:hAnsi="Arial" w:cs="Arial"/>
        </w:rPr>
        <w:t xml:space="preserve"> trials reported outcomes including an additional requirement of sustained response in the last 3 out of 4 weeks.</w:t>
      </w:r>
      <w:r>
        <w:rPr>
          <w:rFonts w:ascii="Arial" w:eastAsia="Arial" w:hAnsi="Arial" w:cs="Arial"/>
        </w:rPr>
        <w:fldChar w:fldCharType="begin"/>
      </w:r>
      <w:r w:rsidR="00AA3A9E">
        <w:rPr>
          <w:rFonts w:ascii="Arial" w:eastAsia="Arial" w:hAnsi="Arial" w:cs="Arial"/>
        </w:rPr>
        <w:instrText xml:space="preserve"> ADDIN ZOTERO_ITEM CSL_CITATION {"citationID":"N19RPovk","properties":{"formattedCitation":"\\super 2,3\\nosupersub{}","plainCitation":"2,3","noteIndex":0},"citationItems":[{"id":26739,"uris":["http://zotero.org/users/2707299/items/99RNNPCX"],"uri":["http://zotero.org/users/2707299/items/99RNNPCX"],"itemData":{"id":26739,"type":"article-journal","abstract":"INTRODUCTION: To inform the patient-centered discussion regarding comparative outcomes with irritable bowel syndrome/chronic idiopathic constipation pharmacotherapy, we evaluated reasons and timing of discontinuation of FDA-approved pharmacotherapy for irritable bowel syndrome and chronic idiopathic constipation in a large observational real-world cohort.\nMETHODS: We identified patients initiating lubiprostone or linaclotide within the University of Michigan Electronic Medical Record (2012-2016). Medication start and stop dates were determined in manual chart review including detailed review of all documentation including office notes and telephone encounters. A Cox model was constructed to predict the hazard of discontinuation.\nRESULTS: On multivariate analysis of 1,612 patients, linaclotide users had a lower risk of discontinuing therapy than lubiprostone users for any reason (hazard ratio [HR] = 0.6, 95% confidence interval [CI] 0.5-0.8). At 3 and 12 months, the overall discontinuation rates were 23% and 43% for lubiprostone compared with 14% and 24% for linaclotide. Over the first year of therapy, more than half of discontinuations due to intolerance occurred in the first 3 months for both drugs. Linaclotide users were more likely to discontinue due to intolerance (HR = 1.6 [95% CI, 1.2-2.3]) but less likely to discontinue due to insufficient efficacy of therapy (HR = 0.5 [95% CI, 0.4-0.8]). IBS diagnosis increased the hazard of discontinuation of lubiprostone relative to linactolide (HR = 1.4, 95% CI, 1.1-1.6). Loss of prescription drug coverage remained a common reason for discontinuation over the first year of therapy.\nDISCUSSION: Individuals appear more likely to discontinue lubiprostone than linaclotide overall, but more likely to discontinue linaclotide compared with lubiprostone due to intolerance (mostly diarrhea). Most discontinuations due to intolerance occur in the first 3 months. These results may be useful in individualized treatment selection and enhancing patient knowledge regarding long-term outcomes.","container-title":"The American Journal of Gastroenterology","DOI":"10.14309/ajg.0000000000000530","ISSN":"1572-0241","issue":"4","journalAbbreviation":"Am. J. Gastroenterol.","language":"eng","note":"PMID: 32022721","page":"596-602","source":"PubMed","title":"Evaluating When and Why Patients Discontinue Chronic Therapy for Irritable Bowel Syndrome With Constipation and Chronic Idiopathic Constipation","volume":"115","author":[{"family":"Shah","given":"Eric D."},{"family":"Suresh","given":"Suraj"},{"family":"Jou","given":"Jessica"},{"family":"Chey","given":"William D."},{"family":"Stidham","given":"Ryan W."}],"issued":{"date-parts":[["2020",4]]}}},{"id":27051,"uris":["http://zotero.org/users/2707299/items/VMVGFTHH"],"uri":["http://zotero.org/users/2707299/items/VMVGFTHH"],"itemData":{"id":27051,"type":"article-journal","title":"Drug Approval Package: Motegrity (prucalopride). U.S. Food and Drug Administration. https://www.accessdata.fda.gov/drugsatfda_docs/nda/2018/210166Orig1s000TOC.cfm. Accessed December 1, 2020."}}],"schema":"https://github.com/citation-style-language/schema/raw/master/csl-citation.json"} </w:instrText>
      </w:r>
      <w:r>
        <w:rPr>
          <w:rFonts w:ascii="Arial" w:eastAsia="Arial" w:hAnsi="Arial" w:cs="Arial"/>
        </w:rPr>
        <w:fldChar w:fldCharType="separate"/>
      </w:r>
      <w:r w:rsidR="00AA3A9E" w:rsidRPr="00AA3A9E">
        <w:rPr>
          <w:rFonts w:ascii="Arial" w:hAnsi="Arial" w:cs="Arial"/>
          <w:szCs w:val="24"/>
          <w:vertAlign w:val="superscript"/>
        </w:rPr>
        <w:t>2,3</w:t>
      </w:r>
      <w:r>
        <w:rPr>
          <w:rFonts w:ascii="Arial" w:eastAsia="Arial" w:hAnsi="Arial" w:cs="Arial"/>
        </w:rPr>
        <w:fldChar w:fldCharType="end"/>
      </w:r>
      <w:r>
        <w:rPr>
          <w:rFonts w:ascii="Arial" w:eastAsia="Arial" w:hAnsi="Arial" w:cs="Arial"/>
        </w:rPr>
        <w:t xml:space="preserve"> Other clinical endpoints were assessed to evaluate robustness of model estimates, noting that these endpoints were not uniformly reported for all drugs in sensitivity analysis. </w:t>
      </w:r>
      <w:proofErr w:type="spellStart"/>
      <w:r>
        <w:rPr>
          <w:rFonts w:ascii="Arial" w:eastAsia="Arial" w:hAnsi="Arial" w:cs="Arial"/>
        </w:rPr>
        <w:t>Lubiprostone</w:t>
      </w:r>
      <w:proofErr w:type="spellEnd"/>
      <w:r>
        <w:rPr>
          <w:rFonts w:ascii="Arial" w:eastAsia="Arial" w:hAnsi="Arial" w:cs="Arial"/>
        </w:rPr>
        <w:t xml:space="preserve"> trials were shorter than other CIC drug trials, and </w:t>
      </w:r>
      <w:proofErr w:type="spellStart"/>
      <w:r>
        <w:rPr>
          <w:rFonts w:ascii="Arial" w:eastAsia="Arial" w:hAnsi="Arial" w:cs="Arial"/>
        </w:rPr>
        <w:t>lubiprostone</w:t>
      </w:r>
      <w:proofErr w:type="spellEnd"/>
      <w:r>
        <w:rPr>
          <w:rFonts w:ascii="Arial" w:eastAsia="Arial" w:hAnsi="Arial" w:cs="Arial"/>
        </w:rPr>
        <w:t xml:space="preserve"> trials were conducted before the addition of bowel movement completeness to clinical trial endpoints.</w:t>
      </w:r>
      <w:r>
        <w:rPr>
          <w:rFonts w:ascii="Arial" w:eastAsia="Arial" w:hAnsi="Arial" w:cs="Arial"/>
        </w:rPr>
        <w:fldChar w:fldCharType="begin"/>
      </w:r>
      <w:r w:rsidR="00AA3A9E">
        <w:rPr>
          <w:rFonts w:ascii="Arial" w:eastAsia="Arial" w:hAnsi="Arial" w:cs="Arial"/>
        </w:rPr>
        <w:instrText xml:space="preserve"> ADDIN ZOTERO_ITEM CSL_CITATION {"citationID":"2qTB3SWv","properties":{"formattedCitation":"\\super 4,5\\nosupersub{}","plainCitation":"4,5","noteIndex":0},"citationItems":[{"id":27047,"uris":["http://zotero.org/users/2707299/items/X7IEXFR6"],"uri":["http://zotero.org/users/2707299/items/X7IEXFR6"],"itemData":{"id":27047,"type":"article-journal","container-title":"Gut","DOI":"10.1136/gutjnl-2016-311835","ISSN":"0017-5749, 1468-3288","issue":"9","language":"en","page":"1611-1622","source":"Crossref","title":"Comparison of efficacy of pharmacological treatments for chronic idiopathic constipation: a systematic review and network meta-analysis","title-short":"Comparison of efficacy of pharmacological treatments for chronic idiopathic constipation","volume":"66","author":[{"family":"Nelson","given":"Alfred D"},{"family":"Camilleri","given":"Michael"},{"family":"Chirapongsathorn","given":"Sakkarin"},{"family":"Vijayvargiya","given":"Priya"},{"family":"Valentin","given":"Nelson"},{"family":"Shin","given":"Andrea"},{"family":"Erwin","given":"Patricia J"},{"family":"Wang","given":"Zhen"},{"family":"Murad","given":"M Hassan"}],"issued":{"date-parts":[["2017",9]]}}},{"id":27049,"uris":["http://zotero.org/users/2707299/items/RUI8W3U5"],"uri":["http://zotero.org/users/2707299/items/RUI8W3U5"],"itemData":{"id":27049,"type":"article-journal","container-title":"The Lancet Gastroenterology &amp; Hepatology","DOI":"10.1016/S2468-1253(19)30246-8","ISSN":"24681253","issue":"11","language":"en","page":"831-844","source":"Crossref","title":"Efficacy of drugs in chronic idiopathic constipation: a systematic review and network meta-analysis","title-short":"Efficacy of drugs in chronic idiopathic constipation","volume":"4","author":[{"family":"Luthra","given":"Pavit"},{"family":"Camilleri","given":"Michael"},{"family":"Burr","given":"Nicholas E"},{"family":"Quigley","given":"Eamonn M M"},{"family":"Black","given":"Christopher J"},{"family":"Ford","given":"Alexander C"}],"issued":{"date-parts":[["2019",11]]}}}],"schema":"https://github.com/citation-style-language/schema/raw/master/csl-citation.json"} </w:instrText>
      </w:r>
      <w:r>
        <w:rPr>
          <w:rFonts w:ascii="Arial" w:eastAsia="Arial" w:hAnsi="Arial" w:cs="Arial"/>
        </w:rPr>
        <w:fldChar w:fldCharType="separate"/>
      </w:r>
      <w:r w:rsidR="00AA3A9E" w:rsidRPr="00AA3A9E">
        <w:rPr>
          <w:rFonts w:ascii="Arial" w:hAnsi="Arial" w:cs="Arial"/>
          <w:szCs w:val="24"/>
          <w:vertAlign w:val="superscript"/>
        </w:rPr>
        <w:t>4,5</w:t>
      </w:r>
      <w:r>
        <w:rPr>
          <w:rFonts w:ascii="Arial" w:eastAsia="Arial" w:hAnsi="Arial" w:cs="Arial"/>
        </w:rPr>
        <w:fldChar w:fldCharType="end"/>
      </w:r>
      <w:r>
        <w:rPr>
          <w:rFonts w:ascii="Arial" w:eastAsia="Arial" w:hAnsi="Arial" w:cs="Arial"/>
        </w:rPr>
        <w:t xml:space="preserve"> Based on availability of data for </w:t>
      </w:r>
      <w:proofErr w:type="spellStart"/>
      <w:r>
        <w:rPr>
          <w:rFonts w:ascii="Arial" w:eastAsia="Arial" w:hAnsi="Arial" w:cs="Arial"/>
        </w:rPr>
        <w:t>lubiprostone</w:t>
      </w:r>
      <w:proofErr w:type="spellEnd"/>
      <w:r>
        <w:rPr>
          <w:rFonts w:ascii="Arial" w:eastAsia="Arial" w:hAnsi="Arial" w:cs="Arial"/>
        </w:rPr>
        <w:t>, a less rigorous “</w:t>
      </w:r>
      <w:r>
        <w:rPr>
          <w:rFonts w:ascii="Arial" w:eastAsia="Arial" w:hAnsi="Arial" w:cs="Arial"/>
          <w:i/>
        </w:rPr>
        <w:t xml:space="preserve">increase of ≥3 </w:t>
      </w:r>
      <w:r w:rsidRPr="00775E20">
        <w:rPr>
          <w:rFonts w:ascii="Arial" w:eastAsia="Arial" w:hAnsi="Arial" w:cs="Arial"/>
          <w:i/>
        </w:rPr>
        <w:t xml:space="preserve">SBM </w:t>
      </w:r>
      <w:r>
        <w:rPr>
          <w:rFonts w:ascii="Arial" w:eastAsia="Arial" w:hAnsi="Arial" w:cs="Arial"/>
          <w:i/>
        </w:rPr>
        <w:t xml:space="preserve">(spontaneous bowel movement) </w:t>
      </w:r>
      <w:r w:rsidRPr="00775E20">
        <w:rPr>
          <w:rFonts w:ascii="Arial" w:eastAsia="Arial" w:hAnsi="Arial" w:cs="Arial"/>
          <w:i/>
        </w:rPr>
        <w:t xml:space="preserve">per week averaged over </w:t>
      </w:r>
      <w:r>
        <w:rPr>
          <w:rFonts w:ascii="Arial" w:eastAsia="Arial" w:hAnsi="Arial" w:cs="Arial"/>
          <w:i/>
        </w:rPr>
        <w:t>4</w:t>
      </w:r>
      <w:r w:rsidRPr="00775E20">
        <w:rPr>
          <w:rFonts w:ascii="Arial" w:eastAsia="Arial" w:hAnsi="Arial" w:cs="Arial"/>
          <w:i/>
        </w:rPr>
        <w:t xml:space="preserve"> weeks</w:t>
      </w:r>
      <w:r>
        <w:rPr>
          <w:rFonts w:ascii="Arial" w:eastAsia="Arial" w:hAnsi="Arial" w:cs="Arial"/>
          <w:i/>
        </w:rPr>
        <w:t xml:space="preserve"> compared to baseline</w:t>
      </w:r>
      <w:r w:rsidRPr="00750C5D">
        <w:rPr>
          <w:rFonts w:ascii="Arial" w:eastAsia="Arial" w:hAnsi="Arial" w:cs="Arial"/>
        </w:rPr>
        <w:t>”</w:t>
      </w:r>
      <w:r>
        <w:rPr>
          <w:rFonts w:ascii="Arial" w:eastAsia="Arial" w:hAnsi="Arial" w:cs="Arial"/>
        </w:rPr>
        <w:t xml:space="preserve"> endpoint</w:t>
      </w:r>
      <w:r>
        <w:rPr>
          <w:rFonts w:ascii="Arial" w:eastAsia="Arial" w:hAnsi="Arial" w:cs="Arial"/>
          <w:i/>
        </w:rPr>
        <w:t xml:space="preserve"> </w:t>
      </w:r>
      <w:r>
        <w:rPr>
          <w:rFonts w:ascii="Arial" w:eastAsia="Arial" w:hAnsi="Arial" w:cs="Arial"/>
        </w:rPr>
        <w:t>was used and extrapolated over the course of the model in exploratory analysis.</w:t>
      </w:r>
      <w:r>
        <w:rPr>
          <w:rFonts w:ascii="Arial" w:eastAsia="Arial" w:hAnsi="Arial" w:cs="Arial"/>
        </w:rPr>
        <w:fldChar w:fldCharType="begin"/>
      </w:r>
      <w:r w:rsidR="00AA3A9E">
        <w:rPr>
          <w:rFonts w:ascii="Arial" w:eastAsia="Arial" w:hAnsi="Arial" w:cs="Arial"/>
        </w:rPr>
        <w:instrText xml:space="preserve"> ADDIN ZOTERO_ITEM CSL_CITATION {"citationID":"NTE3JTiX","properties":{"formattedCitation":"\\super 6\\nosupersub{}","plainCitation":"6","noteIndex":0},"citationItems":[{"id":27052,"uris":["http://zotero.org/users/2707299/items/DZYSC5NX"],"uri":["http://zotero.org/users/2707299/items/DZYSC5NX"],"itemData":{"id":27052,"type":"article-journal","title":"AMITIZA (Lubiprostone) Approval Package. U.S. Food and Drug Administration. https://www.accessdata.fda.gov/drugsatfda_docs/nda/2013/021908Orig1s011.pdf. Accessed December 1, 2020."}}],"schema":"https://github.com/citation-style-language/schema/raw/master/csl-citation.json"} </w:instrText>
      </w:r>
      <w:r>
        <w:rPr>
          <w:rFonts w:ascii="Arial" w:eastAsia="Arial" w:hAnsi="Arial" w:cs="Arial"/>
        </w:rPr>
        <w:fldChar w:fldCharType="separate"/>
      </w:r>
      <w:r w:rsidR="00AA3A9E" w:rsidRPr="00AA3A9E">
        <w:rPr>
          <w:rFonts w:ascii="Arial" w:hAnsi="Arial" w:cs="Arial"/>
          <w:szCs w:val="24"/>
          <w:vertAlign w:val="superscript"/>
        </w:rPr>
        <w:t>6</w:t>
      </w:r>
      <w:r>
        <w:rPr>
          <w:rFonts w:ascii="Arial" w:eastAsia="Arial" w:hAnsi="Arial" w:cs="Arial"/>
        </w:rPr>
        <w:fldChar w:fldCharType="end"/>
      </w:r>
    </w:p>
    <w:p w:rsidR="000E1E7B" w:rsidRDefault="000E1E7B" w:rsidP="000E1E7B">
      <w:pPr>
        <w:spacing w:after="0" w:line="240" w:lineRule="auto"/>
        <w:ind w:firstLine="720"/>
        <w:rPr>
          <w:rFonts w:ascii="Arial" w:eastAsia="Arial" w:hAnsi="Arial" w:cs="Arial"/>
        </w:rPr>
      </w:pPr>
    </w:p>
    <w:p w:rsidR="000E1E7B" w:rsidRPr="000E1E7B" w:rsidRDefault="000E1E7B" w:rsidP="000E1E7B">
      <w:pPr>
        <w:spacing w:after="0" w:line="240" w:lineRule="auto"/>
        <w:rPr>
          <w:rFonts w:ascii="Arial" w:eastAsia="Arial" w:hAnsi="Arial" w:cs="Arial"/>
          <w:b/>
        </w:rPr>
      </w:pPr>
      <w:r w:rsidRPr="000E1E7B">
        <w:rPr>
          <w:rFonts w:ascii="Arial" w:eastAsia="Arial" w:hAnsi="Arial" w:cs="Arial"/>
          <w:b/>
        </w:rPr>
        <w:t>Additio</w:t>
      </w:r>
      <w:r w:rsidR="000B7334">
        <w:rPr>
          <w:rFonts w:ascii="Arial" w:eastAsia="Arial" w:hAnsi="Arial" w:cs="Arial"/>
          <w:b/>
        </w:rPr>
        <w:t>nal references for supplemental</w:t>
      </w:r>
      <w:r w:rsidRPr="000E1E7B">
        <w:rPr>
          <w:rFonts w:ascii="Arial" w:eastAsia="Arial" w:hAnsi="Arial" w:cs="Arial"/>
          <w:b/>
        </w:rPr>
        <w:t xml:space="preserve"> digital content</w:t>
      </w:r>
    </w:p>
    <w:p w:rsidR="000E1E7B" w:rsidRPr="00AA3A9E" w:rsidRDefault="000E1E7B" w:rsidP="000E1E7B">
      <w:pPr>
        <w:pStyle w:val="Bibliography"/>
        <w:spacing w:after="0"/>
        <w:rPr>
          <w:rFonts w:ascii="Arial" w:hAnsi="Arial" w:cs="Arial"/>
        </w:rPr>
      </w:pPr>
      <w:r>
        <w:rPr>
          <w:rFonts w:ascii="Arial" w:eastAsia="Arial" w:hAnsi="Arial" w:cs="Arial"/>
          <w:b/>
        </w:rPr>
        <w:fldChar w:fldCharType="begin"/>
      </w:r>
      <w:r>
        <w:rPr>
          <w:rFonts w:ascii="Arial" w:eastAsia="Arial" w:hAnsi="Arial" w:cs="Arial"/>
          <w:b/>
        </w:rPr>
        <w:instrText xml:space="preserve"> ADDIN ZOTERO_BIBL {"uncited":[],"omitted":[],"custom":[]} CSL_BIBLIOGRAPHY </w:instrText>
      </w:r>
      <w:r>
        <w:rPr>
          <w:rFonts w:ascii="Arial" w:eastAsia="Arial" w:hAnsi="Arial" w:cs="Arial"/>
          <w:b/>
        </w:rPr>
        <w:fldChar w:fldCharType="separate"/>
      </w:r>
      <w:r w:rsidRPr="00AA3A9E">
        <w:rPr>
          <w:rFonts w:ascii="Arial" w:hAnsi="Arial" w:cs="Arial"/>
        </w:rPr>
        <w:t xml:space="preserve">1. </w:t>
      </w:r>
      <w:r w:rsidRPr="00AA3A9E">
        <w:rPr>
          <w:rFonts w:ascii="Arial" w:hAnsi="Arial" w:cs="Arial"/>
        </w:rPr>
        <w:tab/>
        <w:t>Ross JS. High-Deductible Health Plans and Higher-Value Decisions: A Mirage or Are We Just Not There Yet? JAMA Intern Med 2016;176:397.</w:t>
      </w:r>
    </w:p>
    <w:p w:rsidR="000E1E7B" w:rsidRPr="00AA3A9E" w:rsidRDefault="000E1E7B" w:rsidP="000E1E7B">
      <w:pPr>
        <w:pStyle w:val="Bibliography"/>
        <w:spacing w:after="0"/>
        <w:rPr>
          <w:rFonts w:ascii="Arial" w:hAnsi="Arial" w:cs="Arial"/>
        </w:rPr>
      </w:pPr>
      <w:r w:rsidRPr="00AA3A9E">
        <w:rPr>
          <w:rFonts w:ascii="Arial" w:hAnsi="Arial" w:cs="Arial"/>
        </w:rPr>
        <w:t xml:space="preserve">2. </w:t>
      </w:r>
      <w:r w:rsidRPr="00AA3A9E">
        <w:rPr>
          <w:rFonts w:ascii="Arial" w:hAnsi="Arial" w:cs="Arial"/>
        </w:rPr>
        <w:tab/>
        <w:t>Shah ED, Suresh S, Jou J, et al. Evaluating When and Why Patients Discontinue Chronic Therapy for Irritable Bowel Syndrome With Constipation and Chronic Idiopathic Constipation. Am J Gastroenterol 2020;115:596–602.</w:t>
      </w:r>
    </w:p>
    <w:p w:rsidR="000E1E7B" w:rsidRPr="00AA3A9E" w:rsidRDefault="000E1E7B" w:rsidP="000E1E7B">
      <w:pPr>
        <w:pStyle w:val="Bibliography"/>
        <w:spacing w:after="0"/>
        <w:rPr>
          <w:rFonts w:ascii="Arial" w:hAnsi="Arial" w:cs="Arial"/>
        </w:rPr>
      </w:pPr>
      <w:r w:rsidRPr="00AA3A9E">
        <w:rPr>
          <w:rFonts w:ascii="Arial" w:hAnsi="Arial" w:cs="Arial"/>
        </w:rPr>
        <w:t xml:space="preserve">3. </w:t>
      </w:r>
      <w:r w:rsidRPr="00AA3A9E">
        <w:rPr>
          <w:rFonts w:ascii="Arial" w:hAnsi="Arial" w:cs="Arial"/>
        </w:rPr>
        <w:tab/>
        <w:t>Anon. Drug Approval Package: Motegrity (prucalopride). U.S. Food and Drug Administration. https://www.accessdata.fda.gov/drugsatfda_docs/nda/2018/210166Orig1s000TOC.cfm. Accessed December 1, 2020.</w:t>
      </w:r>
    </w:p>
    <w:p w:rsidR="000E1E7B" w:rsidRPr="00AA3A9E" w:rsidRDefault="000E1E7B" w:rsidP="000E1E7B">
      <w:pPr>
        <w:pStyle w:val="Bibliography"/>
        <w:spacing w:after="0"/>
        <w:rPr>
          <w:rFonts w:ascii="Arial" w:hAnsi="Arial" w:cs="Arial"/>
        </w:rPr>
      </w:pPr>
      <w:r w:rsidRPr="00AA3A9E">
        <w:rPr>
          <w:rFonts w:ascii="Arial" w:hAnsi="Arial" w:cs="Arial"/>
        </w:rPr>
        <w:t xml:space="preserve">4. </w:t>
      </w:r>
      <w:r w:rsidRPr="00AA3A9E">
        <w:rPr>
          <w:rFonts w:ascii="Arial" w:hAnsi="Arial" w:cs="Arial"/>
        </w:rPr>
        <w:tab/>
        <w:t>Nelson AD, Camilleri M, Chirapongsathorn S, et al. Comparison of efficacy of pharmacological treatments for chronic idiopathic constipation: a systematic review and network meta-analysis. Gut 2017;66:1611–1622.</w:t>
      </w:r>
    </w:p>
    <w:p w:rsidR="000E1E7B" w:rsidRPr="00AA3A9E" w:rsidRDefault="000E1E7B" w:rsidP="000E1E7B">
      <w:pPr>
        <w:pStyle w:val="Bibliography"/>
        <w:spacing w:after="0"/>
        <w:rPr>
          <w:rFonts w:ascii="Arial" w:hAnsi="Arial" w:cs="Arial"/>
        </w:rPr>
      </w:pPr>
      <w:r w:rsidRPr="00AA3A9E">
        <w:rPr>
          <w:rFonts w:ascii="Arial" w:hAnsi="Arial" w:cs="Arial"/>
        </w:rPr>
        <w:lastRenderedPageBreak/>
        <w:t xml:space="preserve">5. </w:t>
      </w:r>
      <w:r w:rsidRPr="00AA3A9E">
        <w:rPr>
          <w:rFonts w:ascii="Arial" w:hAnsi="Arial" w:cs="Arial"/>
        </w:rPr>
        <w:tab/>
        <w:t>Luthra P, Camilleri M, Burr NE, et al. Efficacy of drugs in chronic idiopathic constipation: a systematic review and network meta-analysis. Lancet Gastroenterol Hepatol 2019;4:831–844.</w:t>
      </w:r>
    </w:p>
    <w:p w:rsidR="000E1E7B" w:rsidRPr="00AA3A9E" w:rsidRDefault="000E1E7B" w:rsidP="000E1E7B">
      <w:pPr>
        <w:pStyle w:val="Bibliography"/>
        <w:spacing w:after="0"/>
        <w:rPr>
          <w:rFonts w:ascii="Arial" w:hAnsi="Arial" w:cs="Arial"/>
        </w:rPr>
      </w:pPr>
      <w:r w:rsidRPr="00AA3A9E">
        <w:rPr>
          <w:rFonts w:ascii="Arial" w:hAnsi="Arial" w:cs="Arial"/>
        </w:rPr>
        <w:t xml:space="preserve">6. </w:t>
      </w:r>
      <w:r w:rsidRPr="00AA3A9E">
        <w:rPr>
          <w:rFonts w:ascii="Arial" w:hAnsi="Arial" w:cs="Arial"/>
        </w:rPr>
        <w:tab/>
      </w:r>
      <w:r>
        <w:rPr>
          <w:rFonts w:ascii="Arial" w:hAnsi="Arial" w:cs="Arial"/>
        </w:rPr>
        <w:t>a</w:t>
      </w:r>
      <w:r w:rsidRPr="00AA3A9E">
        <w:rPr>
          <w:rFonts w:ascii="Arial" w:hAnsi="Arial" w:cs="Arial"/>
        </w:rPr>
        <w:t>MITIZA (Lubiprostone) Approval Package. U.S. Food and Drug Administration. https://www.accessdata.fda.gov/drugsatfda_docs/nda/2013/021908Orig1s011.pdf. Accessed December 1, 2020.</w:t>
      </w:r>
    </w:p>
    <w:p w:rsidR="000E1E7B" w:rsidRPr="00AA3A9E" w:rsidRDefault="000E1E7B" w:rsidP="000E1E7B">
      <w:pPr>
        <w:pStyle w:val="Bibliography"/>
        <w:spacing w:after="0"/>
        <w:rPr>
          <w:rFonts w:ascii="Arial" w:hAnsi="Arial" w:cs="Arial"/>
        </w:rPr>
      </w:pPr>
      <w:r w:rsidRPr="00AA3A9E">
        <w:rPr>
          <w:rFonts w:ascii="Arial" w:hAnsi="Arial" w:cs="Arial"/>
        </w:rPr>
        <w:t xml:space="preserve">7. </w:t>
      </w:r>
      <w:r w:rsidRPr="00AA3A9E">
        <w:rPr>
          <w:rFonts w:ascii="Arial" w:hAnsi="Arial" w:cs="Arial"/>
        </w:rPr>
        <w:tab/>
        <w:t>Shah ED, Kim HM, Schoenfeld P. Efficacy and Tolerability of Guanylate Cyclase-C Agonists for Irritable Bowel Syndrome with Constipation and Chronic Idiopathic Constipation: A Systematic Review and Meta-Analysis. Am J Gastroenterol 2018;113:329–338.</w:t>
      </w:r>
    </w:p>
    <w:p w:rsidR="000E1E7B" w:rsidRPr="00AA3A9E" w:rsidRDefault="000E1E7B" w:rsidP="000E1E7B">
      <w:pPr>
        <w:pStyle w:val="Bibliography"/>
        <w:spacing w:after="0"/>
        <w:rPr>
          <w:rFonts w:ascii="Arial" w:hAnsi="Arial" w:cs="Arial"/>
        </w:rPr>
      </w:pPr>
      <w:r w:rsidRPr="00AA3A9E">
        <w:rPr>
          <w:rFonts w:ascii="Arial" w:hAnsi="Arial" w:cs="Arial"/>
        </w:rPr>
        <w:t xml:space="preserve">8. </w:t>
      </w:r>
      <w:r w:rsidRPr="00AA3A9E">
        <w:rPr>
          <w:rFonts w:ascii="Arial" w:hAnsi="Arial" w:cs="Arial"/>
        </w:rPr>
        <w:tab/>
        <w:t>Lacy BE, Schey R, Shiff SJ, et al. Linaclotide in Chronic Idiopathic Constipation Patients with Moderate to Severe Abdominal Bloating: A Randomized, Controlled Trial. PloS One 2015;10:e0134349.</w:t>
      </w:r>
    </w:p>
    <w:p w:rsidR="000E1E7B" w:rsidRPr="00AA3A9E" w:rsidRDefault="000E1E7B" w:rsidP="000E1E7B">
      <w:pPr>
        <w:pStyle w:val="Bibliography"/>
        <w:spacing w:after="0"/>
        <w:rPr>
          <w:rFonts w:ascii="Arial" w:hAnsi="Arial" w:cs="Arial"/>
        </w:rPr>
      </w:pPr>
      <w:r w:rsidRPr="00AA3A9E">
        <w:rPr>
          <w:rFonts w:ascii="Arial" w:hAnsi="Arial" w:cs="Arial"/>
        </w:rPr>
        <w:t xml:space="preserve">9. </w:t>
      </w:r>
      <w:r w:rsidRPr="00AA3A9E">
        <w:rPr>
          <w:rFonts w:ascii="Arial" w:hAnsi="Arial" w:cs="Arial"/>
        </w:rPr>
        <w:tab/>
        <w:t>Lembo AJ, Schneier HA, Shiff SJ, et al. Two randomized trials of linaclotide for chronic constipation. N Engl J Med 2011;365:527–536.</w:t>
      </w:r>
    </w:p>
    <w:p w:rsidR="002B6CED" w:rsidRPr="000E1E7B" w:rsidRDefault="000E1E7B" w:rsidP="002B6CED">
      <w:pPr>
        <w:spacing w:after="0" w:line="240" w:lineRule="auto"/>
        <w:rPr>
          <w:rFonts w:ascii="Arial" w:eastAsia="Arial" w:hAnsi="Arial" w:cs="Arial"/>
          <w:b/>
        </w:rPr>
      </w:pPr>
      <w:r>
        <w:rPr>
          <w:rFonts w:ascii="Arial" w:eastAsia="Arial" w:hAnsi="Arial" w:cs="Arial"/>
          <w:b/>
        </w:rPr>
        <w:fldChar w:fldCharType="end"/>
      </w:r>
    </w:p>
    <w:p w:rsidR="00481EEC" w:rsidRPr="000E1E7B" w:rsidRDefault="00481EEC" w:rsidP="000E1E7B">
      <w:pPr>
        <w:spacing w:after="0" w:line="240" w:lineRule="auto"/>
        <w:rPr>
          <w:rFonts w:ascii="Arial" w:eastAsia="Arial" w:hAnsi="Arial" w:cs="Arial"/>
          <w:b/>
        </w:rPr>
      </w:pPr>
    </w:p>
    <w:sectPr w:rsidR="00481EEC" w:rsidRPr="000E1E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2C" w:rsidRDefault="00E52F2C" w:rsidP="00692753">
      <w:pPr>
        <w:spacing w:after="0" w:line="240" w:lineRule="auto"/>
      </w:pPr>
      <w:r>
        <w:separator/>
      </w:r>
    </w:p>
  </w:endnote>
  <w:endnote w:type="continuationSeparator" w:id="0">
    <w:p w:rsidR="00E52F2C" w:rsidRDefault="00E52F2C" w:rsidP="0069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632395"/>
      <w:docPartObj>
        <w:docPartGallery w:val="Page Numbers (Bottom of Page)"/>
        <w:docPartUnique/>
      </w:docPartObj>
    </w:sdtPr>
    <w:sdtEndPr>
      <w:rPr>
        <w:rFonts w:ascii="Arial" w:hAnsi="Arial" w:cs="Arial"/>
        <w:noProof/>
      </w:rPr>
    </w:sdtEndPr>
    <w:sdtContent>
      <w:p w:rsidR="008E0775" w:rsidRDefault="008E0775" w:rsidP="00692753">
        <w:pPr>
          <w:pStyle w:val="Footer"/>
          <w:jc w:val="center"/>
        </w:pPr>
        <w:r w:rsidRPr="00212EE8">
          <w:rPr>
            <w:rFonts w:ascii="Arial" w:hAnsi="Arial" w:cs="Arial"/>
          </w:rPr>
          <w:fldChar w:fldCharType="begin"/>
        </w:r>
        <w:r w:rsidRPr="00212EE8">
          <w:rPr>
            <w:rFonts w:ascii="Arial" w:hAnsi="Arial" w:cs="Arial"/>
          </w:rPr>
          <w:instrText xml:space="preserve"> PAGE   \* MERGEFORMAT </w:instrText>
        </w:r>
        <w:r w:rsidRPr="00212EE8">
          <w:rPr>
            <w:rFonts w:ascii="Arial" w:hAnsi="Arial" w:cs="Arial"/>
          </w:rPr>
          <w:fldChar w:fldCharType="separate"/>
        </w:r>
        <w:r w:rsidR="00864A18">
          <w:rPr>
            <w:rFonts w:ascii="Arial" w:hAnsi="Arial" w:cs="Arial"/>
            <w:noProof/>
          </w:rPr>
          <w:t>2</w:t>
        </w:r>
        <w:r w:rsidRPr="00212EE8">
          <w:rPr>
            <w:rFonts w:ascii="Arial" w:hAnsi="Arial" w:cs="Arial"/>
            <w:noProof/>
          </w:rPr>
          <w:fldChar w:fldCharType="end"/>
        </w:r>
      </w:p>
    </w:sdtContent>
  </w:sdt>
  <w:p w:rsidR="008E0775" w:rsidRDefault="008E0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2C" w:rsidRDefault="00E52F2C" w:rsidP="00692753">
      <w:pPr>
        <w:spacing w:after="0" w:line="240" w:lineRule="auto"/>
      </w:pPr>
      <w:r>
        <w:separator/>
      </w:r>
    </w:p>
  </w:footnote>
  <w:footnote w:type="continuationSeparator" w:id="0">
    <w:p w:rsidR="00E52F2C" w:rsidRDefault="00E52F2C" w:rsidP="00692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6"/>
    <w:rsid w:val="0001262E"/>
    <w:rsid w:val="00013112"/>
    <w:rsid w:val="00013BBA"/>
    <w:rsid w:val="00017487"/>
    <w:rsid w:val="000264FD"/>
    <w:rsid w:val="00047514"/>
    <w:rsid w:val="000645D7"/>
    <w:rsid w:val="00070899"/>
    <w:rsid w:val="00071695"/>
    <w:rsid w:val="000825FD"/>
    <w:rsid w:val="000A71AA"/>
    <w:rsid w:val="000B0684"/>
    <w:rsid w:val="000B0853"/>
    <w:rsid w:val="000B7334"/>
    <w:rsid w:val="000C0737"/>
    <w:rsid w:val="000C15E7"/>
    <w:rsid w:val="000C1D7D"/>
    <w:rsid w:val="000D5B10"/>
    <w:rsid w:val="000E1E7B"/>
    <w:rsid w:val="000E50FD"/>
    <w:rsid w:val="00124E89"/>
    <w:rsid w:val="00127A92"/>
    <w:rsid w:val="00134326"/>
    <w:rsid w:val="0014151B"/>
    <w:rsid w:val="001460E1"/>
    <w:rsid w:val="00154145"/>
    <w:rsid w:val="001603F2"/>
    <w:rsid w:val="0016063D"/>
    <w:rsid w:val="00167A51"/>
    <w:rsid w:val="00167ABF"/>
    <w:rsid w:val="001810D2"/>
    <w:rsid w:val="00182C26"/>
    <w:rsid w:val="001914C2"/>
    <w:rsid w:val="001977B8"/>
    <w:rsid w:val="001A4D98"/>
    <w:rsid w:val="001A5DF1"/>
    <w:rsid w:val="001B2A07"/>
    <w:rsid w:val="001B5D25"/>
    <w:rsid w:val="001C5F0C"/>
    <w:rsid w:val="001D2C1F"/>
    <w:rsid w:val="001D45CA"/>
    <w:rsid w:val="001E00A2"/>
    <w:rsid w:val="001E3DCA"/>
    <w:rsid w:val="001E4B26"/>
    <w:rsid w:val="00200B93"/>
    <w:rsid w:val="00201452"/>
    <w:rsid w:val="00212EE8"/>
    <w:rsid w:val="002134A5"/>
    <w:rsid w:val="002228BA"/>
    <w:rsid w:val="00223FAC"/>
    <w:rsid w:val="00225D5E"/>
    <w:rsid w:val="00231C08"/>
    <w:rsid w:val="00232D7E"/>
    <w:rsid w:val="0023657E"/>
    <w:rsid w:val="002558F1"/>
    <w:rsid w:val="0025737A"/>
    <w:rsid w:val="00267377"/>
    <w:rsid w:val="002A1A25"/>
    <w:rsid w:val="002A3A53"/>
    <w:rsid w:val="002B57D2"/>
    <w:rsid w:val="002B6CED"/>
    <w:rsid w:val="002C3D96"/>
    <w:rsid w:val="002D0BBF"/>
    <w:rsid w:val="002D2DC0"/>
    <w:rsid w:val="002D4000"/>
    <w:rsid w:val="002E0F78"/>
    <w:rsid w:val="002F2244"/>
    <w:rsid w:val="003078E2"/>
    <w:rsid w:val="003201B0"/>
    <w:rsid w:val="00325A35"/>
    <w:rsid w:val="0033255F"/>
    <w:rsid w:val="0033723F"/>
    <w:rsid w:val="00341289"/>
    <w:rsid w:val="00364B56"/>
    <w:rsid w:val="00366B4A"/>
    <w:rsid w:val="00385098"/>
    <w:rsid w:val="003F795C"/>
    <w:rsid w:val="00404002"/>
    <w:rsid w:val="00426276"/>
    <w:rsid w:val="00462D5C"/>
    <w:rsid w:val="00465065"/>
    <w:rsid w:val="004651B3"/>
    <w:rsid w:val="0047492D"/>
    <w:rsid w:val="00481EEC"/>
    <w:rsid w:val="00486F6E"/>
    <w:rsid w:val="00492E9F"/>
    <w:rsid w:val="004B166F"/>
    <w:rsid w:val="004B6510"/>
    <w:rsid w:val="004C0D20"/>
    <w:rsid w:val="004C3DC9"/>
    <w:rsid w:val="004D23C1"/>
    <w:rsid w:val="004D486E"/>
    <w:rsid w:val="004D4FB9"/>
    <w:rsid w:val="005034FE"/>
    <w:rsid w:val="005078EA"/>
    <w:rsid w:val="00513BD4"/>
    <w:rsid w:val="00526E63"/>
    <w:rsid w:val="00541486"/>
    <w:rsid w:val="005466C5"/>
    <w:rsid w:val="0056405B"/>
    <w:rsid w:val="0056435A"/>
    <w:rsid w:val="0057775D"/>
    <w:rsid w:val="00582A39"/>
    <w:rsid w:val="00590752"/>
    <w:rsid w:val="00594564"/>
    <w:rsid w:val="005B0DF7"/>
    <w:rsid w:val="005C571B"/>
    <w:rsid w:val="005C6346"/>
    <w:rsid w:val="005D0FE6"/>
    <w:rsid w:val="005E1477"/>
    <w:rsid w:val="005E5186"/>
    <w:rsid w:val="005F75FD"/>
    <w:rsid w:val="00600B6C"/>
    <w:rsid w:val="0060725A"/>
    <w:rsid w:val="00642518"/>
    <w:rsid w:val="00660410"/>
    <w:rsid w:val="00670993"/>
    <w:rsid w:val="00672387"/>
    <w:rsid w:val="006839FD"/>
    <w:rsid w:val="006907C4"/>
    <w:rsid w:val="00692753"/>
    <w:rsid w:val="00692A5A"/>
    <w:rsid w:val="006A68E6"/>
    <w:rsid w:val="006C68D1"/>
    <w:rsid w:val="006C72A9"/>
    <w:rsid w:val="006E1F77"/>
    <w:rsid w:val="006E55CF"/>
    <w:rsid w:val="006F7C88"/>
    <w:rsid w:val="00700E81"/>
    <w:rsid w:val="00706298"/>
    <w:rsid w:val="007169C2"/>
    <w:rsid w:val="00731D33"/>
    <w:rsid w:val="0073211F"/>
    <w:rsid w:val="007405F9"/>
    <w:rsid w:val="007458B6"/>
    <w:rsid w:val="00747FB6"/>
    <w:rsid w:val="00752333"/>
    <w:rsid w:val="007551CC"/>
    <w:rsid w:val="007632E0"/>
    <w:rsid w:val="007832B7"/>
    <w:rsid w:val="00791062"/>
    <w:rsid w:val="0079423A"/>
    <w:rsid w:val="007974B5"/>
    <w:rsid w:val="007A09FA"/>
    <w:rsid w:val="007C46ED"/>
    <w:rsid w:val="007E0C4C"/>
    <w:rsid w:val="007F0B95"/>
    <w:rsid w:val="00810929"/>
    <w:rsid w:val="008340E0"/>
    <w:rsid w:val="00844B53"/>
    <w:rsid w:val="00854C11"/>
    <w:rsid w:val="0086173F"/>
    <w:rsid w:val="008627D7"/>
    <w:rsid w:val="00864A18"/>
    <w:rsid w:val="0087762C"/>
    <w:rsid w:val="0088286C"/>
    <w:rsid w:val="008B39D9"/>
    <w:rsid w:val="008E0775"/>
    <w:rsid w:val="00932E56"/>
    <w:rsid w:val="00940F8D"/>
    <w:rsid w:val="00995314"/>
    <w:rsid w:val="009D7D25"/>
    <w:rsid w:val="009E6AF3"/>
    <w:rsid w:val="009F563F"/>
    <w:rsid w:val="00A06AE3"/>
    <w:rsid w:val="00A07744"/>
    <w:rsid w:val="00A21B44"/>
    <w:rsid w:val="00A4671A"/>
    <w:rsid w:val="00A667D3"/>
    <w:rsid w:val="00A717E2"/>
    <w:rsid w:val="00A84A84"/>
    <w:rsid w:val="00A95C0B"/>
    <w:rsid w:val="00AA013A"/>
    <w:rsid w:val="00AA29EE"/>
    <w:rsid w:val="00AA3A9E"/>
    <w:rsid w:val="00AA653B"/>
    <w:rsid w:val="00AB3BFF"/>
    <w:rsid w:val="00AB6EE6"/>
    <w:rsid w:val="00AB7AF6"/>
    <w:rsid w:val="00AC2EF6"/>
    <w:rsid w:val="00AF2B66"/>
    <w:rsid w:val="00AF36E0"/>
    <w:rsid w:val="00B07114"/>
    <w:rsid w:val="00B1249C"/>
    <w:rsid w:val="00B12DAD"/>
    <w:rsid w:val="00B22380"/>
    <w:rsid w:val="00B377D2"/>
    <w:rsid w:val="00B52F6B"/>
    <w:rsid w:val="00B5488E"/>
    <w:rsid w:val="00B60467"/>
    <w:rsid w:val="00B60EE6"/>
    <w:rsid w:val="00B9032E"/>
    <w:rsid w:val="00B9489D"/>
    <w:rsid w:val="00B97FD4"/>
    <w:rsid w:val="00BA48B7"/>
    <w:rsid w:val="00BA585B"/>
    <w:rsid w:val="00BE1601"/>
    <w:rsid w:val="00BE2960"/>
    <w:rsid w:val="00BE2EBA"/>
    <w:rsid w:val="00BE623C"/>
    <w:rsid w:val="00BF1D1F"/>
    <w:rsid w:val="00C051DA"/>
    <w:rsid w:val="00C10DDA"/>
    <w:rsid w:val="00C13B16"/>
    <w:rsid w:val="00C15052"/>
    <w:rsid w:val="00C411E5"/>
    <w:rsid w:val="00C50A9C"/>
    <w:rsid w:val="00C50DB0"/>
    <w:rsid w:val="00C630F6"/>
    <w:rsid w:val="00C67262"/>
    <w:rsid w:val="00C72BAC"/>
    <w:rsid w:val="00C73479"/>
    <w:rsid w:val="00C84EF7"/>
    <w:rsid w:val="00C86B37"/>
    <w:rsid w:val="00C92EAE"/>
    <w:rsid w:val="00C96F2E"/>
    <w:rsid w:val="00CA276B"/>
    <w:rsid w:val="00CA787A"/>
    <w:rsid w:val="00CC0567"/>
    <w:rsid w:val="00CC368E"/>
    <w:rsid w:val="00CC5F26"/>
    <w:rsid w:val="00CE14D9"/>
    <w:rsid w:val="00CE2E73"/>
    <w:rsid w:val="00CF3839"/>
    <w:rsid w:val="00CF5103"/>
    <w:rsid w:val="00D03BFA"/>
    <w:rsid w:val="00D217A5"/>
    <w:rsid w:val="00D456F5"/>
    <w:rsid w:val="00D71B42"/>
    <w:rsid w:val="00D80EDB"/>
    <w:rsid w:val="00DA0568"/>
    <w:rsid w:val="00DA6E68"/>
    <w:rsid w:val="00DB7157"/>
    <w:rsid w:val="00DB71CF"/>
    <w:rsid w:val="00DD151D"/>
    <w:rsid w:val="00E01E39"/>
    <w:rsid w:val="00E07611"/>
    <w:rsid w:val="00E1477D"/>
    <w:rsid w:val="00E262B8"/>
    <w:rsid w:val="00E32AE6"/>
    <w:rsid w:val="00E3588D"/>
    <w:rsid w:val="00E44E4E"/>
    <w:rsid w:val="00E51A38"/>
    <w:rsid w:val="00E52F2C"/>
    <w:rsid w:val="00E579A6"/>
    <w:rsid w:val="00E90430"/>
    <w:rsid w:val="00E942EE"/>
    <w:rsid w:val="00ED0152"/>
    <w:rsid w:val="00ED72B9"/>
    <w:rsid w:val="00F1138D"/>
    <w:rsid w:val="00F12680"/>
    <w:rsid w:val="00F22F86"/>
    <w:rsid w:val="00F376E9"/>
    <w:rsid w:val="00F4071C"/>
    <w:rsid w:val="00F46AB7"/>
    <w:rsid w:val="00F65B09"/>
    <w:rsid w:val="00F77569"/>
    <w:rsid w:val="00F84355"/>
    <w:rsid w:val="00F85FC0"/>
    <w:rsid w:val="00FC12CD"/>
    <w:rsid w:val="00FD06A2"/>
    <w:rsid w:val="00FE0438"/>
    <w:rsid w:val="00FE6CD4"/>
    <w:rsid w:val="00FF35DD"/>
    <w:rsid w:val="00FF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47295"/>
  <w14:defaultImageDpi w14:val="330"/>
  <w15:chartTrackingRefBased/>
  <w15:docId w15:val="{0820C975-A341-4C86-9B91-CC2CF9A4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68E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DA"/>
    <w:rPr>
      <w:rFonts w:ascii="Segoe UI" w:eastAsia="Calibri" w:hAnsi="Segoe UI" w:cs="Segoe UI"/>
      <w:sz w:val="18"/>
      <w:szCs w:val="18"/>
    </w:rPr>
  </w:style>
  <w:style w:type="paragraph" w:styleId="Header">
    <w:name w:val="header"/>
    <w:basedOn w:val="Normal"/>
    <w:link w:val="HeaderChar"/>
    <w:uiPriority w:val="99"/>
    <w:unhideWhenUsed/>
    <w:rsid w:val="0069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753"/>
    <w:rPr>
      <w:rFonts w:ascii="Calibri" w:eastAsia="Calibri" w:hAnsi="Calibri" w:cs="Calibri"/>
    </w:rPr>
  </w:style>
  <w:style w:type="paragraph" w:styleId="Footer">
    <w:name w:val="footer"/>
    <w:basedOn w:val="Normal"/>
    <w:link w:val="FooterChar"/>
    <w:uiPriority w:val="99"/>
    <w:unhideWhenUsed/>
    <w:rsid w:val="0069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753"/>
    <w:rPr>
      <w:rFonts w:ascii="Calibri" w:eastAsia="Calibri" w:hAnsi="Calibri" w:cs="Calibri"/>
    </w:rPr>
  </w:style>
  <w:style w:type="table" w:styleId="TableGridLight">
    <w:name w:val="Grid Table Light"/>
    <w:basedOn w:val="TableNormal"/>
    <w:uiPriority w:val="40"/>
    <w:rsid w:val="000126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unhideWhenUsed/>
    <w:rsid w:val="00C630F6"/>
    <w:pPr>
      <w:tabs>
        <w:tab w:val="left" w:pos="384"/>
      </w:tabs>
      <w:spacing w:after="240" w:line="240" w:lineRule="auto"/>
      <w:ind w:left="384" w:hanging="384"/>
    </w:pPr>
  </w:style>
  <w:style w:type="table" w:styleId="TableGrid">
    <w:name w:val="Table Grid"/>
    <w:basedOn w:val="TableNormal"/>
    <w:uiPriority w:val="39"/>
    <w:rsid w:val="002558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3879-2778-48AE-B579-51F78FF8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 Shah</dc:creator>
  <cp:keywords/>
  <dc:description/>
  <cp:lastModifiedBy>Eric D. Shah</cp:lastModifiedBy>
  <cp:revision>225</cp:revision>
  <dcterms:created xsi:type="dcterms:W3CDTF">2019-03-12T20:28:00Z</dcterms:created>
  <dcterms:modified xsi:type="dcterms:W3CDTF">2021-05-26T20:25:00Z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id="ZbCZl1bH"/&gt;&lt;style id="http://www.zotero.org/styles/gastroenterology"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