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E7" w:rsidRDefault="001D53E7" w:rsidP="001D53E7">
      <w:pPr>
        <w:spacing w:after="0" w:line="240" w:lineRule="auto"/>
        <w:rPr>
          <w:rFonts w:ascii="Arial" w:eastAsia="Arial" w:hAnsi="Arial" w:cs="Arial"/>
          <w:b/>
        </w:rPr>
      </w:pPr>
      <w:bookmarkStart w:id="0" w:name="_GoBack"/>
      <w:bookmarkEnd w:id="0"/>
      <w:r>
        <w:rPr>
          <w:rFonts w:ascii="Arial" w:eastAsia="Arial" w:hAnsi="Arial" w:cs="Arial"/>
          <w:b/>
        </w:rPr>
        <w:t xml:space="preserve">Comparative cost-effectiveness of CIC prescription drug therapies and usual care. </w:t>
      </w:r>
      <w:r w:rsidRPr="00C50DB0">
        <w:rPr>
          <w:rFonts w:ascii="Arial" w:eastAsia="Arial" w:hAnsi="Arial" w:cs="Arial"/>
        </w:rPr>
        <w:t xml:space="preserve">Results are displayed according to </w:t>
      </w:r>
      <w:r>
        <w:rPr>
          <w:rFonts w:ascii="Arial" w:eastAsia="Arial" w:hAnsi="Arial" w:cs="Arial"/>
        </w:rPr>
        <w:t xml:space="preserve">different responder </w:t>
      </w:r>
      <w:r w:rsidRPr="00C50DB0">
        <w:rPr>
          <w:rFonts w:ascii="Arial" w:eastAsia="Arial" w:hAnsi="Arial" w:cs="Arial"/>
        </w:rPr>
        <w:t>endpoint</w:t>
      </w:r>
      <w:r>
        <w:rPr>
          <w:rFonts w:ascii="Arial" w:eastAsia="Arial" w:hAnsi="Arial" w:cs="Arial"/>
        </w:rPr>
        <w:t>s based on availability of data in integrated analyses</w:t>
      </w:r>
      <w:r w:rsidRPr="00C50DB0">
        <w:rPr>
          <w:rFonts w:ascii="Arial" w:eastAsia="Arial" w:hAnsi="Arial" w:cs="Arial"/>
        </w:rPr>
        <w:t>.</w:t>
      </w:r>
      <w:r>
        <w:rPr>
          <w:rFonts w:ascii="Arial" w:eastAsia="Arial" w:hAnsi="Arial" w:cs="Arial"/>
        </w:rPr>
        <w:t xml:space="preserve"> For this analysis, efficacy outcomes were extracted for each endpoint from recent network meta-analyses and systematic reviews</w:t>
      </w:r>
      <w:r>
        <w:rPr>
          <w:rFonts w:ascii="Arial" w:eastAsia="Arial" w:hAnsi="Arial" w:cs="Arial"/>
        </w:rPr>
        <w:fldChar w:fldCharType="begin"/>
      </w:r>
      <w:r>
        <w:rPr>
          <w:rFonts w:ascii="Arial" w:eastAsia="Arial" w:hAnsi="Arial" w:cs="Arial"/>
        </w:rPr>
        <w:instrText xml:space="preserve"> ADDIN ZOTERO_ITEM CSL_CITATION {"citationID":"Bqc6aYGy","properties":{"formattedCitation":"\\super 4,5,7\\nosupersub{}","plainCitation":"4,5,7","noteIndex":0},"citationItems":[{"id":1891,"uris":["http://zotero.org/users/2707299/items/S8HPGA4S"],"uri":["http://zotero.org/users/2707299/items/S8HPGA4S"],"itemData":{"id":1891,"type":"article-journal","abstract":"OBJECTIVES: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id":27049,"uris":["http://zotero.org/users/2707299/items/RUI8W3U5"],"uri":["http://zotero.org/users/2707299/items/RUI8W3U5"],"itemData":{"id":27049,"type":"article-journal","container-title":"The Lancet Gastroenterology &amp; Hepatology","DOI":"10.1016/S2468-1253(19)30246-8","ISSN":"24681253","issue":"11","language":"en","page":"831-844","source":"Crossref","title":"Efficacy of drugs in chronic idiopathic constipation: a systematic review and network meta-analysis","title-short":"Efficacy of drugs in chronic idiopathic constipation","volume":"4","author":[{"family":"Luthra","given":"Pavit"},{"family":"Camilleri","given":"Michael"},{"family":"Burr","given":"Nicholas E"},{"family":"Quigley","given":"Eamonn M M"},{"family":"Black","given":"Christopher J"},{"family":"Ford","given":"Alexander C"}],"issued":{"date-parts":[["2019",11]]}}},{"id":27047,"uris":["http://zotero.org/users/2707299/items/X7IEXFR6"],"uri":["http://zotero.org/users/2707299/items/X7IEXFR6"],"itemData":{"id":27047,"type":"article-journal","container-title":"Gut","DOI":"10.1136/gutjnl-2016-311835","ISSN":"0017-5749, 1468-3288","issue":"9","language":"en","page":"1611-1622","source":"Crossref","title":"Comparison of efficacy of pharmacological treatments for chronic idiopathic constipation: a systematic review and network meta-analysis","title-short":"Comparison of efficacy of pharmacological treatments for chronic idiopathic constipation","volume":"66","author":[{"family":"Nelson","given":"Alfred D"},{"family":"Camilleri","given":"Michael"},{"family":"Chirapongsathorn","given":"Sakkarin"},{"family":"Vijayvargiya","given":"Priya"},{"family":"Valentin","given":"Nelson"},{"family":"Shin","given":"Andrea"},{"family":"Erwin","given":"Patricia J"},{"family":"Wang","given":"Zhen"},{"family":"Murad","given":"M Hassan"}],"issued":{"date-parts":[["2017",9]]}}}],"schema":"https://github.com/citation-style-language/schema/raw/master/csl-citation.json"} </w:instrText>
      </w:r>
      <w:r>
        <w:rPr>
          <w:rFonts w:ascii="Arial" w:eastAsia="Arial" w:hAnsi="Arial" w:cs="Arial"/>
        </w:rPr>
        <w:fldChar w:fldCharType="separate"/>
      </w:r>
      <w:r w:rsidRPr="00AA3A9E">
        <w:rPr>
          <w:rFonts w:ascii="Arial" w:hAnsi="Arial" w:cs="Arial"/>
          <w:szCs w:val="24"/>
          <w:vertAlign w:val="superscript"/>
        </w:rPr>
        <w:t>4,5,7</w:t>
      </w:r>
      <w:r>
        <w:rPr>
          <w:rFonts w:ascii="Arial" w:eastAsia="Arial" w:hAnsi="Arial" w:cs="Arial"/>
        </w:rPr>
        <w:fldChar w:fldCharType="end"/>
      </w:r>
      <w:r>
        <w:rPr>
          <w:rFonts w:ascii="Arial" w:eastAsia="Arial" w:hAnsi="Arial" w:cs="Arial"/>
        </w:rPr>
        <w:t xml:space="preserve"> and verified against relevant source data (FDA approval documents, integrated analyses, and clinical trials). Costs are rounded to the nearest whole US dollar ($). The primary responder definition used in our primary analysis was the most rigorous endpoint and associated with the highest ICERs (i.e. the least cost-effectiveness) compared to other endpoints. The “increase </w:t>
      </w:r>
      <w:r w:rsidRPr="009D7D25">
        <w:rPr>
          <w:rFonts w:ascii="Arial" w:eastAsia="Arial" w:hAnsi="Arial" w:cs="Arial"/>
        </w:rPr>
        <w:t>of ≥1 CSBM per week from baseline</w:t>
      </w:r>
      <w:r>
        <w:rPr>
          <w:rFonts w:ascii="Arial" w:eastAsia="Arial" w:hAnsi="Arial" w:cs="Arial"/>
        </w:rPr>
        <w:t>” endpoint resulted in the lowest ICERs (i.e. the greatest cost-effectiveness).</w:t>
      </w:r>
    </w:p>
    <w:tbl>
      <w:tblPr>
        <w:tblW w:w="103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080"/>
        <w:gridCol w:w="1890"/>
        <w:gridCol w:w="1350"/>
        <w:gridCol w:w="1440"/>
        <w:gridCol w:w="2430"/>
      </w:tblGrid>
      <w:tr w:rsidR="001D53E7" w:rsidRPr="008A6471" w:rsidTr="00AC1D0B">
        <w:tc>
          <w:tcPr>
            <w:tcW w:w="2160" w:type="dxa"/>
          </w:tcPr>
          <w:p w:rsidR="001D53E7" w:rsidRPr="00C50DB0" w:rsidRDefault="001D53E7" w:rsidP="00AC1D0B">
            <w:pPr>
              <w:spacing w:after="0"/>
              <w:rPr>
                <w:rFonts w:ascii="Arial" w:eastAsia="Arial" w:hAnsi="Arial" w:cs="Arial"/>
                <w:b/>
                <w:sz w:val="18"/>
              </w:rPr>
            </w:pPr>
            <w:r w:rsidRPr="008A6471">
              <w:rPr>
                <w:rFonts w:ascii="Arial" w:eastAsia="Arial" w:hAnsi="Arial" w:cs="Arial"/>
                <w:b/>
                <w:sz w:val="18"/>
              </w:rPr>
              <w:t>Strategy</w:t>
            </w:r>
          </w:p>
        </w:tc>
        <w:tc>
          <w:tcPr>
            <w:tcW w:w="1080" w:type="dxa"/>
          </w:tcPr>
          <w:p w:rsidR="001D53E7" w:rsidRPr="008A6471" w:rsidRDefault="001D53E7" w:rsidP="00AC1D0B">
            <w:pPr>
              <w:spacing w:after="0"/>
              <w:rPr>
                <w:rFonts w:ascii="Arial" w:eastAsia="Arial" w:hAnsi="Arial" w:cs="Arial"/>
                <w:b/>
                <w:sz w:val="18"/>
              </w:rPr>
            </w:pPr>
            <w:r w:rsidRPr="008A6471">
              <w:rPr>
                <w:rFonts w:ascii="Arial" w:eastAsia="Arial" w:hAnsi="Arial" w:cs="Arial"/>
                <w:b/>
                <w:sz w:val="18"/>
              </w:rPr>
              <w:t>Total cost ($/y</w:t>
            </w:r>
            <w:r>
              <w:rPr>
                <w:rFonts w:ascii="Arial" w:eastAsia="Arial" w:hAnsi="Arial" w:cs="Arial"/>
                <w:b/>
                <w:sz w:val="18"/>
              </w:rPr>
              <w:t>ea</w:t>
            </w:r>
            <w:r w:rsidRPr="008A6471">
              <w:rPr>
                <w:rFonts w:ascii="Arial" w:eastAsia="Arial" w:hAnsi="Arial" w:cs="Arial"/>
                <w:b/>
                <w:sz w:val="18"/>
              </w:rPr>
              <w:t>r)</w:t>
            </w:r>
          </w:p>
        </w:tc>
        <w:tc>
          <w:tcPr>
            <w:tcW w:w="1890" w:type="dxa"/>
          </w:tcPr>
          <w:p w:rsidR="001D53E7" w:rsidRPr="008A6471" w:rsidRDefault="001D53E7" w:rsidP="00AC1D0B">
            <w:pPr>
              <w:spacing w:after="0"/>
              <w:rPr>
                <w:rFonts w:ascii="Arial" w:eastAsia="Arial" w:hAnsi="Arial" w:cs="Arial"/>
                <w:b/>
                <w:sz w:val="18"/>
              </w:rPr>
            </w:pPr>
            <w:r w:rsidRPr="008A6471">
              <w:rPr>
                <w:rFonts w:ascii="Arial" w:eastAsia="Arial" w:hAnsi="Arial" w:cs="Arial"/>
                <w:b/>
                <w:sz w:val="18"/>
              </w:rPr>
              <w:t>Total effectiveness (QALY gained)</w:t>
            </w:r>
            <w:r>
              <w:rPr>
                <w:rFonts w:ascii="Arial" w:eastAsia="Arial" w:hAnsi="Arial" w:cs="Arial"/>
                <w:b/>
                <w:sz w:val="18"/>
              </w:rPr>
              <w:t xml:space="preserve"> over 12 weeks</w:t>
            </w:r>
          </w:p>
        </w:tc>
        <w:tc>
          <w:tcPr>
            <w:tcW w:w="1350" w:type="dxa"/>
          </w:tcPr>
          <w:p w:rsidR="001D53E7" w:rsidRPr="008A6471" w:rsidRDefault="001D53E7" w:rsidP="00AC1D0B">
            <w:pPr>
              <w:spacing w:after="0"/>
              <w:rPr>
                <w:rFonts w:ascii="Arial" w:eastAsia="Arial" w:hAnsi="Arial" w:cs="Arial"/>
                <w:b/>
                <w:sz w:val="18"/>
              </w:rPr>
            </w:pPr>
            <w:r w:rsidRPr="008A6471">
              <w:rPr>
                <w:rFonts w:ascii="Arial" w:eastAsia="Arial" w:hAnsi="Arial" w:cs="Arial"/>
                <w:b/>
                <w:sz w:val="18"/>
              </w:rPr>
              <w:t>Incremental cost ($)</w:t>
            </w:r>
          </w:p>
        </w:tc>
        <w:tc>
          <w:tcPr>
            <w:tcW w:w="1440" w:type="dxa"/>
          </w:tcPr>
          <w:p w:rsidR="001D53E7" w:rsidRPr="008A6471" w:rsidRDefault="001D53E7" w:rsidP="00AC1D0B">
            <w:pPr>
              <w:spacing w:after="0"/>
              <w:rPr>
                <w:rFonts w:ascii="Arial" w:eastAsia="Arial" w:hAnsi="Arial" w:cs="Arial"/>
                <w:b/>
                <w:sz w:val="18"/>
              </w:rPr>
            </w:pPr>
            <w:r w:rsidRPr="008A6471">
              <w:rPr>
                <w:rFonts w:ascii="Arial" w:eastAsia="Arial" w:hAnsi="Arial" w:cs="Arial"/>
                <w:b/>
                <w:sz w:val="18"/>
              </w:rPr>
              <w:t>Incremental effectiveness (QALY)</w:t>
            </w:r>
          </w:p>
          <w:p w:rsidR="001D53E7" w:rsidRPr="008A6471" w:rsidRDefault="001D53E7" w:rsidP="00AC1D0B">
            <w:pPr>
              <w:spacing w:after="0"/>
              <w:rPr>
                <w:rFonts w:ascii="Arial" w:eastAsia="Arial" w:hAnsi="Arial" w:cs="Arial"/>
                <w:b/>
                <w:sz w:val="18"/>
              </w:rPr>
            </w:pPr>
          </w:p>
        </w:tc>
        <w:tc>
          <w:tcPr>
            <w:tcW w:w="2430" w:type="dxa"/>
          </w:tcPr>
          <w:p w:rsidR="001D53E7" w:rsidRPr="008A6471" w:rsidRDefault="001D53E7" w:rsidP="00AC1D0B">
            <w:pPr>
              <w:spacing w:after="0"/>
              <w:rPr>
                <w:rFonts w:ascii="Arial" w:eastAsia="Arial" w:hAnsi="Arial" w:cs="Arial"/>
                <w:b/>
                <w:sz w:val="18"/>
              </w:rPr>
            </w:pPr>
            <w:r w:rsidRPr="008A6471">
              <w:rPr>
                <w:rFonts w:ascii="Arial" w:eastAsia="Arial" w:hAnsi="Arial" w:cs="Arial"/>
                <w:b/>
                <w:sz w:val="18"/>
              </w:rPr>
              <w:t>ICER</w:t>
            </w:r>
          </w:p>
          <w:p w:rsidR="001D53E7" w:rsidRPr="008A6471" w:rsidRDefault="001D53E7" w:rsidP="00AC1D0B">
            <w:pPr>
              <w:spacing w:after="0"/>
              <w:rPr>
                <w:rFonts w:ascii="Arial" w:eastAsia="Arial" w:hAnsi="Arial" w:cs="Arial"/>
                <w:b/>
                <w:sz w:val="18"/>
              </w:rPr>
            </w:pPr>
            <w:r>
              <w:rPr>
                <w:rFonts w:ascii="Arial" w:eastAsia="Arial" w:hAnsi="Arial" w:cs="Arial"/>
                <w:b/>
                <w:sz w:val="18"/>
              </w:rPr>
              <w:t>($/QALY-</w:t>
            </w:r>
            <w:r w:rsidRPr="008A6471">
              <w:rPr>
                <w:rFonts w:ascii="Arial" w:eastAsia="Arial" w:hAnsi="Arial" w:cs="Arial"/>
                <w:b/>
                <w:sz w:val="18"/>
              </w:rPr>
              <w:t>gain</w:t>
            </w:r>
            <w:r>
              <w:rPr>
                <w:rFonts w:ascii="Arial" w:eastAsia="Arial" w:hAnsi="Arial" w:cs="Arial"/>
                <w:b/>
                <w:sz w:val="18"/>
              </w:rPr>
              <w:t>ed</w:t>
            </w:r>
            <w:r w:rsidRPr="008A6471">
              <w:rPr>
                <w:rFonts w:ascii="Arial" w:eastAsia="Arial" w:hAnsi="Arial" w:cs="Arial"/>
                <w:b/>
                <w:sz w:val="18"/>
              </w:rPr>
              <w:t>)</w:t>
            </w:r>
          </w:p>
        </w:tc>
      </w:tr>
      <w:tr w:rsidR="001D53E7" w:rsidRPr="008A6471" w:rsidTr="00AC1D0B">
        <w:tc>
          <w:tcPr>
            <w:tcW w:w="10350" w:type="dxa"/>
            <w:gridSpan w:val="6"/>
          </w:tcPr>
          <w:p w:rsidR="001D53E7" w:rsidRPr="008A6471" w:rsidRDefault="001D53E7" w:rsidP="00AC1D0B">
            <w:pPr>
              <w:spacing w:after="0"/>
              <w:jc w:val="center"/>
              <w:rPr>
                <w:rFonts w:ascii="Arial" w:eastAsia="Arial" w:hAnsi="Arial" w:cs="Arial"/>
                <w:i/>
                <w:sz w:val="18"/>
              </w:rPr>
            </w:pPr>
            <w:r>
              <w:rPr>
                <w:rFonts w:ascii="Arial" w:eastAsia="Arial" w:hAnsi="Arial" w:cs="Arial"/>
                <w:i/>
                <w:sz w:val="18"/>
              </w:rPr>
              <w:t>Insurer</w:t>
            </w:r>
            <w:r w:rsidRPr="008A6471">
              <w:rPr>
                <w:rFonts w:ascii="Arial" w:eastAsia="Arial" w:hAnsi="Arial" w:cs="Arial"/>
                <w:i/>
                <w:sz w:val="18"/>
              </w:rPr>
              <w:t xml:space="preserve"> perspective</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r w:rsidRPr="005466C5">
              <w:rPr>
                <w:rFonts w:ascii="Arial" w:eastAsia="Arial" w:hAnsi="Arial" w:cs="Arial"/>
                <w:b/>
                <w:sz w:val="18"/>
                <w:szCs w:val="20"/>
              </w:rPr>
              <w:t>Usual care</w:t>
            </w:r>
          </w:p>
        </w:tc>
        <w:tc>
          <w:tcPr>
            <w:tcW w:w="108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$569</w:t>
            </w:r>
          </w:p>
        </w:tc>
        <w:tc>
          <w:tcPr>
            <w:tcW w:w="189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0.188</w:t>
            </w:r>
          </w:p>
        </w:tc>
        <w:tc>
          <w:tcPr>
            <w:tcW w:w="135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Reference</w:t>
            </w:r>
          </w:p>
        </w:tc>
        <w:tc>
          <w:tcPr>
            <w:tcW w:w="144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Reference</w:t>
            </w:r>
          </w:p>
        </w:tc>
        <w:tc>
          <w:tcPr>
            <w:tcW w:w="243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Reference</w:t>
            </w:r>
          </w:p>
        </w:tc>
      </w:tr>
      <w:tr w:rsidR="001D53E7" w:rsidRPr="008A6471" w:rsidTr="00AC1D0B">
        <w:tc>
          <w:tcPr>
            <w:tcW w:w="2160" w:type="dxa"/>
          </w:tcPr>
          <w:p w:rsidR="001D53E7" w:rsidRPr="00267377" w:rsidRDefault="001D53E7" w:rsidP="00AC1D0B">
            <w:pPr>
              <w:spacing w:after="0"/>
              <w:rPr>
                <w:rFonts w:ascii="Arial" w:eastAsia="Arial" w:hAnsi="Arial" w:cs="Arial"/>
                <w:b/>
                <w:sz w:val="18"/>
                <w:szCs w:val="20"/>
              </w:rPr>
            </w:pPr>
            <w:proofErr w:type="spellStart"/>
            <w:r w:rsidRPr="00267377">
              <w:rPr>
                <w:rFonts w:ascii="Arial" w:eastAsia="Arial" w:hAnsi="Arial" w:cs="Arial"/>
                <w:b/>
                <w:sz w:val="18"/>
                <w:szCs w:val="20"/>
              </w:rPr>
              <w:t>Plecanatide</w:t>
            </w:r>
            <w:proofErr w:type="spellEnd"/>
            <w:r w:rsidRPr="00267377">
              <w:rPr>
                <w:rFonts w:ascii="Arial" w:eastAsia="Arial" w:hAnsi="Arial" w:cs="Arial"/>
                <w:b/>
                <w:sz w:val="18"/>
                <w:szCs w:val="20"/>
              </w:rPr>
              <w:t xml:space="preserve"> 3mg daily</w:t>
            </w: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 xml:space="preserve">9/12 weeks with sustained response for the last </w:t>
            </w:r>
            <w:r w:rsidRPr="000C0737">
              <w:rPr>
                <w:rFonts w:ascii="Arial" w:eastAsia="Arial" w:hAnsi="Arial" w:cs="Arial"/>
                <w:sz w:val="18"/>
                <w:szCs w:val="20"/>
              </w:rPr>
              <w:t>≥</w:t>
            </w:r>
            <w:r>
              <w:rPr>
                <w:rFonts w:ascii="Arial" w:eastAsia="Arial" w:hAnsi="Arial" w:cs="Arial"/>
                <w:sz w:val="18"/>
                <w:szCs w:val="20"/>
              </w:rPr>
              <w:t>3/4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{"citationID":"DHSGVJFz","properties":{"formattedCitation":"\\super 7\\nosupersub{}","plainCitation":"7","noteIndex":0},"citationItems":[{"id":1891,"uris":["http://zotero.org/users/2707299/items/S8HPGA4S"],"uri":["http://zotero.org/users/2707299/items/S8HPGA4S"],"itemData":{"id":1891,"type":"article-journal","abstract":"OBJECTIVES: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7</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$1,506</w:t>
            </w:r>
          </w:p>
        </w:tc>
        <w:tc>
          <w:tcPr>
            <w:tcW w:w="1890" w:type="dxa"/>
          </w:tcPr>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sidRPr="004802EE">
              <w:rPr>
                <w:rFonts w:ascii="Arial" w:eastAsia="Arial" w:hAnsi="Arial" w:cs="Arial"/>
                <w:sz w:val="18"/>
                <w:szCs w:val="18"/>
              </w:rPr>
              <w:t>0.193</w:t>
            </w:r>
          </w:p>
        </w:tc>
        <w:tc>
          <w:tcPr>
            <w:tcW w:w="1350" w:type="dxa"/>
          </w:tcPr>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sidRPr="004802EE">
              <w:rPr>
                <w:rFonts w:ascii="Arial" w:eastAsia="Arial" w:hAnsi="Arial" w:cs="Arial"/>
                <w:sz w:val="18"/>
                <w:szCs w:val="18"/>
              </w:rPr>
              <w:t>$937</w:t>
            </w:r>
            <w:r>
              <w:rPr>
                <w:rFonts w:ascii="Arial" w:eastAsia="Arial" w:hAnsi="Arial" w:cs="Arial"/>
                <w:sz w:val="18"/>
                <w:szCs w:val="18"/>
              </w:rPr>
              <w:t xml:space="preserve"> additional cost</w:t>
            </w:r>
          </w:p>
        </w:tc>
        <w:tc>
          <w:tcPr>
            <w:tcW w:w="1440" w:type="dxa"/>
          </w:tcPr>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sidRPr="004802EE">
              <w:rPr>
                <w:rFonts w:ascii="Arial" w:eastAsia="Arial" w:hAnsi="Arial" w:cs="Arial"/>
                <w:sz w:val="18"/>
                <w:szCs w:val="18"/>
              </w:rPr>
              <w:t>+0.005</w:t>
            </w:r>
          </w:p>
        </w:tc>
        <w:tc>
          <w:tcPr>
            <w:tcW w:w="2430" w:type="dxa"/>
          </w:tcPr>
          <w:p w:rsidR="001D53E7" w:rsidRDefault="001D53E7" w:rsidP="00AC1D0B">
            <w:pPr>
              <w:spacing w:after="0"/>
              <w:rPr>
                <w:rFonts w:ascii="Arial" w:hAnsi="Arial" w:cs="Arial"/>
                <w:sz w:val="18"/>
                <w:szCs w:val="18"/>
              </w:rPr>
            </w:pPr>
          </w:p>
          <w:p w:rsidR="001D53E7" w:rsidRPr="004802EE" w:rsidRDefault="001D53E7" w:rsidP="00AC1D0B">
            <w:pPr>
              <w:spacing w:after="0"/>
              <w:rPr>
                <w:rFonts w:ascii="Arial" w:hAnsi="Arial" w:cs="Arial"/>
                <w:sz w:val="18"/>
                <w:szCs w:val="18"/>
              </w:rPr>
            </w:pPr>
            <w:r w:rsidRPr="004802EE">
              <w:rPr>
                <w:rFonts w:ascii="Arial" w:hAnsi="Arial" w:cs="Arial"/>
                <w:sz w:val="18"/>
                <w:szCs w:val="18"/>
              </w:rPr>
              <w:t>$187,276/QALY-gained</w:t>
            </w:r>
          </w:p>
        </w:tc>
      </w:tr>
      <w:tr w:rsidR="001D53E7" w:rsidRPr="008A6471" w:rsidTr="00AC1D0B">
        <w:tc>
          <w:tcPr>
            <w:tcW w:w="2160" w:type="dxa"/>
          </w:tcPr>
          <w:p w:rsidR="001D53E7"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Prucalopride</w:t>
            </w:r>
            <w:proofErr w:type="spellEnd"/>
            <w:r w:rsidRPr="005466C5">
              <w:rPr>
                <w:rFonts w:ascii="Arial" w:eastAsia="Arial" w:hAnsi="Arial" w:cs="Arial"/>
                <w:b/>
                <w:sz w:val="18"/>
                <w:szCs w:val="20"/>
              </w:rPr>
              <w:t xml:space="preserve"> 2mg</w:t>
            </w: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9/12 weeks (defined as Alternative Endpoint A in Table 51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{"citationID":"qD6ok9F9","properties":{"formattedCitation":"\\super 3\\nosupersub{}","plainCitation":"3","noteIndex":0},"citationItems":[{"id":27051,"uris":["http://zotero.org/users/2707299/items/VMVGFTHH"],"uri":["http://zotero.org/users/2707299/items/VMVGFTHH"],"itemData":{"id":27051,"type":"article-journal","title":"Drug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3</w:t>
            </w:r>
            <w:r>
              <w:rPr>
                <w:rFonts w:ascii="Arial" w:eastAsia="Arial" w:hAnsi="Arial" w:cs="Arial"/>
                <w:sz w:val="18"/>
                <w:szCs w:val="20"/>
              </w:rPr>
              <w:fldChar w:fldCharType="end"/>
            </w:r>
            <w:r>
              <w:rPr>
                <w:rFonts w:ascii="Arial" w:eastAsia="Arial" w:hAnsi="Arial" w:cs="Arial"/>
                <w:sz w:val="18"/>
                <w:szCs w:val="20"/>
              </w:rPr>
              <w:t xml:space="preserve"> </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 xml:space="preserve">≥3 CSBM </w:t>
            </w:r>
            <w:r>
              <w:rPr>
                <w:rFonts w:ascii="Arial" w:eastAsia="Arial" w:hAnsi="Arial" w:cs="Arial"/>
                <w:sz w:val="18"/>
                <w:szCs w:val="20"/>
              </w:rPr>
              <w:t xml:space="preserve">per week averaged over 12 weeks (defined as primary FDA responder endpoint for </w:t>
            </w:r>
            <w:proofErr w:type="spellStart"/>
            <w:r>
              <w:rPr>
                <w:rFonts w:ascii="Arial" w:eastAsia="Arial" w:hAnsi="Arial" w:cs="Arial"/>
                <w:sz w:val="18"/>
                <w:szCs w:val="20"/>
              </w:rPr>
              <w:t>prucalopride</w:t>
            </w:r>
            <w:proofErr w:type="spellEnd"/>
            <w:r>
              <w:rPr>
                <w:rFonts w:ascii="Arial" w:eastAsia="Arial" w:hAnsi="Arial" w:cs="Arial"/>
                <w:sz w:val="18"/>
                <w:szCs w:val="20"/>
              </w:rPr>
              <w:t xml:space="preserve"> in Table 52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{"citationID":"8fmhX8d5","properties":{"formattedCitation":"\\super 3\\nosupersub{}","plainCitation":"3","noteIndex":0},"citationItems":[{"id":27051,"uris":["http://zotero.org/users/2707299/items/VMVGFTHH"],"uri":["http://zotero.org/users/2707299/items/VMVGFTHH"],"itemData":{"id":27051,"type":"article-journal","title":"Drug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3</w:t>
            </w:r>
            <w:r>
              <w:rPr>
                <w:rFonts w:ascii="Arial" w:eastAsia="Arial" w:hAnsi="Arial" w:cs="Arial"/>
                <w:sz w:val="18"/>
                <w:szCs w:val="20"/>
              </w:rPr>
              <w:fldChar w:fldCharType="end"/>
            </w:r>
          </w:p>
          <w:p w:rsidR="001D53E7" w:rsidRDefault="001D53E7" w:rsidP="00AC1D0B">
            <w:pPr>
              <w:spacing w:after="0"/>
              <w:rPr>
                <w:rFonts w:ascii="Arial" w:eastAsia="Arial" w:hAnsi="Arial" w:cs="Arial"/>
                <w:sz w:val="18"/>
                <w:szCs w:val="20"/>
              </w:rPr>
            </w:pPr>
          </w:p>
          <w:p w:rsidR="001D53E7" w:rsidRPr="005466C5" w:rsidRDefault="001D53E7" w:rsidP="00AC1D0B">
            <w:pPr>
              <w:spacing w:after="0"/>
              <w:rPr>
                <w:rFonts w:ascii="Arial" w:eastAsia="Arial" w:hAnsi="Arial" w:cs="Arial"/>
                <w:b/>
                <w:sz w:val="18"/>
                <w:szCs w:val="20"/>
              </w:rPr>
            </w:pPr>
            <w:r>
              <w:rPr>
                <w:rFonts w:ascii="Arial" w:eastAsia="Arial" w:hAnsi="Arial" w:cs="Arial"/>
                <w:sz w:val="18"/>
                <w:szCs w:val="20"/>
              </w:rPr>
              <w:t xml:space="preserve">Increase of </w:t>
            </w:r>
            <w:r w:rsidRPr="000C0737">
              <w:rPr>
                <w:rFonts w:ascii="Arial" w:eastAsia="Arial" w:hAnsi="Arial" w:cs="Arial"/>
                <w:sz w:val="18"/>
                <w:szCs w:val="20"/>
              </w:rPr>
              <w:t>≥</w:t>
            </w:r>
            <w:r>
              <w:rPr>
                <w:rFonts w:ascii="Arial" w:eastAsia="Arial" w:hAnsi="Arial" w:cs="Arial"/>
                <w:sz w:val="18"/>
                <w:szCs w:val="20"/>
              </w:rPr>
              <w:t>1</w:t>
            </w:r>
            <w:r w:rsidRPr="000C0737">
              <w:rPr>
                <w:rFonts w:ascii="Arial" w:eastAsia="Arial" w:hAnsi="Arial" w:cs="Arial"/>
                <w:sz w:val="18"/>
                <w:szCs w:val="20"/>
              </w:rPr>
              <w:t xml:space="preserve"> CSBM </w:t>
            </w:r>
            <w:r>
              <w:rPr>
                <w:rFonts w:ascii="Arial" w:eastAsia="Arial" w:hAnsi="Arial" w:cs="Arial"/>
                <w:sz w:val="18"/>
                <w:szCs w:val="20"/>
              </w:rPr>
              <w:t>per week from baseline averaged over 12 weeks (Table 54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{"citationID":"vRAtERvD","properties":{"formattedCitation":"\\super 3\\nosupersub{}","plainCitation":"3","noteIndex":0},"citationItems":[{"id":27051,"uris":["http://zotero.org/users/2707299/items/VMVGFTHH"],"uri":["http://zotero.org/users/2707299/items/VMVGFTHH"],"itemData":{"id":27051,"type":"article-journal","title":"Drug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3</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$1,519</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$1,471</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$1,365</w:t>
            </w:r>
          </w:p>
        </w:tc>
        <w:tc>
          <w:tcPr>
            <w:tcW w:w="189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t>0.191</w:t>
            </w:r>
          </w:p>
        </w:tc>
        <w:tc>
          <w:tcPr>
            <w:tcW w:w="135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$950 additional cost</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$902 additional cost</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t>$796 additional cost</w:t>
            </w:r>
          </w:p>
        </w:tc>
        <w:tc>
          <w:tcPr>
            <w:tcW w:w="144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t>+0.003</w:t>
            </w:r>
          </w:p>
        </w:tc>
        <w:tc>
          <w:tcPr>
            <w:tcW w:w="2430" w:type="dxa"/>
          </w:tcPr>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r>
              <w:rPr>
                <w:rFonts w:ascii="Arial" w:hAnsi="Arial" w:cs="Arial"/>
                <w:sz w:val="18"/>
                <w:szCs w:val="18"/>
              </w:rPr>
              <w:t>$333,910/QALY-gained</w:t>
            </w: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r w:rsidRPr="004802EE">
              <w:rPr>
                <w:rFonts w:ascii="Arial" w:hAnsi="Arial" w:cs="Arial"/>
                <w:sz w:val="18"/>
                <w:szCs w:val="18"/>
              </w:rPr>
              <w:t>$2</w:t>
            </w:r>
            <w:r>
              <w:rPr>
                <w:rFonts w:ascii="Arial" w:hAnsi="Arial" w:cs="Arial"/>
                <w:sz w:val="18"/>
                <w:szCs w:val="18"/>
              </w:rPr>
              <w:t>11,276</w:t>
            </w:r>
            <w:r w:rsidRPr="004802EE">
              <w:rPr>
                <w:rFonts w:ascii="Arial" w:hAnsi="Arial" w:cs="Arial"/>
                <w:sz w:val="18"/>
                <w:szCs w:val="18"/>
              </w:rPr>
              <w:t>/QALY-gained</w:t>
            </w: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Pr="004802EE" w:rsidRDefault="001D53E7" w:rsidP="00AC1D0B">
            <w:pPr>
              <w:spacing w:after="0"/>
              <w:rPr>
                <w:rFonts w:ascii="Arial" w:hAnsi="Arial" w:cs="Arial"/>
                <w:sz w:val="18"/>
                <w:szCs w:val="18"/>
              </w:rPr>
            </w:pPr>
            <w:r>
              <w:rPr>
                <w:rFonts w:ascii="Arial" w:hAnsi="Arial" w:cs="Arial"/>
                <w:sz w:val="18"/>
                <w:szCs w:val="18"/>
              </w:rPr>
              <w:t>$107,606/QALY-gained</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Linaclotide</w:t>
            </w:r>
            <w:proofErr w:type="spellEnd"/>
            <w:r w:rsidRPr="005466C5">
              <w:rPr>
                <w:rFonts w:ascii="Arial" w:eastAsia="Arial" w:hAnsi="Arial" w:cs="Arial"/>
                <w:b/>
                <w:sz w:val="18"/>
                <w:szCs w:val="20"/>
              </w:rPr>
              <w:t xml:space="preserve"> 145mcg daily</w:t>
            </w: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{"citationID":"qvI9IsDd","properties":{"formattedCitation":"\\super 7\\nosupersub{}","plainCitation":"7","noteIndex":0},"citationItems":[{"id":1891,"uris":["http://zotero.org/users/2707299/items/S8HPGA4S"],"uri":["http://zotero.org/users/2707299/items/S8HPGA4S"],"itemData":{"id":1891,"type":"article-journal","abstract":"OBJECTIVES: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7</w:t>
            </w:r>
            <w:r>
              <w:rPr>
                <w:rFonts w:ascii="Arial" w:eastAsia="Arial" w:hAnsi="Arial" w:cs="Arial"/>
                <w:sz w:val="18"/>
                <w:szCs w:val="20"/>
              </w:rPr>
              <w:fldChar w:fldCharType="end"/>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{"citationID":"O5jmNR1B","properties":{"formattedCitation":"\\super 8\\nosupersub{}","plainCitation":"8","noteIndex":0},"citationItems":[{"id":92,"uris":["http://zotero.org/users/2707299/items/RUXMN63A"],"uri":["http://zotero.org/users/2707299/items/RUXMN63A"],"itemData":{"id":92,"type":"article-journal","abstract":"BACKGROUND: Abdominal bloating is a common and bothersome symptom of chronic idiopathic constipation. The objective of this trial was to evaluate the efficacy and safety of linaclotide in patients with chronic idiopathic constipation and concomitant moderate-to-severe abdominal bloating.\nMETHODS: This Phase 3b, randomized, double-blind, placebo-controlled clinical trial randomized patients to oral linaclotide (145 or 290 μg) or placebo once daily for 12 weeks. Eligible patients met Rome II criteria for chronic constipation upon entry with an average abdominal bloating score ≥5 (self-assessment: 0 10-point numerical rating scale) during the 14-day baseline period. Patients reported abdominal symptoms (including bloating) and bowel symptoms daily; adverse events were monitored. The primary responder endpoint required patients to have ≥3 complete spontaneous bowel movements/week with an increase of ≥1 from baseline, for ≥9 of 12 weeks. The primary endpoint compared linaclotide 145 μg vs. placebo.\nRESULTS: The intent-to-treat population included 483 patients (mean age=47.3 years, female=91.5%, white=67.7%). The primary endpoint was met by 15.7% of linaclotide 145 μg patients vs. 7.6% of placebo patients (P&lt;0.05). Both linaclotide doses significantly improved abdominal bloating vs. placebo (P&lt;0.05 for all secondary endpoints, controlling for multiplicity). Approximately one-third of linaclotide patients (each group) had ≥50% mean decrease from baseline in abdominal bloating vs. 18% of placebo patients (P&lt;0.01). Diarrhea was reported in 6% and 17% of linaclotide 145 and 290 μg patients, respectively, and 2% of placebo patients. AEs resulted in premature discontinuation of 5% and 9% of linaclotide 145 μg and 290 μg patients, respectively, and 6% of placebo patients.\nCONCLUSIONS: Once-daily linaclotide (145 and 290 μg) significantly improved bowel and abdominal symptoms in chronic idiopathic constipation patients with moderate-to-severe baseline abdominal bloating; in particular, linaclotide significantly improved abdominal bloating compared to placebo, an important finding given the lack of agents available to treat abdominal bloating in chronic idiopathic constipation patients.\nTRIAL REGISTRATION: ClinicalTrials.gov NCT01642914.","container-title":"PloS One","DOI":"10.1371/journal.pone.0134349","ISSN":"1932-6203","issue":"7","journalAbbreviation":"PLoS ONE","language":"eng","note":"PMID: 26222318\nPMCID: PMC4519259","page":"e0134349","source":"PubMed","title":"Linaclotide in Chronic Idiopathic Constipation Patients with Moderate to Severe Abdominal Bloating: A Randomized, Controlled Trial","title-short":"Linaclotide in Chronic Idiopathic Constipation Patients with Moderate to Severe Abdominal Bloating","volume":"10","author":[{"family":"Lacy","given":"Brian E."},{"family":"Schey","given":"Ron"},{"family":"Shiff","given":"Steven J."},{"family":"Lavins","given":"Bernard J."},{"family":"Fox","given":"Susan M."},{"family":"Jia","given":"Xinwei D."},{"family":"Blakesley","given":"Rick E."},{"family":"Hao","given":"Xinming"},{"family":"Cronin","given":"Jacquelyn A."},{"family":"Currie","given":"Mark G."},{"family":"Kurtz","given":"Caroline B."},{"family":"Johnston","given":"Jeffrey M."},{"family":"Lembo","given":"Anthony J."}],"issued":{"date-parts":[["2015"]]}}}],"schema":"https://github.com/citation-style-language/schema/raw/master/csl-citation.json"}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8</w:t>
            </w:r>
            <w:r>
              <w:rPr>
                <w:rFonts w:ascii="Arial" w:eastAsia="Arial" w:hAnsi="Arial" w:cs="Arial"/>
                <w:sz w:val="18"/>
                <w:szCs w:val="20"/>
              </w:rPr>
              <w:fldChar w:fldCharType="end"/>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lastRenderedPageBreak/>
              <w:t xml:space="preserve">Increase of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from baseline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{"citationID":"c6q6pBpa","properties":{"formattedCitation":"\\super 8,9\\nosupersub{}","plainCitation":"8,9","noteIndex":0},"citationItems":[{"id":92,"uris":["http://zotero.org/users/2707299/items/RUXMN63A"],"uri":["http://zotero.org/users/2707299/items/RUXMN63A"],"itemData":{"id":92,"type":"article-journal","abstract":"BACKGROUND: Abdominal bloating is a common and bothersome symptom of chronic idiopathic constipation. The objective of this trial was to evaluate the efficacy and safety of linaclotide in patients with chronic idiopathic constipation and concomitant moderate-to-severe abdominal bloating.\nMETHODS: This Phase 3b, randomized, double-blind, placebo-controlled clinical trial randomized patients to oral linaclotide (145 or 290 μg) or placebo once daily for 12 weeks. Eligible patients met Rome II criteria for chronic constipation upon entry with an average abdominal bloating score ≥5 (self-assessment: 0 10-point numerical rating scale) during the 14-day baseline period. Patients reported abdominal symptoms (including bloating) and bowel symptoms daily; adverse events were monitored. The primary responder endpoint required patients to have ≥3 complete spontaneous bowel movements/week with an increase of ≥1 from baseline, for ≥9 of 12 weeks. The primary endpoint compared linaclotide 145 μg vs. placebo.\nRESULTS: The intent-to-treat population included 483 patients (mean age=47.3 years, female=91.5%, white=67.7%). The primary endpoint was met by 15.7% of linaclotide 145 μg patients vs. 7.6% of placebo patients (P&lt;0.05). Both linaclotide doses significantly improved abdominal bloating vs. placebo (P&lt;0.05 for all secondary endpoints, controlling for multiplicity). Approximately one-third of linaclotide patients (each group) had ≥50% mean decrease from baseline in abdominal bloating vs. 18% of placebo patients (P&lt;0.01). Diarrhea was reported in 6% and 17% of linaclotide 145 and 290 μg patients, respectively, and 2% of placebo patients. AEs resulted in premature discontinuation of 5% and 9% of linaclotide 145 μg and 290 μg patients, respectively, and 6% of placebo patients.\nCONCLUSIONS: Once-daily linaclotide (145 and 290 μg) significantly improved bowel and abdominal symptoms in chronic idiopathic constipation patients with moderate-to-severe baseline abdominal bloating; in particular, linaclotide significantly improved abdominal bloating compared to placebo, an important finding given the lack of agents available to treat abdominal bloating in chronic idiopathic constipation patients.\nTRIAL REGISTRATION: ClinicalTrials.gov NCT01642914.","container-title":"PloS One","DOI":"10.1371/journal.pone.0134349","ISSN":"1932-6203","issue":"7","journalAbbreviation":"PLoS ONE","language":"eng","note":"PMID: 26222318\nPMCID: PMC4519259","page":"e0134349","source":"PubMed","title":"Linaclotide in Chronic Idiopathic Constipation Patients with Moderate to Severe Abdominal Bloating: A Randomized, Controlled Trial","title-short":"Linaclotide in Chronic Idiopathic Constipation Patients with Moderate to Severe Abdominal Bloating","volume":"10","author":[{"family":"Lacy","given":"Brian E."},{"family":"Schey","given":"Ron"},{"family":"Shiff","given":"Steven J."},{"family":"Lavins","given":"Bernard J."},{"family":"Fox","given":"Susan M."},{"family":"Jia","given":"Xinwei D."},{"family":"Blakesley","given":"Rick E."},{"family":"Hao","given":"Xinming"},{"family":"Cronin","given":"Jacquelyn A."},{"family":"Currie","given":"Mark G."},{"family":"Kurtz","given":"Caroline B."},{"family":"Johnston","given":"Jeffrey M."},{"family":"Lembo","given":"Anthony J."}],"issued":{"date-parts":[["2015"]]}}},{"id":93,"uris":["http://zotero.org/users/2707299/items/A5FQZGI6"],"uri":["http://zotero.org/users/2707299/items/A5FQZGI6"],"itemData":{"id":93,"type":"article-journal","abstract":"BACKGROUND: Linaclotide is a minimally absorbed peptide agonist of the guanylate cyclase C receptor. In two trials, we aimed to determine the efficacy and safety of linaclotide in patients with chronic constipation.\nMETHODS: We conducted two randomized, 12-week, multicenter, double-blind, parallel-group, placebo-controlled, dual-dose trials (Trials 303 and 01) involving 1276 patients with chronic constipation. Patients received either placebo or linaclotide, 145 μg or 290 μg, once daily for 12 weeks. The primary efficacy end point was three or more complete spontaneous bowel movements (CSBMs) per week and an increase of one or more CSBMs from baseline during at least 9 of the 12 weeks. Adverse events were also monitored.\nRESULTS: For Trials 303 and 01, respectively, the primary end point was reached by 21.2% and 16.0% of the patients who received 145 μg of linaclotide and by 19.4% and 21.3% of the patients who received 290 μg of linaclotide, as compared with 3.3% and 6.0% of those who received placebo (P&lt;0.01 for all comparisons of linaclotide with placebo). Improvements in all secondary end points were significantly greater in both linaclotide groups than in the placebo groups. The incidence of adverse events was similar among all study groups, with the exception of diarrhea, which led to discontinuation of treatment in 4.2% of patients in both linaclotide groups.\nCONCLUSIONS: In these two 12-week trials, linaclotide significantly reduced bowel and abdominal symptoms in patients with chronic constipation. Additional studies are needed to evaluate the potential long-term risks and benefits of linaclotide in chronic constipation. (Funded by Ironwood Pharmaceuticals and Forest Research Institute; ClinicalTrials.gov numbers, NCT00765882 and NCT00730015.).","container-title":"The New England Journal of Medicine","DOI":"10.1056/NEJMoa1010863","ISSN":"1533-4406","issue":"6","journalAbbreviation":"N. Engl. J. Med.","language":"eng","note":"PMID: 21830967","page":"527-536","source":"PubMed","title":"Two randomized trials of linaclotide for chronic constipation","volume":"365","author":[{"family":"Lembo","given":"Anthony J."},{"family":"Schneier","given":"Harvey A."},{"family":"Shiff","given":"Steven J."},{"family":"Kurtz","given":"Caroline B."},{"family":"MacDougall","given":"James E."},{"family":"Jia","given":"Xinwei D."},{"family":"Shao","given":"James Z."},{"family":"Lavins","given":"Bernard J."},{"family":"Currie","given":"Mark G."},{"family":"Fitch","given":"Donald A."},{"family":"Jeglinski","given":"Brenda I."},{"family":"Eng","given":"Paul"},{"family":"Fox","given":"Susan M."},{"family":"Johnston","given":"Jeffrey M."}],"issued":{"date-parts":[["2011",8,11]]}}}],"schema":"https://github.com/citation-style-language/schema/raw/master/csl-citation.json"}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8,9</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$1,554</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$1,554</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lastRenderedPageBreak/>
              <w:t>$1,461</w:t>
            </w:r>
          </w:p>
        </w:tc>
        <w:tc>
          <w:tcPr>
            <w:tcW w:w="189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lastRenderedPageBreak/>
              <w:t>0.191</w:t>
            </w:r>
          </w:p>
        </w:tc>
        <w:tc>
          <w:tcPr>
            <w:tcW w:w="135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$98</w:t>
            </w:r>
            <w:r>
              <w:rPr>
                <w:rFonts w:ascii="Arial" w:eastAsia="Arial" w:hAnsi="Arial" w:cs="Arial"/>
                <w:sz w:val="18"/>
                <w:szCs w:val="18"/>
              </w:rPr>
              <w:t>5 additional cost</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$985 additional cost</w:t>
            </w: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lastRenderedPageBreak/>
              <w:t>$892 additional cost</w:t>
            </w:r>
          </w:p>
        </w:tc>
        <w:tc>
          <w:tcPr>
            <w:tcW w:w="144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lastRenderedPageBreak/>
              <w:t>+0.003</w:t>
            </w:r>
          </w:p>
        </w:tc>
        <w:tc>
          <w:tcPr>
            <w:tcW w:w="2430" w:type="dxa"/>
          </w:tcPr>
          <w:p w:rsidR="001D53E7" w:rsidRDefault="001D53E7" w:rsidP="00AC1D0B">
            <w:pPr>
              <w:spacing w:after="0"/>
              <w:jc w:val="center"/>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r w:rsidRPr="004802EE">
              <w:rPr>
                <w:rFonts w:ascii="Arial" w:hAnsi="Arial" w:cs="Arial"/>
                <w:sz w:val="18"/>
                <w:szCs w:val="18"/>
              </w:rPr>
              <w:t>$309,968/QALY-gained</w:t>
            </w: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r w:rsidRPr="004802EE">
              <w:rPr>
                <w:rFonts w:ascii="Arial" w:hAnsi="Arial" w:cs="Arial"/>
                <w:sz w:val="18"/>
                <w:szCs w:val="18"/>
              </w:rPr>
              <w:t>$309,968/QALY-gained</w:t>
            </w: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lastRenderedPageBreak/>
              <w:t>$132,924/QALY-gained</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lastRenderedPageBreak/>
              <w:t>Linaclotide</w:t>
            </w:r>
            <w:proofErr w:type="spellEnd"/>
            <w:r w:rsidRPr="005466C5">
              <w:rPr>
                <w:rFonts w:ascii="Arial" w:eastAsia="Arial" w:hAnsi="Arial" w:cs="Arial"/>
                <w:b/>
                <w:sz w:val="18"/>
                <w:szCs w:val="20"/>
              </w:rPr>
              <w:t xml:space="preserve"> 72mcg daily</w:t>
            </w:r>
          </w:p>
          <w:p w:rsidR="001D53E7" w:rsidRPr="008A6471"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{"citationID":"5UoILoQA","properties":{"formattedCitation":"\\super 7\\nosupersub{}","plainCitation":"7","noteIndex":0},"citationItems":[{"id":1891,"uris":["http://zotero.org/users/2707299/items/S8HPGA4S"],"uri":["http://zotero.org/users/2707299/items/S8HPGA4S"],"itemData":{"id":1891,"type":"article-journal","abstract":"OBJECTIVES: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7</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$1,584</w:t>
            </w:r>
          </w:p>
        </w:tc>
        <w:tc>
          <w:tcPr>
            <w:tcW w:w="189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sidRPr="004802EE">
              <w:rPr>
                <w:rFonts w:ascii="Arial" w:eastAsia="Arial" w:hAnsi="Arial" w:cs="Arial"/>
                <w:sz w:val="18"/>
                <w:szCs w:val="18"/>
              </w:rPr>
              <w:t>0.191</w:t>
            </w:r>
          </w:p>
        </w:tc>
        <w:tc>
          <w:tcPr>
            <w:tcW w:w="135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eastAsia="Arial" w:hAnsi="Arial" w:cs="Arial"/>
                <w:sz w:val="18"/>
                <w:szCs w:val="18"/>
              </w:rPr>
              <w:t>$1,015 additional cost</w:t>
            </w:r>
          </w:p>
        </w:tc>
        <w:tc>
          <w:tcPr>
            <w:tcW w:w="144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4802EE" w:rsidRDefault="001D53E7" w:rsidP="00AC1D0B">
            <w:pPr>
              <w:spacing w:after="0"/>
              <w:rPr>
                <w:rFonts w:ascii="Arial" w:eastAsia="Arial" w:hAnsi="Arial" w:cs="Arial"/>
                <w:sz w:val="18"/>
                <w:szCs w:val="18"/>
              </w:rPr>
            </w:pPr>
            <w:r w:rsidRPr="004802EE">
              <w:rPr>
                <w:rFonts w:ascii="Arial" w:eastAsia="Arial" w:hAnsi="Arial" w:cs="Arial"/>
                <w:sz w:val="18"/>
                <w:szCs w:val="18"/>
              </w:rPr>
              <w:t>+0.003</w:t>
            </w:r>
          </w:p>
        </w:tc>
        <w:tc>
          <w:tcPr>
            <w:tcW w:w="2430" w:type="dxa"/>
          </w:tcPr>
          <w:p w:rsidR="001D53E7" w:rsidRDefault="001D53E7" w:rsidP="00AC1D0B">
            <w:pPr>
              <w:spacing w:after="0"/>
              <w:rPr>
                <w:rFonts w:ascii="Arial" w:hAnsi="Arial" w:cs="Arial"/>
                <w:sz w:val="18"/>
                <w:szCs w:val="18"/>
              </w:rPr>
            </w:pPr>
          </w:p>
          <w:p w:rsidR="001D53E7" w:rsidRDefault="001D53E7" w:rsidP="00AC1D0B">
            <w:pPr>
              <w:spacing w:after="0"/>
              <w:rPr>
                <w:rFonts w:ascii="Arial" w:hAnsi="Arial" w:cs="Arial"/>
                <w:sz w:val="18"/>
                <w:szCs w:val="18"/>
              </w:rPr>
            </w:pPr>
          </w:p>
          <w:p w:rsidR="001D53E7" w:rsidRPr="004802EE" w:rsidRDefault="001D53E7" w:rsidP="00AC1D0B">
            <w:pPr>
              <w:spacing w:after="0"/>
              <w:rPr>
                <w:rFonts w:ascii="Arial" w:eastAsia="Arial" w:hAnsi="Arial" w:cs="Arial"/>
                <w:sz w:val="18"/>
                <w:szCs w:val="18"/>
              </w:rPr>
            </w:pPr>
            <w:r>
              <w:rPr>
                <w:rFonts w:ascii="Arial" w:hAnsi="Arial" w:cs="Arial"/>
                <w:sz w:val="18"/>
                <w:szCs w:val="18"/>
              </w:rPr>
              <w:t>$345,401</w:t>
            </w:r>
            <w:r w:rsidRPr="004802EE">
              <w:rPr>
                <w:rFonts w:ascii="Arial" w:hAnsi="Arial" w:cs="Arial"/>
                <w:sz w:val="18"/>
                <w:szCs w:val="18"/>
              </w:rPr>
              <w:t>/QALY-gained</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Lubiprostone</w:t>
            </w:r>
            <w:proofErr w:type="spellEnd"/>
            <w:r w:rsidRPr="005466C5">
              <w:rPr>
                <w:rFonts w:ascii="Arial" w:eastAsia="Arial" w:hAnsi="Arial" w:cs="Arial"/>
                <w:b/>
                <w:sz w:val="18"/>
                <w:szCs w:val="20"/>
              </w:rPr>
              <w:t xml:space="preserve"> 24mcg twice daily*</w:t>
            </w:r>
          </w:p>
          <w:p w:rsidR="001D53E7" w:rsidRDefault="001D53E7" w:rsidP="00AC1D0B">
            <w:pPr>
              <w:spacing w:after="0"/>
              <w:rPr>
                <w:rFonts w:ascii="Arial" w:eastAsia="Arial" w:hAnsi="Arial" w:cs="Arial"/>
                <w:sz w:val="18"/>
                <w:szCs w:val="20"/>
              </w:rPr>
            </w:pPr>
            <w:r>
              <w:rPr>
                <w:rFonts w:ascii="Arial" w:eastAsia="Arial" w:hAnsi="Arial" w:cs="Arial"/>
                <w:sz w:val="18"/>
                <w:szCs w:val="20"/>
              </w:rPr>
              <w:t xml:space="preserve">Increase of </w:t>
            </w:r>
            <w:r w:rsidRPr="000C0737">
              <w:rPr>
                <w:rFonts w:ascii="Arial" w:eastAsia="Arial" w:hAnsi="Arial" w:cs="Arial"/>
                <w:sz w:val="18"/>
                <w:szCs w:val="20"/>
              </w:rPr>
              <w:t>≥</w:t>
            </w:r>
            <w:r w:rsidRPr="007F0B95">
              <w:rPr>
                <w:rFonts w:ascii="Arial" w:eastAsia="Arial" w:hAnsi="Arial" w:cs="Arial"/>
                <w:sz w:val="18"/>
                <w:szCs w:val="20"/>
              </w:rPr>
              <w:t>3 SBM/</w:t>
            </w:r>
            <w:proofErr w:type="spellStart"/>
            <w:r w:rsidRPr="007F0B95">
              <w:rPr>
                <w:rFonts w:ascii="Arial" w:eastAsia="Arial" w:hAnsi="Arial" w:cs="Arial"/>
                <w:sz w:val="18"/>
                <w:szCs w:val="20"/>
              </w:rPr>
              <w:t>wk</w:t>
            </w:r>
            <w:proofErr w:type="spellEnd"/>
            <w:r w:rsidRPr="007F0B95">
              <w:rPr>
                <w:rFonts w:ascii="Arial" w:eastAsia="Arial" w:hAnsi="Arial" w:cs="Arial"/>
                <w:sz w:val="18"/>
                <w:szCs w:val="20"/>
              </w:rPr>
              <w:t xml:space="preserve"> averaged over 4 weeks</w:t>
            </w:r>
            <w:r>
              <w:rPr>
                <w:rFonts w:ascii="Arial" w:eastAsia="Arial" w:hAnsi="Arial" w:cs="Arial"/>
                <w:sz w:val="18"/>
                <w:szCs w:val="20"/>
              </w:rPr>
              <w:t xml:space="preserve"> compared to baseline (Table 9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{"citationID":"78BhR137","properties":{"formattedCitation":"\\super 6\\nosupersub{}","plainCitation":"6","noteIndex":0},"citationItems":[{"id":27052,"uris":["http://zotero.org/users/2707299/items/DZYSC5NX"],"uri":["http://zotero.org/users/2707299/items/DZYSC5NX"],"itemData":{"id":27052,"type":"article-journal","title":"AMITIZA (Lubiprostone) Approval Package. U.S. Food and Drug Administration. https://www.accessdata.fda.gov/drugsatfda_docs/nda/2013/021908Orig1s011.pdf.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6</w:t>
            </w:r>
            <w:r>
              <w:rPr>
                <w:rFonts w:ascii="Arial" w:eastAsia="Arial" w:hAnsi="Arial" w:cs="Arial"/>
                <w:sz w:val="18"/>
                <w:szCs w:val="20"/>
              </w:rPr>
              <w:fldChar w:fldCharType="end"/>
            </w:r>
          </w:p>
        </w:tc>
        <w:tc>
          <w:tcPr>
            <w:tcW w:w="1080" w:type="dxa"/>
          </w:tcPr>
          <w:p w:rsidR="001D53E7" w:rsidRPr="005466C5" w:rsidRDefault="001D53E7" w:rsidP="00AC1D0B">
            <w:pPr>
              <w:spacing w:after="0"/>
              <w:rPr>
                <w:rFonts w:ascii="Arial" w:eastAsia="Arial" w:hAnsi="Arial" w:cs="Arial"/>
                <w:sz w:val="18"/>
                <w:szCs w:val="20"/>
              </w:rPr>
            </w:pPr>
          </w:p>
          <w:p w:rsidR="001D53E7" w:rsidRPr="005466C5" w:rsidRDefault="001D53E7" w:rsidP="00AC1D0B">
            <w:pPr>
              <w:spacing w:after="0"/>
              <w:rPr>
                <w:rFonts w:ascii="Arial" w:eastAsia="Arial" w:hAnsi="Arial" w:cs="Arial"/>
                <w:sz w:val="18"/>
                <w:szCs w:val="20"/>
              </w:rPr>
            </w:pPr>
          </w:p>
          <w:p w:rsidR="001D53E7" w:rsidRPr="005466C5" w:rsidRDefault="001D53E7" w:rsidP="00AC1D0B">
            <w:pPr>
              <w:spacing w:after="0"/>
              <w:rPr>
                <w:rFonts w:ascii="Arial" w:eastAsia="Arial" w:hAnsi="Arial" w:cs="Arial"/>
                <w:sz w:val="18"/>
                <w:szCs w:val="20"/>
              </w:rPr>
            </w:pPr>
            <w:r>
              <w:rPr>
                <w:rFonts w:ascii="Arial" w:eastAsia="Arial" w:hAnsi="Arial" w:cs="Arial"/>
                <w:sz w:val="18"/>
                <w:szCs w:val="20"/>
              </w:rPr>
              <w:t>$1,187</w:t>
            </w:r>
          </w:p>
        </w:tc>
        <w:tc>
          <w:tcPr>
            <w:tcW w:w="1890" w:type="dxa"/>
          </w:tcPr>
          <w:p w:rsidR="001D53E7" w:rsidRPr="005466C5" w:rsidRDefault="001D53E7" w:rsidP="00AC1D0B">
            <w:pPr>
              <w:spacing w:after="0"/>
              <w:rPr>
                <w:rFonts w:ascii="Arial" w:eastAsia="Arial" w:hAnsi="Arial" w:cs="Arial"/>
                <w:sz w:val="18"/>
                <w:szCs w:val="18"/>
              </w:rPr>
            </w:pPr>
          </w:p>
          <w:p w:rsidR="001D53E7" w:rsidRPr="005466C5" w:rsidRDefault="001D53E7" w:rsidP="00AC1D0B">
            <w:pPr>
              <w:spacing w:after="0"/>
              <w:rPr>
                <w:rFonts w:ascii="Arial" w:eastAsia="Arial" w:hAnsi="Arial" w:cs="Arial"/>
                <w:sz w:val="18"/>
                <w:szCs w:val="18"/>
              </w:rPr>
            </w:pPr>
          </w:p>
          <w:p w:rsidR="001D53E7" w:rsidRPr="005466C5" w:rsidRDefault="001D53E7" w:rsidP="00AC1D0B">
            <w:pPr>
              <w:spacing w:after="0"/>
              <w:rPr>
                <w:rFonts w:ascii="Arial" w:eastAsia="Arial" w:hAnsi="Arial" w:cs="Arial"/>
                <w:sz w:val="18"/>
                <w:szCs w:val="18"/>
              </w:rPr>
            </w:pPr>
            <w:r w:rsidRPr="005466C5">
              <w:rPr>
                <w:rFonts w:ascii="Arial" w:eastAsia="Arial" w:hAnsi="Arial" w:cs="Arial"/>
                <w:sz w:val="18"/>
                <w:szCs w:val="18"/>
              </w:rPr>
              <w:t>0.196</w:t>
            </w:r>
          </w:p>
        </w:tc>
        <w:tc>
          <w:tcPr>
            <w:tcW w:w="1350" w:type="dxa"/>
          </w:tcPr>
          <w:p w:rsidR="001D53E7" w:rsidRPr="005466C5" w:rsidRDefault="001D53E7" w:rsidP="00AC1D0B">
            <w:pPr>
              <w:spacing w:after="0"/>
              <w:rPr>
                <w:rFonts w:ascii="Arial" w:eastAsia="Arial" w:hAnsi="Arial" w:cs="Arial"/>
                <w:sz w:val="18"/>
                <w:szCs w:val="18"/>
              </w:rPr>
            </w:pPr>
          </w:p>
          <w:p w:rsidR="001D53E7" w:rsidRPr="005466C5" w:rsidRDefault="001D53E7" w:rsidP="00AC1D0B">
            <w:pPr>
              <w:spacing w:after="0"/>
              <w:rPr>
                <w:rFonts w:ascii="Arial" w:eastAsia="Arial" w:hAnsi="Arial" w:cs="Arial"/>
                <w:sz w:val="18"/>
                <w:szCs w:val="18"/>
              </w:rPr>
            </w:pPr>
          </w:p>
          <w:p w:rsidR="001D53E7" w:rsidRPr="005466C5" w:rsidRDefault="001D53E7" w:rsidP="00AC1D0B">
            <w:pPr>
              <w:spacing w:after="0"/>
              <w:rPr>
                <w:rFonts w:ascii="Arial" w:eastAsia="Arial" w:hAnsi="Arial" w:cs="Arial"/>
                <w:sz w:val="18"/>
                <w:szCs w:val="18"/>
              </w:rPr>
            </w:pPr>
            <w:r>
              <w:rPr>
                <w:rFonts w:ascii="Arial" w:eastAsia="Arial" w:hAnsi="Arial" w:cs="Arial"/>
                <w:sz w:val="18"/>
                <w:szCs w:val="18"/>
              </w:rPr>
              <w:t xml:space="preserve">$618 </w:t>
            </w:r>
            <w:r w:rsidRPr="005466C5">
              <w:rPr>
                <w:rFonts w:ascii="Arial" w:eastAsia="Arial" w:hAnsi="Arial" w:cs="Arial"/>
                <w:sz w:val="18"/>
                <w:szCs w:val="18"/>
              </w:rPr>
              <w:t>additional cost</w:t>
            </w:r>
          </w:p>
        </w:tc>
        <w:tc>
          <w:tcPr>
            <w:tcW w:w="1440" w:type="dxa"/>
          </w:tcPr>
          <w:p w:rsidR="001D53E7" w:rsidRPr="005466C5" w:rsidRDefault="001D53E7" w:rsidP="00AC1D0B">
            <w:pPr>
              <w:spacing w:after="0"/>
              <w:rPr>
                <w:rFonts w:ascii="Arial" w:eastAsia="Arial" w:hAnsi="Arial" w:cs="Arial"/>
                <w:sz w:val="18"/>
                <w:szCs w:val="18"/>
              </w:rPr>
            </w:pPr>
          </w:p>
          <w:p w:rsidR="001D53E7" w:rsidRPr="005466C5" w:rsidRDefault="001D53E7" w:rsidP="00AC1D0B">
            <w:pPr>
              <w:spacing w:after="0"/>
              <w:rPr>
                <w:rFonts w:ascii="Arial" w:eastAsia="Arial" w:hAnsi="Arial" w:cs="Arial"/>
                <w:sz w:val="18"/>
                <w:szCs w:val="18"/>
              </w:rPr>
            </w:pPr>
          </w:p>
          <w:p w:rsidR="001D53E7" w:rsidRPr="005466C5" w:rsidRDefault="001D53E7" w:rsidP="00AC1D0B">
            <w:pPr>
              <w:spacing w:after="0"/>
              <w:rPr>
                <w:rFonts w:ascii="Arial" w:eastAsia="Arial" w:hAnsi="Arial" w:cs="Arial"/>
                <w:sz w:val="18"/>
                <w:szCs w:val="18"/>
              </w:rPr>
            </w:pPr>
            <w:r w:rsidRPr="005466C5">
              <w:rPr>
                <w:rFonts w:ascii="Arial" w:eastAsia="Arial" w:hAnsi="Arial" w:cs="Arial"/>
                <w:sz w:val="18"/>
                <w:szCs w:val="18"/>
              </w:rPr>
              <w:t>+0.009</w:t>
            </w:r>
          </w:p>
        </w:tc>
        <w:tc>
          <w:tcPr>
            <w:tcW w:w="2430" w:type="dxa"/>
          </w:tcPr>
          <w:p w:rsidR="001D53E7" w:rsidRPr="005466C5" w:rsidRDefault="001D53E7" w:rsidP="00AC1D0B">
            <w:pPr>
              <w:spacing w:after="0"/>
              <w:rPr>
                <w:rFonts w:ascii="Arial" w:hAnsi="Arial" w:cs="Arial"/>
                <w:sz w:val="18"/>
                <w:szCs w:val="18"/>
              </w:rPr>
            </w:pPr>
          </w:p>
          <w:p w:rsidR="001D53E7" w:rsidRPr="005466C5" w:rsidRDefault="001D53E7" w:rsidP="00AC1D0B">
            <w:pPr>
              <w:spacing w:after="0"/>
              <w:rPr>
                <w:rFonts w:ascii="Arial" w:hAnsi="Arial" w:cs="Arial"/>
                <w:sz w:val="18"/>
                <w:szCs w:val="18"/>
              </w:rPr>
            </w:pPr>
          </w:p>
          <w:p w:rsidR="001D53E7" w:rsidRPr="005466C5" w:rsidRDefault="001D53E7" w:rsidP="00AC1D0B">
            <w:pPr>
              <w:spacing w:after="0"/>
              <w:rPr>
                <w:rFonts w:ascii="Arial" w:hAnsi="Arial" w:cs="Arial"/>
                <w:sz w:val="18"/>
                <w:szCs w:val="18"/>
              </w:rPr>
            </w:pPr>
            <w:r>
              <w:rPr>
                <w:rFonts w:ascii="Arial" w:hAnsi="Arial" w:cs="Arial"/>
                <w:sz w:val="18"/>
                <w:szCs w:val="18"/>
              </w:rPr>
              <w:t>$72,053</w:t>
            </w:r>
            <w:r w:rsidRPr="005466C5">
              <w:rPr>
                <w:rFonts w:ascii="Arial" w:hAnsi="Arial" w:cs="Arial"/>
                <w:sz w:val="18"/>
                <w:szCs w:val="18"/>
              </w:rPr>
              <w:t>/QALY-gained</w:t>
            </w:r>
          </w:p>
        </w:tc>
      </w:tr>
      <w:tr w:rsidR="001D53E7" w:rsidRPr="008A6471" w:rsidTr="00AC1D0B">
        <w:tc>
          <w:tcPr>
            <w:tcW w:w="10350" w:type="dxa"/>
            <w:gridSpan w:val="6"/>
          </w:tcPr>
          <w:p w:rsidR="001D53E7" w:rsidRPr="008A6471" w:rsidRDefault="001D53E7" w:rsidP="00AC1D0B">
            <w:pPr>
              <w:spacing w:after="0"/>
              <w:jc w:val="center"/>
              <w:rPr>
                <w:rFonts w:ascii="Arial" w:eastAsia="Arial" w:hAnsi="Arial" w:cs="Arial"/>
                <w:i/>
                <w:sz w:val="18"/>
              </w:rPr>
            </w:pPr>
            <w:r>
              <w:rPr>
                <w:rFonts w:ascii="Arial" w:eastAsia="Arial" w:hAnsi="Arial" w:cs="Arial"/>
                <w:i/>
                <w:sz w:val="18"/>
              </w:rPr>
              <w:t>Patient</w:t>
            </w:r>
            <w:r w:rsidRPr="008A6471">
              <w:rPr>
                <w:rFonts w:ascii="Arial" w:eastAsia="Arial" w:hAnsi="Arial" w:cs="Arial"/>
                <w:i/>
                <w:sz w:val="18"/>
              </w:rPr>
              <w:t xml:space="preserve"> perspective</w:t>
            </w:r>
          </w:p>
        </w:tc>
      </w:tr>
      <w:tr w:rsidR="001D53E7" w:rsidRPr="008A6471" w:rsidTr="00AC1D0B">
        <w:trPr>
          <w:trHeight w:val="180"/>
        </w:trPr>
        <w:tc>
          <w:tcPr>
            <w:tcW w:w="2160" w:type="dxa"/>
          </w:tcPr>
          <w:p w:rsidR="001D53E7" w:rsidRPr="005466C5" w:rsidRDefault="001D53E7" w:rsidP="00AC1D0B">
            <w:pPr>
              <w:spacing w:after="0"/>
              <w:rPr>
                <w:rFonts w:ascii="Arial" w:eastAsia="Arial" w:hAnsi="Arial" w:cs="Arial"/>
                <w:b/>
                <w:sz w:val="18"/>
                <w:szCs w:val="20"/>
              </w:rPr>
            </w:pPr>
            <w:r w:rsidRPr="005466C5">
              <w:rPr>
                <w:rFonts w:ascii="Arial" w:eastAsia="Arial" w:hAnsi="Arial" w:cs="Arial"/>
                <w:b/>
                <w:sz w:val="18"/>
                <w:szCs w:val="20"/>
              </w:rPr>
              <w:t>Usual care</w:t>
            </w:r>
          </w:p>
        </w:tc>
        <w:tc>
          <w:tcPr>
            <w:tcW w:w="108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$3,154</w:t>
            </w:r>
          </w:p>
        </w:tc>
        <w:tc>
          <w:tcPr>
            <w:tcW w:w="189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0.188</w:t>
            </w:r>
          </w:p>
        </w:tc>
        <w:tc>
          <w:tcPr>
            <w:tcW w:w="135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Reference</w:t>
            </w:r>
          </w:p>
        </w:tc>
        <w:tc>
          <w:tcPr>
            <w:tcW w:w="144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Reference</w:t>
            </w:r>
          </w:p>
        </w:tc>
        <w:tc>
          <w:tcPr>
            <w:tcW w:w="2430" w:type="dxa"/>
          </w:tcPr>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Reference</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Linaclotide</w:t>
            </w:r>
            <w:proofErr w:type="spellEnd"/>
            <w:r w:rsidRPr="005466C5">
              <w:rPr>
                <w:rFonts w:ascii="Arial" w:eastAsia="Arial" w:hAnsi="Arial" w:cs="Arial"/>
                <w:b/>
                <w:sz w:val="18"/>
                <w:szCs w:val="20"/>
              </w:rPr>
              <w:t xml:space="preserve"> 145mcg daily</w:t>
            </w: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{"citationID":"vNmSrOmQ","properties":{"formattedCitation":"\\super 7\\nosupersub{}","plainCitation":"7","noteIndex":0},"citationItems":[{"id":1891,"uris":["http://zotero.org/users/2707299/items/S8HPGA4S"],"uri":["http://zotero.org/users/2707299/items/S8HPGA4S"],"itemData":{"id":1891,"type":"article-journal","abstract":"OBJECTIVES: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7</w:t>
            </w:r>
            <w:r>
              <w:rPr>
                <w:rFonts w:ascii="Arial" w:eastAsia="Arial" w:hAnsi="Arial" w:cs="Arial"/>
                <w:sz w:val="18"/>
                <w:szCs w:val="20"/>
              </w:rPr>
              <w:fldChar w:fldCharType="end"/>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{"citationID":"BOIQkBbQ","properties":{"formattedCitation":"\\super 8\\nosupersub{}","plainCitation":"8","noteIndex":0},"citationItems":[{"id":92,"uris":["http://zotero.org/users/2707299/items/RUXMN63A"],"uri":["http://zotero.org/users/2707299/items/RUXMN63A"],"itemData":{"id":92,"type":"article-journal","abstract":"BACKGROUND: Abdominal bloating is a common and bothersome symptom of chronic idiopathic constipation. The objective of this trial was to evaluate the efficacy and safety of linaclotide in patients with chronic idiopathic constipation and concomitant moderate-to-severe abdominal bloating.\nMETHODS: This Phase 3b, randomized, double-blind, placebo-controlled clinical trial randomized patients to oral linaclotide (145 or 290 μg) or placebo once daily for 12 weeks. Eligible patients met Rome II criteria for chronic constipation upon entry with an average abdominal bloating score ≥5 (self-assessment: 0 10-point numerical rating scale) during the 14-day baseline period. Patients reported abdominal symptoms (including bloating) and bowel symptoms daily; adverse events were monitored. The primary responder endpoint required patients to have ≥3 complete spontaneous bowel movements/week with an increase of ≥1 from baseline, for ≥9 of 12 weeks. The primary endpoint compared linaclotide 145 μg vs. placebo.\nRESULTS: The intent-to-treat population included 483 patients (mean age=47.3 years, female=91.5%, white=67.7%). The primary endpoint was met by 15.7% of linaclotide 145 μg patients vs. 7.6% of placebo patients (P&lt;0.05). Both linaclotide doses significantly improved abdominal bloating vs. placebo (P&lt;0.05 for all secondary endpoints, controlling for multiplicity). Approximately one-third of linaclotide patients (each group) had ≥50% mean decrease from baseline in abdominal bloating vs. 18% of placebo patients (P&lt;0.01). Diarrhea was reported in 6% and 17% of linaclotide 145 and 290 μg patients, respectively, and 2% of placebo patients. AEs resulted in premature discontinuation of 5% and 9% of linaclotide 145 μg and 290 μg patients, respectively, and 6% of placebo patients.\nCONCLUSIONS: Once-daily linaclotide (145 and 290 μg) significantly improved bowel and abdominal symptoms in chronic idiopathic constipation patients with moderate-to-severe baseline abdominal bloating; in particular, linaclotide significantly improved abdominal bloating compared to placebo, an important finding given the lack of agents available to treat abdominal bloating in chronic idiopathic constipation patients.\nTRIAL REGISTRATION: ClinicalTrials.gov NCT01642914.","container-title":"PloS One","DOI":"10.1371/journal.pone.0134349","ISSN":"1932-6203","issue":"7","journalAbbreviation":"PLoS ONE","language":"eng","note":"PMID: 26222318\nPMCID: PMC4519259","page":"e0134349","source":"PubMed","title":"Linaclotide in Chronic Idiopathic Constipation Patients with Moderate to Severe Abdominal Bloating: A Randomized, Controlled Trial","title-short":"Linaclotide in Chronic Idiopathic Constipation Patients with Moderate to Severe Abdominal Bloating","volume":"10","author":[{"family":"Lacy","given":"Brian E."},{"family":"Schey","given":"Ron"},{"family":"Shiff","given":"Steven J."},{"family":"Lavins","given":"Bernard J."},{"family":"Fox","given":"Susan M."},{"family":"Jia","given":"Xinwei D."},{"family":"Blakesley","given":"Rick E."},{"family":"Hao","given":"Xinming"},{"family":"Cronin","given":"Jacquelyn A."},{"family":"Currie","given":"Mark G."},{"family":"Kurtz","given":"Caroline B."},{"family":"Johnston","given":"Jeffrey M."},{"family":"Lembo","given":"Anthony J."}],"issued":{"date-parts":[["2015"]]}}}],"schema":"https://github.com/citation-style-language/schema/raw/master/csl-citation.json"}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8</w:t>
            </w:r>
            <w:r>
              <w:rPr>
                <w:rFonts w:ascii="Arial" w:eastAsia="Arial" w:hAnsi="Arial" w:cs="Arial"/>
                <w:sz w:val="18"/>
                <w:szCs w:val="20"/>
              </w:rPr>
              <w:fldChar w:fldCharType="end"/>
            </w: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 xml:space="preserve">Increase of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from baseline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{"citationID":"7rcCjYC5","properties":{"formattedCitation":"\\super 8,9\\nosupersub{}","plainCitation":"8,9","noteIndex":0},"citationItems":[{"id":92,"uris":["http://zotero.org/users/2707299/items/RUXMN63A"],"uri":["http://zotero.org/users/2707299/items/RUXMN63A"],"itemData":{"id":92,"type":"article-journal","abstract":"BACKGROUND: Abdominal bloating is a common and bothersome symptom of chronic idiopathic constipation. The objective of this trial was to evaluate the efficacy and safety of linaclotide in patients with chronic idiopathic constipation and concomitant moderate-to-severe abdominal bloating.\nMETHODS: This Phase 3b, randomized, double-blind, placebo-controlled clinical trial randomized patients to oral linaclotide (145 or 290 μg) or placebo once daily for 12 weeks. Eligible patients met Rome II criteria for chronic constipation upon entry with an average abdominal bloating score ≥5 (self-assessment: 0 10-point numerical rating scale) during the 14-day baseline period. Patients reported abdominal symptoms (including bloating) and bowel symptoms daily; adverse events were monitored. The primary responder endpoint required patients to have ≥3 complete spontaneous bowel movements/week with an increase of ≥1 from baseline, for ≥9 of 12 weeks. The primary endpoint compared linaclotide 145 μg vs. placebo.\nRESULTS: The intent-to-treat population included 483 patients (mean age=47.3 years, female=91.5%, white=67.7%). The primary endpoint was met by 15.7% of linaclotide 145 μg patients vs. 7.6% of placebo patients (P&lt;0.05). Both linaclotide doses significantly improved abdominal bloating vs. placebo (P&lt;0.05 for all secondary endpoints, controlling for multiplicity). Approximately one-third of linaclotide patients (each group) had ≥50% mean decrease from baseline in abdominal bloating vs. 18% of placebo patients (P&lt;0.01). Diarrhea was reported in 6% and 17% of linaclotide 145 and 290 μg patients, respectively, and 2% of placebo patients. AEs resulted in premature discontinuation of 5% and 9% of linaclotide 145 μg and 290 μg patients, respectively, and 6% of placebo patients.\nCONCLUSIONS: Once-daily linaclotide (145 and 290 μg) significantly improved bowel and abdominal symptoms in chronic idiopathic constipation patients with moderate-to-severe baseline abdominal bloating; in particular, linaclotide significantly improved abdominal bloating compared to placebo, an important finding given the lack of agents available to treat abdominal bloating in chronic idiopathic constipation patients.\nTRIAL REGISTRATION: ClinicalTrials.gov NCT01642914.","container-title":"PloS One","DOI":"10.1371/journal.pone.0134349","ISSN":"1932-6203","issue":"7","journalAbbreviation":"PLoS ONE","language":"eng","note":"PMID: 26222318\nPMCID: PMC4519259","page":"e0134349","source":"PubMed","title":"Linaclotide in Chronic Idiopathic Constipation Patients with Moderate to Severe Abdominal Bloating: A Randomized, Controlled Trial","title-short":"Linaclotide in Chronic Idiopathic Constipation Patients with Moderate to Severe Abdominal Bloating","volume":"10","author":[{"family":"Lacy","given":"Brian E."},{"family":"Schey","given":"Ron"},{"family":"Shiff","given":"Steven J."},{"family":"Lavins","given":"Bernard J."},{"family":"Fox","given":"Susan M."},{"family":"Jia","given":"Xinwei D."},{"family":"Blakesley","given":"Rick E."},{"family":"Hao","given":"Xinming"},{"family":"Cronin","given":"Jacquelyn A."},{"family":"Currie","given":"Mark G."},{"family":"Kurtz","given":"Caroline B."},{"family":"Johnston","given":"Jeffrey M."},{"family":"Lembo","given":"Anthony J."}],"issued":{"date-parts":[["2015"]]}}},{"id":93,"uris":["http://zotero.org/users/2707299/items/A5FQZGI6"],"uri":["http://zotero.org/users/2707299/items/A5FQZGI6"],"itemData":{"id":93,"type":"article-journal","abstract":"BACKGROUND: Linaclotide is a minimally absorbed peptide agonist of the guanylate cyclase C receptor. In two trials, we aimed to determine the efficacy and safety of linaclotide in patients with chronic constipation.\nMETHODS: We conducted two randomized, 12-week, multicenter, double-blind, parallel-group, placebo-controlled, dual-dose trials (Trials 303 and 01) involving 1276 patients with chronic constipation. Patients received either placebo or linaclotide, 145 μg or 290 μg, once daily for 12 weeks. The primary efficacy end point was three or more complete spontaneous bowel movements (CSBMs) per week and an increase of one or more CSBMs from baseline during at least 9 of the 12 weeks. Adverse events were also monitored.\nRESULTS: For Trials 303 and 01, respectively, the primary end point was reached by 21.2% and 16.0% of the patients who received 145 μg of linaclotide and by 19.4% and 21.3% of the patients who received 290 μg of linaclotide, as compared with 3.3% and 6.0% of those who received placebo (P&lt;0.01 for all comparisons of linaclotide with placebo). Improvements in all secondary end points were significantly greater in both linaclotide groups than in the placebo groups. The incidence of adverse events was similar among all study groups, with the exception of diarrhea, which led to discontinuation of treatment in 4.2% of patients in both linaclotide groups.\nCONCLUSIONS: In these two 12-week trials, linaclotide significantly reduced bowel and abdominal symptoms in patients with chronic constipation. Additional studies are needed to evaluate the potential long-term risks and benefits of linaclotide in chronic constipation. (Funded by Ironwood Pharmaceuticals and Forest Research Institute; ClinicalTrials.gov numbers, NCT00765882 and NCT00730015.).","container-title":"The New England Journal of Medicine","DOI":"10.1056/NEJMoa1010863","ISSN":"1533-4406","issue":"6","journalAbbreviation":"N. Engl. J. Med.","language":"eng","note":"PMID: 21830967","page":"527-536","source":"PubMed","title":"Two randomized trials of linaclotide for chronic constipation","volume":"365","author":[{"family":"Lembo","given":"Anthony J."},{"family":"Schneier","given":"Harvey A."},{"family":"Shiff","given":"Steven J."},{"family":"Kurtz","given":"Caroline B."},{"family":"MacDougall","given":"James E."},{"family":"Jia","given":"Xinwei D."},{"family":"Shao","given":"James Z."},{"family":"Lavins","given":"Bernard J."},{"family":"Currie","given":"Mark G."},{"family":"Fitch","given":"Donald A."},{"family":"Jeglinski","given":"Brenda I."},{"family":"Eng","given":"Paul"},{"family":"Fox","given":"Susan M."},{"family":"Johnston","given":"Jeffrey M."}],"issued":{"date-parts":[["2011",8,11]]}}}],"schema":"https://github.com/citation-style-language/schema/raw/master/csl-citation.json"}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8,9</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$2,772</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$2,772</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$2,257</w:t>
            </w:r>
          </w:p>
        </w:tc>
        <w:tc>
          <w:tcPr>
            <w:tcW w:w="189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18"/>
              </w:rPr>
              <w:t>0.191</w:t>
            </w:r>
          </w:p>
        </w:tc>
        <w:tc>
          <w:tcPr>
            <w:tcW w:w="135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$382 saved</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$382 saved</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$897 saved</w:t>
            </w:r>
          </w:p>
        </w:tc>
        <w:tc>
          <w:tcPr>
            <w:tcW w:w="144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18"/>
              </w:rPr>
              <w:t>+0.003</w:t>
            </w:r>
          </w:p>
        </w:tc>
        <w:tc>
          <w:tcPr>
            <w:tcW w:w="243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Linaclotide</w:t>
            </w:r>
            <w:proofErr w:type="spellEnd"/>
            <w:r w:rsidRPr="005466C5">
              <w:rPr>
                <w:rFonts w:ascii="Arial" w:eastAsia="Arial" w:hAnsi="Arial" w:cs="Arial"/>
                <w:b/>
                <w:sz w:val="18"/>
                <w:szCs w:val="20"/>
              </w:rPr>
              <w:t xml:space="preserve"> 72mcg daily</w:t>
            </w:r>
          </w:p>
          <w:p w:rsidR="001D53E7" w:rsidRPr="008A6471"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9/12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{"citationID":"cRWNuLF1","properties":{"formattedCitation":"\\super 7\\nosupersub{}","plainCitation":"7","noteIndex":0},"citationItems":[{"id":1891,"uris":["http://zotero.org/users/2707299/items/S8HPGA4S"],"uri":["http://zotero.org/users/2707299/items/S8HPGA4S"],"itemData":{"id":1891,"type":"article-journal","abstract":"OBJECTIVES: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7</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$2,827</w:t>
            </w:r>
          </w:p>
        </w:tc>
        <w:tc>
          <w:tcPr>
            <w:tcW w:w="189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sidRPr="004802EE">
              <w:rPr>
                <w:rFonts w:ascii="Arial" w:eastAsia="Arial" w:hAnsi="Arial" w:cs="Arial"/>
                <w:sz w:val="18"/>
                <w:szCs w:val="18"/>
              </w:rPr>
              <w:t>0.191</w:t>
            </w:r>
          </w:p>
        </w:tc>
        <w:tc>
          <w:tcPr>
            <w:tcW w:w="135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$327 saved</w:t>
            </w:r>
          </w:p>
        </w:tc>
        <w:tc>
          <w:tcPr>
            <w:tcW w:w="144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sidRPr="004802EE">
              <w:rPr>
                <w:rFonts w:ascii="Arial" w:eastAsia="Arial" w:hAnsi="Arial" w:cs="Arial"/>
                <w:sz w:val="18"/>
                <w:szCs w:val="18"/>
              </w:rPr>
              <w:t>+0.003</w:t>
            </w:r>
          </w:p>
        </w:tc>
        <w:tc>
          <w:tcPr>
            <w:tcW w:w="243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Plecanatide</w:t>
            </w:r>
            <w:proofErr w:type="spellEnd"/>
            <w:r w:rsidRPr="005466C5">
              <w:rPr>
                <w:rFonts w:ascii="Arial" w:eastAsia="Arial" w:hAnsi="Arial" w:cs="Arial"/>
                <w:b/>
                <w:sz w:val="18"/>
                <w:szCs w:val="20"/>
              </w:rPr>
              <w:t xml:space="preserve"> 3mg daily</w:t>
            </w:r>
          </w:p>
          <w:p w:rsidR="001D53E7" w:rsidRPr="008A6471"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 xml:space="preserve">9/12 weeks with sustained response for the last </w:t>
            </w:r>
            <w:r w:rsidRPr="000C0737">
              <w:rPr>
                <w:rFonts w:ascii="Arial" w:eastAsia="Arial" w:hAnsi="Arial" w:cs="Arial"/>
                <w:sz w:val="18"/>
                <w:szCs w:val="20"/>
              </w:rPr>
              <w:t>≥</w:t>
            </w:r>
            <w:r>
              <w:rPr>
                <w:rFonts w:ascii="Arial" w:eastAsia="Arial" w:hAnsi="Arial" w:cs="Arial"/>
                <w:sz w:val="18"/>
                <w:szCs w:val="20"/>
              </w:rPr>
              <w:t>3/4 weeks</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{"citationID":"5VkcO9HJ","properties":{"formattedCitation":"\\super 7\\nosupersub{}","plainCitation":"7","noteIndex":0},"citationItems":[{"id":1891,"uris":["http://zotero.org/users/2707299/items/S8HPGA4S"],"uri":["http://zotero.org/users/2707299/items/S8HPGA4S"],"itemData":{"id":1891,"type":"article-journal","abstract":"OBJECTIVES: Linaclotide and plecanatide are guanylate cyclase-C (GCC) agonists for the treatment of chronic idiopathic constipation (CIC) and irritable bowel syndrome with constipation (IBS-C). Our objective is to evaluate the efficacy and tolerability of GCC agonists based on data from multiple randomized controlled trials (RCTs).\nMETHODS: We searched PubMED, EMBASE, Cochrane databases, clinicaltrials.gov, major conference abstracts, Food and Drug Administration (FDA) websites, and United States Securities and Exchange Commission filings of drug sponsors to identify RCTs of CIC or IBS-C patients. We assessed efficacy based on FDA-approved composite responder endpoints, diarrhea as an adverse event, and study withdrawal owing to diarrhea for each therapy. Trial results were pooled using DerSimonian and Laird random effects model of meta-analysis and exact logistic regression when appropriate with 95% confidence intervals. Meta-regression was performed to compare outcomes between therapies adjusting for placebo event rate.\nRESULTS: Eight linaclotide trials (five CIC; three IBS-C) and seven plecanatide trials (four CIC; three IBS-C) evaluating 10,369 patients met inclusion criteria. FDA publications documented that different definitions for diarrhea were used in linaclotide vs. plecanatide trials. Both drugs were efficacious in treating CIC (linaclotide 72 μg (Odds ratio (OR)=3.11, 95% CI 1.81-5.34); linaclotide 145 μg (OR=3.25, 2.15-4.91); plecanatide 3 mg (OR=1.99, 1.57-2.51)) and IBS-C (linaclotide 290 μg (OR=2.43, 1.48-3.98); plecanatide 3 mg (OR=1.87, 1.47-2.38); plecanatide 6 mg (OR=1.92, 1.48-2.48)). Diarrhea occurred in excess of placebo in treating CIC (linaclotide 72 μg (OR=3.07, 1.97-4.77); linaclotide 145 μg (OR=3.70, 2.69-5.10); plecanatide 3 mg (OR=3.86, 1.83-8.12)) and IBS-C (linaclotide 290 μg (OR=8.02, 5.20-12.37); plecanatide 3 mg (OR=5.55, 1.62-19.00); plecanatide 6 mg (OR=4.13, 1.57-10.83)). Based on meta-regression, there were no statistically significant differences between therapies in odds ratios for efficacy, diarrhea, or diarrhea-related study withdrawals.\nCONCLUSIONS: Both linaclotide and plecanatide demonstrate similar efficacy and tolerability in treating IBS-C and CIC. No differences in odds of diarrhea were seen between linaclotide and plecanatide.","container-title":"The American Journal of Gastroenterology","DOI":"10.1038/ajg.2017.495","ISSN":"1572-0241","issue":"3","journalAbbreviation":"Am. J. Gastroenterol.","language":"eng","note":"PMID: 29380823","page":"329-338","source":"PubMed","title":"Efficacy and Tolerability of Guanylate Cyclase-C Agonists for Irritable Bowel Syndrome with Constipation and Chronic Idiopathic Constipation: A Systematic Review and Meta-Analysis","title-short":"Efficacy and Tolerability of Guanylate Cyclase-C Agonists for Irritable Bowel Syndrome with Constipation and Chronic Idiopathic Constipation","volume":"113","author":[{"family":"Shah","given":"Eric D."},{"family":"Kim","given":"Hyungjin Myra"},{"family":"Schoenfeld","given":"Philip"}],"issued":{"date-parts":[["2018",3]]}}}],"schema":"https://github.com/citation-style-language/schema/raw/master/csl-citation.json"}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7</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$2,617</w:t>
            </w:r>
          </w:p>
        </w:tc>
        <w:tc>
          <w:tcPr>
            <w:tcW w:w="1890" w:type="dxa"/>
          </w:tcPr>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sidRPr="004802EE">
              <w:rPr>
                <w:rFonts w:ascii="Arial" w:eastAsia="Arial" w:hAnsi="Arial" w:cs="Arial"/>
                <w:sz w:val="18"/>
                <w:szCs w:val="18"/>
              </w:rPr>
              <w:t>0.193</w:t>
            </w:r>
          </w:p>
        </w:tc>
        <w:tc>
          <w:tcPr>
            <w:tcW w:w="1350" w:type="dxa"/>
          </w:tcPr>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$537 saved</w:t>
            </w:r>
          </w:p>
        </w:tc>
        <w:tc>
          <w:tcPr>
            <w:tcW w:w="1440" w:type="dxa"/>
          </w:tcPr>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sidRPr="004802EE">
              <w:rPr>
                <w:rFonts w:ascii="Arial" w:eastAsia="Arial" w:hAnsi="Arial" w:cs="Arial"/>
                <w:sz w:val="18"/>
                <w:szCs w:val="18"/>
              </w:rPr>
              <w:t>+0.005</w:t>
            </w:r>
          </w:p>
        </w:tc>
        <w:tc>
          <w:tcPr>
            <w:tcW w:w="2430" w:type="dxa"/>
          </w:tcPr>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tc>
      </w:tr>
      <w:tr w:rsidR="001D53E7" w:rsidRPr="008A6471" w:rsidTr="00AC1D0B">
        <w:tc>
          <w:tcPr>
            <w:tcW w:w="2160" w:type="dxa"/>
          </w:tcPr>
          <w:p w:rsidR="001D53E7"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t>Prucalopride</w:t>
            </w:r>
            <w:proofErr w:type="spellEnd"/>
            <w:r w:rsidRPr="005466C5">
              <w:rPr>
                <w:rFonts w:ascii="Arial" w:eastAsia="Arial" w:hAnsi="Arial" w:cs="Arial"/>
                <w:b/>
                <w:sz w:val="18"/>
                <w:szCs w:val="20"/>
              </w:rPr>
              <w:t xml:space="preserve"> 2mg</w:t>
            </w: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w:t>
            </w:r>
            <w:r>
              <w:rPr>
                <w:rFonts w:ascii="Arial" w:eastAsia="Arial" w:hAnsi="Arial" w:cs="Arial"/>
                <w:sz w:val="18"/>
                <w:szCs w:val="20"/>
              </w:rPr>
              <w:t>3 CSBM/</w:t>
            </w:r>
            <w:proofErr w:type="spellStart"/>
            <w:r>
              <w:rPr>
                <w:rFonts w:ascii="Arial" w:eastAsia="Arial" w:hAnsi="Arial" w:cs="Arial"/>
                <w:sz w:val="18"/>
                <w:szCs w:val="20"/>
              </w:rPr>
              <w:t>wk</w:t>
            </w:r>
            <w:proofErr w:type="spellEnd"/>
            <w:r>
              <w:rPr>
                <w:rFonts w:ascii="Arial" w:eastAsia="Arial" w:hAnsi="Arial" w:cs="Arial"/>
                <w:sz w:val="18"/>
                <w:szCs w:val="20"/>
              </w:rPr>
              <w:t xml:space="preserve"> + increase </w:t>
            </w:r>
            <w:r w:rsidRPr="000C0737">
              <w:rPr>
                <w:rFonts w:ascii="Arial" w:eastAsia="Arial" w:hAnsi="Arial" w:cs="Arial"/>
                <w:sz w:val="18"/>
                <w:szCs w:val="20"/>
              </w:rPr>
              <w:t>≥</w:t>
            </w:r>
            <w:r>
              <w:rPr>
                <w:rFonts w:ascii="Arial" w:eastAsia="Arial" w:hAnsi="Arial" w:cs="Arial"/>
                <w:sz w:val="18"/>
                <w:szCs w:val="20"/>
              </w:rPr>
              <w:t>1 CSBM/</w:t>
            </w:r>
            <w:proofErr w:type="spellStart"/>
            <w:r>
              <w:rPr>
                <w:rFonts w:ascii="Arial" w:eastAsia="Arial" w:hAnsi="Arial" w:cs="Arial"/>
                <w:sz w:val="18"/>
                <w:szCs w:val="20"/>
              </w:rPr>
              <w:t>wk</w:t>
            </w:r>
            <w:proofErr w:type="spellEnd"/>
            <w:r>
              <w:rPr>
                <w:rFonts w:ascii="Arial" w:eastAsia="Arial" w:hAnsi="Arial" w:cs="Arial"/>
                <w:sz w:val="18"/>
                <w:szCs w:val="20"/>
              </w:rPr>
              <w:t xml:space="preserve"> compared to baseline for </w:t>
            </w:r>
            <w:r w:rsidRPr="000C0737">
              <w:rPr>
                <w:rFonts w:ascii="Arial" w:eastAsia="Arial" w:hAnsi="Arial" w:cs="Arial"/>
                <w:sz w:val="18"/>
                <w:szCs w:val="20"/>
              </w:rPr>
              <w:t>≥</w:t>
            </w:r>
            <w:r>
              <w:rPr>
                <w:rFonts w:ascii="Arial" w:eastAsia="Arial" w:hAnsi="Arial" w:cs="Arial"/>
                <w:sz w:val="18"/>
                <w:szCs w:val="20"/>
              </w:rPr>
              <w:t>9/12 weeks (defined as Alternative Endpoint A in Table 51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{"citationID":"1xY1837Q","properties":{"formattedCitation":"\\super 3\\nosupersub{}","plainCitation":"3","noteIndex":0},"citationItems":[{"id":27051,"uris":["http://zotero.org/users/2707299/items/VMVGFTHH"],"uri":["http://zotero.org/users/2707299/items/VMVGFTHH"],"itemData":{"id":27051,"type":"article-journal","title":"Drug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3</w:t>
            </w:r>
            <w:r>
              <w:rPr>
                <w:rFonts w:ascii="Arial" w:eastAsia="Arial" w:hAnsi="Arial" w:cs="Arial"/>
                <w:sz w:val="18"/>
                <w:szCs w:val="20"/>
              </w:rPr>
              <w:fldChar w:fldCharType="end"/>
            </w:r>
            <w:r>
              <w:rPr>
                <w:rFonts w:ascii="Arial" w:eastAsia="Arial" w:hAnsi="Arial" w:cs="Arial"/>
                <w:sz w:val="18"/>
                <w:szCs w:val="20"/>
              </w:rPr>
              <w:t xml:space="preserve"> </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sidRPr="000C0737">
              <w:rPr>
                <w:rFonts w:ascii="Arial" w:eastAsia="Arial" w:hAnsi="Arial" w:cs="Arial"/>
                <w:sz w:val="18"/>
                <w:szCs w:val="20"/>
              </w:rPr>
              <w:t xml:space="preserve">≥3 CSBM </w:t>
            </w:r>
            <w:r>
              <w:rPr>
                <w:rFonts w:ascii="Arial" w:eastAsia="Arial" w:hAnsi="Arial" w:cs="Arial"/>
                <w:sz w:val="18"/>
                <w:szCs w:val="20"/>
              </w:rPr>
              <w:t xml:space="preserve">per week averaged over 12 weeks (defined as primary FDA responder </w:t>
            </w:r>
            <w:r>
              <w:rPr>
                <w:rFonts w:ascii="Arial" w:eastAsia="Arial" w:hAnsi="Arial" w:cs="Arial"/>
                <w:sz w:val="18"/>
                <w:szCs w:val="20"/>
              </w:rPr>
              <w:lastRenderedPageBreak/>
              <w:t xml:space="preserve">endpoint for </w:t>
            </w:r>
            <w:proofErr w:type="spellStart"/>
            <w:r>
              <w:rPr>
                <w:rFonts w:ascii="Arial" w:eastAsia="Arial" w:hAnsi="Arial" w:cs="Arial"/>
                <w:sz w:val="18"/>
                <w:szCs w:val="20"/>
              </w:rPr>
              <w:t>prucalopride</w:t>
            </w:r>
            <w:proofErr w:type="spellEnd"/>
            <w:r>
              <w:rPr>
                <w:rFonts w:ascii="Arial" w:eastAsia="Arial" w:hAnsi="Arial" w:cs="Arial"/>
                <w:sz w:val="18"/>
                <w:szCs w:val="20"/>
              </w:rPr>
              <w:t xml:space="preserve"> in Table 52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{"citationID":"Hjpdt4AQ","properties":{"formattedCitation":"\\super 3\\nosupersub{}","plainCitation":"3","noteIndex":0},"citationItems":[{"id":27051,"uris":["http://zotero.org/users/2707299/items/VMVGFTHH"],"uri":["http://zotero.org/users/2707299/items/VMVGFTHH"],"itemData":{"id":27051,"type":"article-journal","title":"Drug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3</w:t>
            </w:r>
            <w:r>
              <w:rPr>
                <w:rFonts w:ascii="Arial" w:eastAsia="Arial" w:hAnsi="Arial" w:cs="Arial"/>
                <w:sz w:val="18"/>
                <w:szCs w:val="20"/>
              </w:rPr>
              <w:fldChar w:fldCharType="end"/>
            </w:r>
          </w:p>
          <w:p w:rsidR="001D53E7" w:rsidRDefault="001D53E7" w:rsidP="00AC1D0B">
            <w:pPr>
              <w:spacing w:after="0"/>
              <w:rPr>
                <w:rFonts w:ascii="Arial" w:eastAsia="Arial" w:hAnsi="Arial" w:cs="Arial"/>
                <w:sz w:val="18"/>
                <w:szCs w:val="20"/>
              </w:rPr>
            </w:pPr>
          </w:p>
          <w:p w:rsidR="001D53E7" w:rsidRPr="005466C5" w:rsidRDefault="001D53E7" w:rsidP="00AC1D0B">
            <w:pPr>
              <w:spacing w:after="0"/>
              <w:rPr>
                <w:rFonts w:ascii="Arial" w:eastAsia="Arial" w:hAnsi="Arial" w:cs="Arial"/>
                <w:b/>
                <w:sz w:val="18"/>
                <w:szCs w:val="20"/>
              </w:rPr>
            </w:pPr>
            <w:r>
              <w:rPr>
                <w:rFonts w:ascii="Arial" w:eastAsia="Arial" w:hAnsi="Arial" w:cs="Arial"/>
                <w:sz w:val="18"/>
                <w:szCs w:val="20"/>
              </w:rPr>
              <w:t xml:space="preserve">Increase of </w:t>
            </w:r>
            <w:r w:rsidRPr="000C0737">
              <w:rPr>
                <w:rFonts w:ascii="Arial" w:eastAsia="Arial" w:hAnsi="Arial" w:cs="Arial"/>
                <w:sz w:val="18"/>
                <w:szCs w:val="20"/>
              </w:rPr>
              <w:t>≥</w:t>
            </w:r>
            <w:r>
              <w:rPr>
                <w:rFonts w:ascii="Arial" w:eastAsia="Arial" w:hAnsi="Arial" w:cs="Arial"/>
                <w:sz w:val="18"/>
                <w:szCs w:val="20"/>
              </w:rPr>
              <w:t>1</w:t>
            </w:r>
            <w:r w:rsidRPr="000C0737">
              <w:rPr>
                <w:rFonts w:ascii="Arial" w:eastAsia="Arial" w:hAnsi="Arial" w:cs="Arial"/>
                <w:sz w:val="18"/>
                <w:szCs w:val="20"/>
              </w:rPr>
              <w:t xml:space="preserve"> CSBM </w:t>
            </w:r>
            <w:r>
              <w:rPr>
                <w:rFonts w:ascii="Arial" w:eastAsia="Arial" w:hAnsi="Arial" w:cs="Arial"/>
                <w:sz w:val="18"/>
                <w:szCs w:val="20"/>
              </w:rPr>
              <w:t>per week from baseline averaged over 12 weeks (Table 54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{"citationID":"2DsLcjAh","properties":{"formattedCitation":"\\super 3\\nosupersub{}","plainCitation":"3","noteIndex":0},"citationItems":[{"id":27051,"uris":["http://zotero.org/users/2707299/items/VMVGFTHH"],"uri":["http://zotero.org/users/2707299/items/VMVGFTHH"],"itemData":{"id":27051,"type":"article-journal","title":"Drug Approval Package: Motegrity (prucalopride). U.S. Food and Drug Administration. https://www.accessdata.fda.gov/drugsatfda_docs/nda/2018/210166Orig1s000TOC.cfm.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3</w:t>
            </w:r>
            <w:r>
              <w:rPr>
                <w:rFonts w:ascii="Arial" w:eastAsia="Arial" w:hAnsi="Arial" w:cs="Arial"/>
                <w:sz w:val="18"/>
                <w:szCs w:val="20"/>
              </w:rPr>
              <w:fldChar w:fldCharType="end"/>
            </w:r>
          </w:p>
        </w:tc>
        <w:tc>
          <w:tcPr>
            <w:tcW w:w="108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$2,698</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$2,512</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$1,841</w:t>
            </w:r>
          </w:p>
        </w:tc>
        <w:tc>
          <w:tcPr>
            <w:tcW w:w="189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0.191</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18"/>
              </w:rPr>
              <w:t>0.191</w:t>
            </w:r>
          </w:p>
        </w:tc>
        <w:tc>
          <w:tcPr>
            <w:tcW w:w="135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$456 saved</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$642 saved</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18"/>
              </w:rPr>
              <w:t>$1,313 saved</w:t>
            </w:r>
          </w:p>
        </w:tc>
        <w:tc>
          <w:tcPr>
            <w:tcW w:w="1440" w:type="dxa"/>
          </w:tcPr>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r w:rsidRPr="004802EE">
              <w:rPr>
                <w:rFonts w:ascii="Arial" w:eastAsia="Arial" w:hAnsi="Arial" w:cs="Arial"/>
                <w:sz w:val="18"/>
                <w:szCs w:val="18"/>
              </w:rPr>
              <w:t>+0.003</w:t>
            </w: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Default="001D53E7" w:rsidP="00AC1D0B">
            <w:pPr>
              <w:spacing w:after="0"/>
              <w:rPr>
                <w:rFonts w:ascii="Arial" w:eastAsia="Arial" w:hAnsi="Arial" w:cs="Arial"/>
                <w:sz w:val="18"/>
                <w:szCs w:val="18"/>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18"/>
              </w:rPr>
              <w:t>+0.003</w:t>
            </w:r>
          </w:p>
        </w:tc>
        <w:tc>
          <w:tcPr>
            <w:tcW w:w="2430" w:type="dxa"/>
          </w:tcPr>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Default="001D53E7" w:rsidP="00AC1D0B">
            <w:pPr>
              <w:spacing w:after="0"/>
              <w:rPr>
                <w:rFonts w:ascii="Arial" w:eastAsia="Arial" w:hAnsi="Arial" w:cs="Arial"/>
                <w:sz w:val="18"/>
                <w:szCs w:val="20"/>
              </w:rPr>
            </w:pPr>
          </w:p>
          <w:p w:rsidR="001D53E7" w:rsidRPr="008A6471" w:rsidRDefault="001D53E7" w:rsidP="00AC1D0B">
            <w:pPr>
              <w:spacing w:after="0"/>
              <w:rPr>
                <w:rFonts w:ascii="Arial" w:eastAsia="Arial" w:hAnsi="Arial" w:cs="Arial"/>
                <w:sz w:val="18"/>
                <w:szCs w:val="20"/>
              </w:rPr>
            </w:pPr>
            <w:r>
              <w:rPr>
                <w:rFonts w:ascii="Arial" w:eastAsia="Arial" w:hAnsi="Arial" w:cs="Arial"/>
                <w:sz w:val="18"/>
                <w:szCs w:val="20"/>
              </w:rPr>
              <w:t>Dominates usual care</w:t>
            </w:r>
          </w:p>
        </w:tc>
      </w:tr>
      <w:tr w:rsidR="001D53E7" w:rsidRPr="008A6471" w:rsidTr="00AC1D0B">
        <w:tc>
          <w:tcPr>
            <w:tcW w:w="2160" w:type="dxa"/>
          </w:tcPr>
          <w:p w:rsidR="001D53E7" w:rsidRPr="005466C5" w:rsidRDefault="001D53E7" w:rsidP="00AC1D0B">
            <w:pPr>
              <w:spacing w:after="0"/>
              <w:rPr>
                <w:rFonts w:ascii="Arial" w:eastAsia="Arial" w:hAnsi="Arial" w:cs="Arial"/>
                <w:b/>
                <w:sz w:val="18"/>
                <w:szCs w:val="20"/>
              </w:rPr>
            </w:pPr>
            <w:proofErr w:type="spellStart"/>
            <w:r w:rsidRPr="005466C5">
              <w:rPr>
                <w:rFonts w:ascii="Arial" w:eastAsia="Arial" w:hAnsi="Arial" w:cs="Arial"/>
                <w:b/>
                <w:sz w:val="18"/>
                <w:szCs w:val="20"/>
              </w:rPr>
              <w:lastRenderedPageBreak/>
              <w:t>Lubiprostone</w:t>
            </w:r>
            <w:proofErr w:type="spellEnd"/>
            <w:r w:rsidRPr="005466C5">
              <w:rPr>
                <w:rFonts w:ascii="Arial" w:eastAsia="Arial" w:hAnsi="Arial" w:cs="Arial"/>
                <w:b/>
                <w:sz w:val="18"/>
                <w:szCs w:val="20"/>
              </w:rPr>
              <w:t xml:space="preserve"> 24mcg twice daily*</w:t>
            </w:r>
          </w:p>
          <w:p w:rsidR="001D53E7" w:rsidRPr="007F0B95" w:rsidRDefault="001D53E7" w:rsidP="00AC1D0B">
            <w:pPr>
              <w:spacing w:after="0"/>
              <w:rPr>
                <w:rFonts w:ascii="Arial" w:eastAsia="Arial" w:hAnsi="Arial" w:cs="Arial"/>
                <w:sz w:val="18"/>
                <w:szCs w:val="20"/>
              </w:rPr>
            </w:pPr>
            <w:r>
              <w:rPr>
                <w:rFonts w:ascii="Arial" w:eastAsia="Arial" w:hAnsi="Arial" w:cs="Arial"/>
                <w:sz w:val="18"/>
                <w:szCs w:val="20"/>
              </w:rPr>
              <w:t xml:space="preserve">Increase of </w:t>
            </w:r>
            <w:r w:rsidRPr="000C0737">
              <w:rPr>
                <w:rFonts w:ascii="Arial" w:eastAsia="Arial" w:hAnsi="Arial" w:cs="Arial"/>
                <w:sz w:val="18"/>
                <w:szCs w:val="20"/>
              </w:rPr>
              <w:t>≥</w:t>
            </w:r>
            <w:r w:rsidRPr="007F0B95">
              <w:rPr>
                <w:rFonts w:ascii="Arial" w:eastAsia="Arial" w:hAnsi="Arial" w:cs="Arial"/>
                <w:sz w:val="18"/>
                <w:szCs w:val="20"/>
              </w:rPr>
              <w:t>3 SBM/</w:t>
            </w:r>
            <w:proofErr w:type="spellStart"/>
            <w:r w:rsidRPr="007F0B95">
              <w:rPr>
                <w:rFonts w:ascii="Arial" w:eastAsia="Arial" w:hAnsi="Arial" w:cs="Arial"/>
                <w:sz w:val="18"/>
                <w:szCs w:val="20"/>
              </w:rPr>
              <w:t>wk</w:t>
            </w:r>
            <w:proofErr w:type="spellEnd"/>
            <w:r w:rsidRPr="007F0B95">
              <w:rPr>
                <w:rFonts w:ascii="Arial" w:eastAsia="Arial" w:hAnsi="Arial" w:cs="Arial"/>
                <w:sz w:val="18"/>
                <w:szCs w:val="20"/>
              </w:rPr>
              <w:t xml:space="preserve"> averaged over 4 weeks</w:t>
            </w:r>
            <w:r>
              <w:rPr>
                <w:rFonts w:ascii="Arial" w:eastAsia="Arial" w:hAnsi="Arial" w:cs="Arial"/>
                <w:sz w:val="18"/>
                <w:szCs w:val="20"/>
              </w:rPr>
              <w:t xml:space="preserve"> compared to baseline (Table 9 of FDA multi-discipline review)</w:t>
            </w:r>
            <w:r>
              <w:rPr>
                <w:rFonts w:ascii="Arial" w:eastAsia="Arial" w:hAnsi="Arial" w:cs="Arial"/>
                <w:sz w:val="18"/>
                <w:szCs w:val="20"/>
              </w:rPr>
              <w:fldChar w:fldCharType="begin"/>
            </w:r>
            <w:r>
              <w:rPr>
                <w:rFonts w:ascii="Arial" w:eastAsia="Arial" w:hAnsi="Arial" w:cs="Arial"/>
                <w:sz w:val="18"/>
                <w:szCs w:val="20"/>
              </w:rPr>
              <w:instrText xml:space="preserve"> ADDIN ZOTERO_ITEM CSL_CITATION {"citationID":"i9cq8F7B","properties":{"formattedCitation":"\\super 6\\nosupersub{}","plainCitation":"6","noteIndex":0},"citationItems":[{"id":27052,"uris":["http://zotero.org/users/2707299/items/DZYSC5NX"],"uri":["http://zotero.org/users/2707299/items/DZYSC5NX"],"itemData":{"id":27052,"type":"article-journal","title":"AMITIZA (Lubiprostone) Approval Package. U.S. Food and Drug Administration. https://www.accessdata.fda.gov/drugsatfda_docs/nda/2013/021908Orig1s011.pdf. Accessed December 1, 2020."}}],"schema":"https://github.com/citation-style-language/schema/raw/master/csl-citation.json"} </w:instrText>
            </w:r>
            <w:r>
              <w:rPr>
                <w:rFonts w:ascii="Arial" w:eastAsia="Arial" w:hAnsi="Arial" w:cs="Arial"/>
                <w:sz w:val="18"/>
                <w:szCs w:val="20"/>
              </w:rPr>
              <w:fldChar w:fldCharType="separate"/>
            </w:r>
            <w:r w:rsidRPr="00AA3A9E">
              <w:rPr>
                <w:rFonts w:ascii="Arial" w:hAnsi="Arial" w:cs="Arial"/>
                <w:sz w:val="18"/>
                <w:szCs w:val="24"/>
                <w:vertAlign w:val="superscript"/>
              </w:rPr>
              <w:t>6</w:t>
            </w:r>
            <w:r>
              <w:rPr>
                <w:rFonts w:ascii="Arial" w:eastAsia="Arial" w:hAnsi="Arial" w:cs="Arial"/>
                <w:sz w:val="18"/>
                <w:szCs w:val="20"/>
              </w:rPr>
              <w:fldChar w:fldCharType="end"/>
            </w:r>
          </w:p>
        </w:tc>
        <w:tc>
          <w:tcPr>
            <w:tcW w:w="1080" w:type="dxa"/>
          </w:tcPr>
          <w:p w:rsidR="001D53E7" w:rsidRPr="007F0B95" w:rsidRDefault="001D53E7" w:rsidP="00AC1D0B">
            <w:pPr>
              <w:spacing w:after="0"/>
              <w:rPr>
                <w:rFonts w:ascii="Arial" w:eastAsia="Arial" w:hAnsi="Arial" w:cs="Arial"/>
                <w:sz w:val="18"/>
                <w:szCs w:val="20"/>
              </w:rPr>
            </w:pPr>
          </w:p>
          <w:p w:rsidR="001D53E7" w:rsidRPr="007F0B95" w:rsidRDefault="001D53E7" w:rsidP="00AC1D0B">
            <w:pPr>
              <w:spacing w:after="0"/>
              <w:rPr>
                <w:rFonts w:ascii="Arial" w:eastAsia="Arial" w:hAnsi="Arial" w:cs="Arial"/>
                <w:sz w:val="18"/>
                <w:szCs w:val="20"/>
              </w:rPr>
            </w:pPr>
          </w:p>
          <w:p w:rsidR="001D53E7" w:rsidRPr="007F0B95" w:rsidRDefault="001D53E7" w:rsidP="00AC1D0B">
            <w:pPr>
              <w:spacing w:after="0"/>
              <w:rPr>
                <w:rFonts w:ascii="Arial" w:eastAsia="Arial" w:hAnsi="Arial" w:cs="Arial"/>
                <w:sz w:val="18"/>
                <w:szCs w:val="20"/>
              </w:rPr>
            </w:pPr>
            <w:r w:rsidRPr="007F0B95">
              <w:rPr>
                <w:rFonts w:ascii="Arial" w:eastAsia="Arial" w:hAnsi="Arial" w:cs="Arial"/>
                <w:sz w:val="18"/>
                <w:szCs w:val="20"/>
              </w:rPr>
              <w:t>$2,037</w:t>
            </w:r>
          </w:p>
        </w:tc>
        <w:tc>
          <w:tcPr>
            <w:tcW w:w="1890" w:type="dxa"/>
          </w:tcPr>
          <w:p w:rsidR="001D53E7" w:rsidRPr="007F0B95" w:rsidRDefault="001D53E7" w:rsidP="00AC1D0B">
            <w:pPr>
              <w:spacing w:after="0"/>
              <w:rPr>
                <w:rFonts w:ascii="Arial" w:eastAsia="Arial" w:hAnsi="Arial" w:cs="Arial"/>
                <w:sz w:val="18"/>
                <w:szCs w:val="18"/>
              </w:rPr>
            </w:pPr>
          </w:p>
          <w:p w:rsidR="001D53E7" w:rsidRPr="007F0B95" w:rsidRDefault="001D53E7" w:rsidP="00AC1D0B">
            <w:pPr>
              <w:spacing w:after="0"/>
              <w:rPr>
                <w:rFonts w:ascii="Arial" w:eastAsia="Arial" w:hAnsi="Arial" w:cs="Arial"/>
                <w:sz w:val="18"/>
                <w:szCs w:val="18"/>
              </w:rPr>
            </w:pPr>
          </w:p>
          <w:p w:rsidR="001D53E7" w:rsidRPr="007F0B95" w:rsidRDefault="001D53E7" w:rsidP="00AC1D0B">
            <w:pPr>
              <w:spacing w:after="0"/>
              <w:rPr>
                <w:rFonts w:ascii="Arial" w:eastAsia="Arial" w:hAnsi="Arial" w:cs="Arial"/>
                <w:sz w:val="18"/>
                <w:szCs w:val="18"/>
              </w:rPr>
            </w:pPr>
            <w:r w:rsidRPr="007F0B95">
              <w:rPr>
                <w:rFonts w:ascii="Arial" w:eastAsia="Arial" w:hAnsi="Arial" w:cs="Arial"/>
                <w:sz w:val="18"/>
                <w:szCs w:val="18"/>
              </w:rPr>
              <w:t>0.196</w:t>
            </w:r>
          </w:p>
        </w:tc>
        <w:tc>
          <w:tcPr>
            <w:tcW w:w="1350" w:type="dxa"/>
          </w:tcPr>
          <w:p w:rsidR="001D53E7" w:rsidRPr="007F0B95" w:rsidRDefault="001D53E7" w:rsidP="00AC1D0B">
            <w:pPr>
              <w:spacing w:after="0"/>
              <w:rPr>
                <w:rFonts w:ascii="Arial" w:eastAsia="Arial" w:hAnsi="Arial" w:cs="Arial"/>
                <w:sz w:val="18"/>
                <w:szCs w:val="20"/>
              </w:rPr>
            </w:pPr>
          </w:p>
          <w:p w:rsidR="001D53E7" w:rsidRPr="007F0B95" w:rsidRDefault="001D53E7" w:rsidP="00AC1D0B">
            <w:pPr>
              <w:spacing w:after="0"/>
              <w:rPr>
                <w:rFonts w:ascii="Arial" w:eastAsia="Arial" w:hAnsi="Arial" w:cs="Arial"/>
                <w:sz w:val="18"/>
                <w:szCs w:val="20"/>
              </w:rPr>
            </w:pPr>
          </w:p>
          <w:p w:rsidR="001D53E7" w:rsidRPr="007F0B95" w:rsidRDefault="001D53E7" w:rsidP="00AC1D0B">
            <w:pPr>
              <w:spacing w:after="0"/>
              <w:rPr>
                <w:rFonts w:ascii="Arial" w:eastAsia="Arial" w:hAnsi="Arial" w:cs="Arial"/>
                <w:sz w:val="18"/>
                <w:szCs w:val="20"/>
              </w:rPr>
            </w:pPr>
            <w:r>
              <w:rPr>
                <w:rFonts w:ascii="Arial" w:eastAsia="Arial" w:hAnsi="Arial" w:cs="Arial"/>
                <w:sz w:val="18"/>
                <w:szCs w:val="20"/>
              </w:rPr>
              <w:t xml:space="preserve">$1,117 </w:t>
            </w:r>
            <w:r w:rsidRPr="007F0B95">
              <w:rPr>
                <w:rFonts w:ascii="Arial" w:eastAsia="Arial" w:hAnsi="Arial" w:cs="Arial"/>
                <w:sz w:val="18"/>
                <w:szCs w:val="20"/>
              </w:rPr>
              <w:t>saved</w:t>
            </w:r>
          </w:p>
        </w:tc>
        <w:tc>
          <w:tcPr>
            <w:tcW w:w="1440" w:type="dxa"/>
          </w:tcPr>
          <w:p w:rsidR="001D53E7" w:rsidRPr="007F0B95" w:rsidRDefault="001D53E7" w:rsidP="00AC1D0B">
            <w:pPr>
              <w:spacing w:after="0"/>
              <w:rPr>
                <w:rFonts w:ascii="Arial" w:eastAsia="Arial" w:hAnsi="Arial" w:cs="Arial"/>
                <w:sz w:val="18"/>
                <w:szCs w:val="18"/>
              </w:rPr>
            </w:pPr>
          </w:p>
          <w:p w:rsidR="001D53E7" w:rsidRPr="007F0B95" w:rsidRDefault="001D53E7" w:rsidP="00AC1D0B">
            <w:pPr>
              <w:spacing w:after="0"/>
              <w:rPr>
                <w:rFonts w:ascii="Arial" w:eastAsia="Arial" w:hAnsi="Arial" w:cs="Arial"/>
                <w:sz w:val="18"/>
                <w:szCs w:val="18"/>
              </w:rPr>
            </w:pPr>
          </w:p>
          <w:p w:rsidR="001D53E7" w:rsidRPr="007F0B95" w:rsidRDefault="001D53E7" w:rsidP="00AC1D0B">
            <w:pPr>
              <w:spacing w:after="0"/>
              <w:rPr>
                <w:rFonts w:ascii="Arial" w:eastAsia="Arial" w:hAnsi="Arial" w:cs="Arial"/>
                <w:sz w:val="18"/>
                <w:szCs w:val="18"/>
              </w:rPr>
            </w:pPr>
            <w:r w:rsidRPr="007F0B95">
              <w:rPr>
                <w:rFonts w:ascii="Arial" w:eastAsia="Arial" w:hAnsi="Arial" w:cs="Arial"/>
                <w:sz w:val="18"/>
                <w:szCs w:val="18"/>
              </w:rPr>
              <w:t>+0.009</w:t>
            </w:r>
          </w:p>
        </w:tc>
        <w:tc>
          <w:tcPr>
            <w:tcW w:w="2430" w:type="dxa"/>
          </w:tcPr>
          <w:p w:rsidR="001D53E7" w:rsidRPr="007F0B95" w:rsidRDefault="001D53E7" w:rsidP="00AC1D0B">
            <w:pPr>
              <w:spacing w:after="0"/>
              <w:rPr>
                <w:rFonts w:ascii="Arial" w:eastAsia="Arial" w:hAnsi="Arial" w:cs="Arial"/>
                <w:sz w:val="18"/>
                <w:szCs w:val="20"/>
              </w:rPr>
            </w:pPr>
          </w:p>
          <w:p w:rsidR="001D53E7" w:rsidRPr="007F0B95" w:rsidRDefault="001D53E7" w:rsidP="00AC1D0B">
            <w:pPr>
              <w:spacing w:after="0"/>
              <w:rPr>
                <w:rFonts w:ascii="Arial" w:eastAsia="Arial" w:hAnsi="Arial" w:cs="Arial"/>
                <w:sz w:val="18"/>
                <w:szCs w:val="20"/>
              </w:rPr>
            </w:pPr>
          </w:p>
          <w:p w:rsidR="001D53E7" w:rsidRPr="007F0B95" w:rsidRDefault="001D53E7" w:rsidP="00AC1D0B">
            <w:pPr>
              <w:spacing w:after="0"/>
              <w:rPr>
                <w:rFonts w:ascii="Arial" w:eastAsia="Arial" w:hAnsi="Arial" w:cs="Arial"/>
                <w:sz w:val="18"/>
                <w:szCs w:val="20"/>
              </w:rPr>
            </w:pPr>
            <w:r w:rsidRPr="007F0B95">
              <w:rPr>
                <w:rFonts w:ascii="Arial" w:eastAsia="Arial" w:hAnsi="Arial" w:cs="Arial"/>
                <w:sz w:val="18"/>
                <w:szCs w:val="20"/>
              </w:rPr>
              <w:t>Dominates usual care</w:t>
            </w:r>
          </w:p>
        </w:tc>
      </w:tr>
    </w:tbl>
    <w:p w:rsidR="001D53E7" w:rsidRPr="00FF2640" w:rsidRDefault="001D53E7" w:rsidP="001D53E7">
      <w:pPr>
        <w:rPr>
          <w:rFonts w:ascii="Arial" w:eastAsia="Arial" w:hAnsi="Arial" w:cs="Arial"/>
          <w:sz w:val="18"/>
          <w:szCs w:val="18"/>
        </w:rPr>
      </w:pPr>
      <w:r w:rsidRPr="00FF2640">
        <w:rPr>
          <w:rFonts w:ascii="Arial" w:eastAsia="Arial" w:hAnsi="Arial" w:cs="Arial"/>
          <w:sz w:val="18"/>
          <w:szCs w:val="18"/>
        </w:rPr>
        <w:t>*</w:t>
      </w:r>
      <w:proofErr w:type="spellStart"/>
      <w:r w:rsidRPr="00FF2640">
        <w:rPr>
          <w:rFonts w:ascii="Arial" w:eastAsia="Arial" w:hAnsi="Arial" w:cs="Arial"/>
          <w:sz w:val="18"/>
          <w:szCs w:val="18"/>
        </w:rPr>
        <w:t>Lubiprostone</w:t>
      </w:r>
      <w:proofErr w:type="spellEnd"/>
      <w:r w:rsidRPr="00FF2640">
        <w:rPr>
          <w:rFonts w:ascii="Arial" w:eastAsia="Arial" w:hAnsi="Arial" w:cs="Arial"/>
          <w:sz w:val="18"/>
          <w:szCs w:val="18"/>
        </w:rPr>
        <w:t xml:space="preserve"> is reported for comparison to usual care but is not intended for comparison against other treatments</w:t>
      </w:r>
      <w:r>
        <w:rPr>
          <w:rFonts w:ascii="Arial" w:eastAsia="Arial" w:hAnsi="Arial" w:cs="Arial"/>
          <w:sz w:val="18"/>
          <w:szCs w:val="18"/>
        </w:rPr>
        <w:t xml:space="preserve"> due to differences in trial design</w:t>
      </w:r>
      <w:r w:rsidRPr="00FF2640">
        <w:rPr>
          <w:rFonts w:ascii="Arial" w:eastAsia="Arial" w:hAnsi="Arial" w:cs="Arial"/>
          <w:sz w:val="18"/>
          <w:szCs w:val="18"/>
        </w:rPr>
        <w:t xml:space="preserve">. </w:t>
      </w:r>
      <w:r>
        <w:rPr>
          <w:rFonts w:ascii="Arial" w:eastAsia="Arial" w:hAnsi="Arial" w:cs="Arial"/>
          <w:sz w:val="18"/>
          <w:szCs w:val="18"/>
        </w:rPr>
        <w:t xml:space="preserve">CIC=chronic idiopathic constipation; QALY=quality-adjusted life year; ICER=incremental cost-effectiveness ratio; FDA=Food and Drug Administration; CSBM=complete spontaneous bowel movement; SBM=spontaneous bowel movement; </w:t>
      </w:r>
      <w:proofErr w:type="spellStart"/>
      <w:r>
        <w:rPr>
          <w:rFonts w:ascii="Arial" w:eastAsia="Arial" w:hAnsi="Arial" w:cs="Arial"/>
          <w:sz w:val="18"/>
          <w:szCs w:val="18"/>
        </w:rPr>
        <w:t>wk</w:t>
      </w:r>
      <w:proofErr w:type="spellEnd"/>
      <w:r>
        <w:rPr>
          <w:rFonts w:ascii="Arial" w:eastAsia="Arial" w:hAnsi="Arial" w:cs="Arial"/>
          <w:sz w:val="18"/>
          <w:szCs w:val="18"/>
        </w:rPr>
        <w:t>=week.</w:t>
      </w:r>
    </w:p>
    <w:p w:rsidR="000A713E" w:rsidRDefault="000A713E"/>
    <w:sectPr w:rsidR="000A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CA"/>
    <w:rsid w:val="000A713E"/>
    <w:rsid w:val="000F0ECA"/>
    <w:rsid w:val="001D53E7"/>
    <w:rsid w:val="0099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F9482-46CE-44D4-9532-85C1D7CA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53E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8563</Words>
  <Characters>48810</Characters>
  <Application>Microsoft Office Word</Application>
  <DocSecurity>0</DocSecurity>
  <Lines>406</Lines>
  <Paragraphs>114</Paragraphs>
  <ScaleCrop>false</ScaleCrop>
  <Company>Dartmouth-Hitchcock</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 Shah</dc:creator>
  <cp:keywords/>
  <dc:description/>
  <cp:lastModifiedBy>Eric D. Shah</cp:lastModifiedBy>
  <cp:revision>3</cp:revision>
  <dcterms:created xsi:type="dcterms:W3CDTF">2021-05-26T19:57:00Z</dcterms:created>
  <dcterms:modified xsi:type="dcterms:W3CDTF">2021-05-26T20:16:00Z</dcterms:modified>
</cp:coreProperties>
</file>