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775E9" w14:textId="0611795D" w:rsidR="00A741A2" w:rsidRDefault="00281591">
      <w:pPr>
        <w:rPr>
          <w:b/>
          <w:bCs/>
        </w:rPr>
      </w:pPr>
      <w:r>
        <w:rPr>
          <w:b/>
          <w:bCs/>
        </w:rPr>
        <w:t>Supplementary Methods</w:t>
      </w:r>
    </w:p>
    <w:p w14:paraId="78D958BD" w14:textId="77777777" w:rsidR="00104173" w:rsidRDefault="00104173" w:rsidP="00104173">
      <w:pPr>
        <w:spacing w:after="0" w:line="480" w:lineRule="auto"/>
        <w:rPr>
          <w:u w:val="single"/>
        </w:rPr>
      </w:pPr>
      <w:r>
        <w:rPr>
          <w:u w:val="single"/>
        </w:rPr>
        <w:t>Publications</w:t>
      </w:r>
    </w:p>
    <w:p w14:paraId="7AAEDDB3" w14:textId="1074C7F5" w:rsidR="00C17866" w:rsidRDefault="00C17866" w:rsidP="00C17866">
      <w:pPr>
        <w:spacing w:after="0" w:line="480" w:lineRule="auto"/>
      </w:pPr>
      <w:r>
        <w:t>Three previously published articles for study</w:t>
      </w:r>
      <w:r>
        <w:rPr>
          <w:i/>
          <w:iCs/>
        </w:rPr>
        <w:t xml:space="preserve"> </w:t>
      </w:r>
      <w:r>
        <w:t>covering different facets of gastroenterology were chosen based on their clinical significance and potential impact on the scientific community and general population. These included:</w:t>
      </w:r>
    </w:p>
    <w:p w14:paraId="217C102B" w14:textId="23C50591" w:rsidR="00C17866" w:rsidRDefault="00C17866" w:rsidP="00C17866">
      <w:pPr>
        <w:spacing w:after="0" w:line="480" w:lineRule="auto"/>
      </w:pPr>
      <w:r>
        <w:t xml:space="preserve">A. </w:t>
      </w:r>
      <w:r w:rsidRPr="00A741A2">
        <w:t xml:space="preserve">Imperiale TF, Ransohoff DF, </w:t>
      </w:r>
      <w:proofErr w:type="spellStart"/>
      <w:r w:rsidRPr="00A741A2">
        <w:t>Itzkowitz</w:t>
      </w:r>
      <w:proofErr w:type="spellEnd"/>
      <w:r w:rsidRPr="00A741A2">
        <w:t xml:space="preserve"> SH, Levin TR, Lavin P, </w:t>
      </w:r>
      <w:proofErr w:type="spellStart"/>
      <w:r w:rsidRPr="00A741A2">
        <w:t>Lidgard</w:t>
      </w:r>
      <w:proofErr w:type="spellEnd"/>
      <w:r w:rsidRPr="00A741A2">
        <w:t xml:space="preserve"> GP, Ahlquist DA, Berger BM. Multitarget stool DNA testing for colorectal-cancer screening. </w:t>
      </w:r>
      <w:r w:rsidRPr="00AA70FD">
        <w:rPr>
          <w:i/>
          <w:iCs/>
        </w:rPr>
        <w:t xml:space="preserve">N </w:t>
      </w:r>
      <w:proofErr w:type="spellStart"/>
      <w:r w:rsidRPr="00AA70FD">
        <w:rPr>
          <w:i/>
          <w:iCs/>
        </w:rPr>
        <w:t>Engl</w:t>
      </w:r>
      <w:proofErr w:type="spellEnd"/>
      <w:r w:rsidRPr="00AA70FD">
        <w:rPr>
          <w:i/>
          <w:iCs/>
        </w:rPr>
        <w:t xml:space="preserve"> J Med</w:t>
      </w:r>
      <w:r w:rsidRPr="00A741A2">
        <w:t xml:space="preserve">. 2014 Apr 3;370(14):1287-97. </w:t>
      </w:r>
      <w:proofErr w:type="spellStart"/>
      <w:r w:rsidRPr="00A741A2">
        <w:t>doi</w:t>
      </w:r>
      <w:proofErr w:type="spellEnd"/>
      <w:r w:rsidRPr="00A741A2">
        <w:t>: 10.1056/NEJMoa1311194. Epub 2014 Mar 19. PMID: 24645800.</w:t>
      </w:r>
      <w:r>
        <w:t xml:space="preserve"> Online publication date: March 19, 2014.</w:t>
      </w:r>
      <w:r>
        <w:fldChar w:fldCharType="begin" w:fldLock="1"/>
      </w:r>
      <w:r w:rsidR="00361C87">
        <w:instrText>ADDIN CSL_CITATION {"citationItems":[{"id":"ITEM-1","itemData":{"DOI":"10.1056/NEJMoa1311194","ISSN":"0028-4793","abstract":"BACKGROUND: An accurate, noninvasive test could improve the effectiveness of colorectal-cancer screening. METHODS: We compared a noninvasive, multitarget stool DNA test with a fecal immunochemical test (FIT) in persons at average risk for colorectal cancer. The DNA test includes quantitative molecular assays for KRAS mutations, aberrant NDRG4 and BMP3 methylation, and β-actin, plus a hemoglobin immunoassay. Results were generated with the use of a logistic-regression algorithm, with values of 183 or more considered to be positive. FIT values of more than 100 ng of hemoglobin per milliliter of buffer were considered to be positive. Tests were processed independently of colonoscopic findings. RESULTS: Of the 9989 participants who could be evaluated, 65 (0.7%) had colorectal cancer and 757 (7.6%) had advanced precancerous lesions (advanced adenomas or sessile serrated polyps measuring ≥1 cm in the greatest dimension) on colonoscopy. The sensitivity for detecting colorectal cancer was 92.3% with DNA testing and 73.8% with FIT (P = 0.002). The sensitivity for detecting advanced precancerous lesions was 42.4% with DNA testing and 23.8% with FIT (P&lt;0.001). The rate of detection of polyps with high-grade dysplasia was 69.2% with DNA testing and 46.2% with FIT (P = 0.004); the rates of detection of serrated sessile polyps measuring 1 cm or more were 42.4% and 5.1%, respectively (P&lt;0.001). Specificities with DNA testing and FIT were 86.6% and 94.9%, respectively, among participants with nonadvanced or negative findings (P&lt;0.001) and 89.8% and 96.4%, respectively, among those with negative results on colonoscopy (P&lt;0.001). The numbers of persons who would need to be screened to detect one cancer were 154 with colonoscopy, 166 with DNA testing, and 208 with FIT. CONCLUSIONS: In asymptomatic persons at average risk for colorectal cancer, multitarget stool DNA testing detected significantly more cancers than did FIT but had more false positive results. Copyright © 2014 Massachusetts Medical Society.","author":[{"dropping-particle":"","family":"Imperiale","given":"Thomas F.","non-dropping-particle":"","parse-names":false,"suffix":""},{"dropping-particle":"","family":"Ransohoff","given":"David F.","non-dropping-particle":"","parse-names":false,"suffix":""},{"dropping-particle":"","family":"Itzkowitz","given":"Steven H.","non-dropping-particle":"","parse-names":false,"suffix":""},{"dropping-particle":"","family":"Levin","given":"Theodore R.","non-dropping-particle":"","parse-names":false,"suffix":""},{"dropping-particle":"","family":"Lavin","given":"Philip","non-dropping-particle":"","parse-names":false,"suffix":""},{"dropping-particle":"","family":"Lidgard","given":"Graham P.","non-dropping-particle":"","parse-names":false,"suffix":""},{"dropping-particle":"","family":"Ahlquist","given":"David A.","non-dropping-particle":"","parse-names":false,"suffix":""},{"dropping-particle":"","family":"Berger","given":"Barry M.","non-dropping-particle":"","parse-names":false,"suffix":""}],"container-title":"New England Journal of Medicine","id":"ITEM-1","issue":"14","issued":{"date-parts":[["2014","4","3"]]},"page":"1287-1297","publisher":"New England Journal of Medicine (NEJM/MMS)","title":"Multitarget Stool DNA Testing for Colorectal-Cancer Screening","type":"article-journal","volume":"370"},"uris":["http://www.mendeley.com/documents/?uuid=b6d6950b-7872-3636-a72b-023192c13145"]}],"mendeley":{"formattedCitation":"&lt;sup&gt;1&lt;/sup&gt;","plainTextFormattedCitation":"1","previouslyFormattedCitation":"&lt;sup&gt;1&lt;/sup&gt;"},"properties":{"noteIndex":0},"schema":"https://github.com/citation-style-language/schema/raw/master/csl-citation.json"}</w:instrText>
      </w:r>
      <w:r>
        <w:fldChar w:fldCharType="separate"/>
      </w:r>
      <w:r w:rsidR="00361C87" w:rsidRPr="00361C87">
        <w:rPr>
          <w:noProof/>
          <w:vertAlign w:val="superscript"/>
        </w:rPr>
        <w:t>1</w:t>
      </w:r>
      <w:r>
        <w:fldChar w:fldCharType="end"/>
      </w:r>
      <w:r>
        <w:t xml:space="preserve"> </w:t>
      </w:r>
    </w:p>
    <w:p w14:paraId="2F850A14" w14:textId="23D3233F" w:rsidR="00C17866" w:rsidRDefault="00C17866" w:rsidP="00C17866">
      <w:pPr>
        <w:spacing w:after="0" w:line="480" w:lineRule="auto"/>
      </w:pPr>
      <w:r>
        <w:t xml:space="preserve">B. </w:t>
      </w:r>
      <w:r w:rsidRPr="00A741A2">
        <w:t xml:space="preserve">Pimentel M, </w:t>
      </w:r>
      <w:proofErr w:type="spellStart"/>
      <w:r w:rsidRPr="00A741A2">
        <w:t>Lembo</w:t>
      </w:r>
      <w:proofErr w:type="spellEnd"/>
      <w:r w:rsidRPr="00A741A2">
        <w:t xml:space="preserve"> A, Chey WD, </w:t>
      </w:r>
      <w:proofErr w:type="spellStart"/>
      <w:r w:rsidRPr="00A741A2">
        <w:t>Zakko</w:t>
      </w:r>
      <w:proofErr w:type="spellEnd"/>
      <w:r w:rsidRPr="00A741A2">
        <w:t xml:space="preserve"> S, </w:t>
      </w:r>
      <w:proofErr w:type="spellStart"/>
      <w:r w:rsidRPr="00A741A2">
        <w:t>Ringel</w:t>
      </w:r>
      <w:proofErr w:type="spellEnd"/>
      <w:r w:rsidRPr="00A741A2">
        <w:t xml:space="preserve"> Y, Yu J, </w:t>
      </w:r>
      <w:proofErr w:type="spellStart"/>
      <w:r w:rsidRPr="00A741A2">
        <w:t>Mareya</w:t>
      </w:r>
      <w:proofErr w:type="spellEnd"/>
      <w:r w:rsidRPr="00A741A2">
        <w:t xml:space="preserve"> SM, Shaw AL, </w:t>
      </w:r>
      <w:proofErr w:type="spellStart"/>
      <w:r w:rsidRPr="00A741A2">
        <w:t>Bortey</w:t>
      </w:r>
      <w:proofErr w:type="spellEnd"/>
      <w:r w:rsidRPr="00A741A2">
        <w:t xml:space="preserve"> E, Forbes WP; TARGET Study Group. Rifaximin therapy for patients with irritable bowel syndrome without constipation. </w:t>
      </w:r>
      <w:r w:rsidRPr="00AA70FD">
        <w:rPr>
          <w:i/>
          <w:iCs/>
        </w:rPr>
        <w:t xml:space="preserve">N </w:t>
      </w:r>
      <w:proofErr w:type="spellStart"/>
      <w:r w:rsidRPr="00AA70FD">
        <w:rPr>
          <w:i/>
          <w:iCs/>
        </w:rPr>
        <w:t>Engl</w:t>
      </w:r>
      <w:proofErr w:type="spellEnd"/>
      <w:r w:rsidRPr="00AA70FD">
        <w:rPr>
          <w:i/>
          <w:iCs/>
        </w:rPr>
        <w:t xml:space="preserve"> J Med</w:t>
      </w:r>
      <w:r w:rsidRPr="00A741A2">
        <w:t xml:space="preserve">. 2011 Jan 6;364(1):22-32. </w:t>
      </w:r>
      <w:proofErr w:type="spellStart"/>
      <w:r w:rsidRPr="00A741A2">
        <w:t>doi</w:t>
      </w:r>
      <w:proofErr w:type="spellEnd"/>
      <w:r w:rsidRPr="00A741A2">
        <w:t>: 10.1056/NEJMoa1004409. PMID: 21208106.</w:t>
      </w:r>
      <w:r>
        <w:t xml:space="preserve"> Online publication date: January 6, 2011.</w:t>
      </w:r>
      <w:r>
        <w:fldChar w:fldCharType="begin" w:fldLock="1"/>
      </w:r>
      <w:r w:rsidR="00361C87">
        <w:instrText>ADDIN CSL_CITATION {"citationItems":[{"id":"ITEM-1","itemData":{"DOI":"10.1056/NEJMoa1004409","ISSN":"0028-4793","abstract":"Evidence suggests that gut flora may play an important role in the pathophysiology of the irritable bowel syndrome (IBS). We evaluated rifaximin, a minimally absorbed antibiotic, as treatment for IBS.","author":[{"dropping-particle":"","family":"Pimentel","given":"Mark","non-dropping-particle":"","parse-names":false,"suffix":""},{"dropping-particle":"","family":"Lembo","given":"Anthony","non-dropping-particle":"","parse-names":false,"suffix":""},{"dropping-particle":"","family":"Chey","given":"William D.","non-dropping-particle":"","parse-names":false,"suffix":""},{"dropping-particle":"","family":"Zakko","given":"Salam","non-dropping-particle":"","parse-names":false,"suffix":""},{"dropping-particle":"","family":"Ringel","given":"Yehuda","non-dropping-particle":"","parse-names":false,"suffix":""},{"dropping-particle":"","family":"Yu","given":"Jing","non-dropping-particle":"","parse-names":false,"suffix":""},{"dropping-particle":"","family":"Mareya","given":"Shadreck M.","non-dropping-particle":"","parse-names":false,"suffix":""},{"dropping-particle":"","family":"Shaw","given":"Audrey L.","non-dropping-particle":"","parse-names":false,"suffix":""},{"dropping-particle":"","family":"Bortey","given":"Enoch","non-dropping-particle":"","parse-names":false,"suffix":""},{"dropping-particle":"","family":"Forbes","given":"William P.","non-dropping-particle":"","parse-names":false,"suffix":""}],"container-title":"New England Journal of Medicine","id":"ITEM-1","issue":"1","issued":{"date-parts":[["2011","1","6"]]},"page":"22-32","publisher":"Massachusetts Medical Society","title":"Rifaximin Therapy for Patients with Irritable Bowel Syndrome without Constipation","type":"article-journal","volume":"364"},"uris":["http://www.mendeley.com/documents/?uuid=264d8b4f-8ea9-3f35-93d2-5b3cad0d3aed"]}],"mendeley":{"formattedCitation":"&lt;sup&gt;2&lt;/sup&gt;","plainTextFormattedCitation":"2","previouslyFormattedCitation":"&lt;sup&gt;2&lt;/sup&gt;"},"properties":{"noteIndex":0},"schema":"https://github.com/citation-style-language/schema/raw/master/csl-citation.json"}</w:instrText>
      </w:r>
      <w:r>
        <w:fldChar w:fldCharType="separate"/>
      </w:r>
      <w:r w:rsidR="00361C87" w:rsidRPr="00361C87">
        <w:rPr>
          <w:noProof/>
          <w:vertAlign w:val="superscript"/>
        </w:rPr>
        <w:t>2</w:t>
      </w:r>
      <w:r>
        <w:fldChar w:fldCharType="end"/>
      </w:r>
      <w:r>
        <w:t xml:space="preserve"> </w:t>
      </w:r>
    </w:p>
    <w:p w14:paraId="1DE06D8C" w14:textId="7B5D7CFC" w:rsidR="00C17866" w:rsidRDefault="00C17866" w:rsidP="00C17866">
      <w:pPr>
        <w:spacing w:after="0" w:line="480" w:lineRule="auto"/>
      </w:pPr>
      <w:r>
        <w:t xml:space="preserve">C. </w:t>
      </w:r>
      <w:r w:rsidRPr="00EC20E8">
        <w:t xml:space="preserve">Gomm W, von Holt K, </w:t>
      </w:r>
      <w:proofErr w:type="spellStart"/>
      <w:r w:rsidRPr="00EC20E8">
        <w:t>Thomé</w:t>
      </w:r>
      <w:proofErr w:type="spellEnd"/>
      <w:r w:rsidRPr="00EC20E8">
        <w:t xml:space="preserve"> F, </w:t>
      </w:r>
      <w:proofErr w:type="spellStart"/>
      <w:r w:rsidRPr="00EC20E8">
        <w:t>Broich</w:t>
      </w:r>
      <w:proofErr w:type="spellEnd"/>
      <w:r w:rsidRPr="00EC20E8">
        <w:t xml:space="preserve"> K, Maier W, Fink A, </w:t>
      </w:r>
      <w:proofErr w:type="spellStart"/>
      <w:r w:rsidRPr="00EC20E8">
        <w:t>Doblhammer</w:t>
      </w:r>
      <w:proofErr w:type="spellEnd"/>
      <w:r w:rsidRPr="00EC20E8">
        <w:t xml:space="preserve"> G, </w:t>
      </w:r>
      <w:proofErr w:type="spellStart"/>
      <w:r w:rsidRPr="00EC20E8">
        <w:t>Haenisch</w:t>
      </w:r>
      <w:proofErr w:type="spellEnd"/>
      <w:r w:rsidRPr="00EC20E8">
        <w:t xml:space="preserve"> B. Association of </w:t>
      </w:r>
      <w:r>
        <w:t>p</w:t>
      </w:r>
      <w:r w:rsidRPr="00EC20E8">
        <w:t xml:space="preserve">roton </w:t>
      </w:r>
      <w:r>
        <w:t>p</w:t>
      </w:r>
      <w:r w:rsidRPr="00EC20E8">
        <w:t xml:space="preserve">ump </w:t>
      </w:r>
      <w:r>
        <w:t>i</w:t>
      </w:r>
      <w:r w:rsidRPr="00EC20E8">
        <w:t xml:space="preserve">nhibitors </w:t>
      </w:r>
      <w:r>
        <w:t>w</w:t>
      </w:r>
      <w:r w:rsidRPr="00EC20E8">
        <w:t xml:space="preserve">ith </w:t>
      </w:r>
      <w:r>
        <w:t>r</w:t>
      </w:r>
      <w:r w:rsidRPr="00EC20E8">
        <w:t xml:space="preserve">isk of </w:t>
      </w:r>
      <w:r>
        <w:t>d</w:t>
      </w:r>
      <w:r w:rsidRPr="00EC20E8">
        <w:t xml:space="preserve">ementia: A </w:t>
      </w:r>
      <w:r>
        <w:t>p</w:t>
      </w:r>
      <w:r w:rsidRPr="00EC20E8">
        <w:t xml:space="preserve">harmacoepidemiological </w:t>
      </w:r>
      <w:r>
        <w:t>c</w:t>
      </w:r>
      <w:r w:rsidRPr="00EC20E8">
        <w:t xml:space="preserve">laims </w:t>
      </w:r>
      <w:r>
        <w:t>d</w:t>
      </w:r>
      <w:r w:rsidRPr="00EC20E8">
        <w:t xml:space="preserve">ata </w:t>
      </w:r>
      <w:r>
        <w:t>a</w:t>
      </w:r>
      <w:r w:rsidRPr="00EC20E8">
        <w:t xml:space="preserve">nalysis. </w:t>
      </w:r>
      <w:r w:rsidRPr="00AA70FD">
        <w:rPr>
          <w:i/>
          <w:iCs/>
        </w:rPr>
        <w:t>JAMA Neurol.</w:t>
      </w:r>
      <w:r w:rsidRPr="00EC20E8">
        <w:t xml:space="preserve"> 2016 Apr;73(4):410-6. </w:t>
      </w:r>
      <w:proofErr w:type="spellStart"/>
      <w:r w:rsidRPr="00EC20E8">
        <w:t>doi</w:t>
      </w:r>
      <w:proofErr w:type="spellEnd"/>
      <w:r w:rsidRPr="00EC20E8">
        <w:t>: 10.1001/jamaneurol.2015.4791. PMID: 26882076.</w:t>
      </w:r>
      <w:r>
        <w:t xml:space="preserve"> Online publication date: February 15, 2016.</w:t>
      </w:r>
      <w:r>
        <w:fldChar w:fldCharType="begin" w:fldLock="1"/>
      </w:r>
      <w:r w:rsidR="00361C87">
        <w:instrText>ADDIN CSL_CITATION {"citationItems":[{"id":"ITEM-1","itemData":{"DOI":"10.1001/jamaneurol.2015.4791","ISSN":"21686149","PMID":"26882076","abstract":"IMPORTANCE: Medications that influence the risk of dementia in the elderly can be relevant for dementia prevention. Proton pump inhibitors (PPIs) are widely used for the treatment of gastrointestinal diseases but have also been shown to be potentially involved in cognitive decline. OBJECTIVE: To examine the association between the use of PPIs and the risk of incident dementia in the elderly. DESIGN, SETTING, AND PARTICIPANTS: We conducted a prospective cohort study using observational data from 2004 to 2011, derived from the largest German statutory health insurer, Allgemeine Ortskrankenkassen (AOK). Data on inpatient and outpatient diagnoses (coded by the German modification of the International Statistical Classification of Diseases and Related Health Problems, Tenth Revision) and drug prescriptions (categorized according to the Anatomical Therapeutic Chemical Classification System) were available on a quarterly basis. Data analysis was performed from August to November 2015. EXPOSURES: Prescription of omeprazole, pantoprazole, lansoprazole, esomeprazole, or rabeprazole. MAIN OUTCOMES AND MEASURES: The main outcome was a diagnosis of incident dementia coded by the German modification of the International Statistical Classification of Diseases and Related Health Problems, Tenth Revision. The association between PPI use and dementia was analyzed using time-dependent Cox regression. The model was adjusted for potential confounding factors, including age, sex, comorbidities, and polypharmacy. RESULTS: A total of 73 679 participants 75 years of age or older and free of dementia at baseline were analyzed. The patients receiving regular PPI medication (n = 2950; mean [SD] age, 83.8 [5.4] years; 77.9% female) had a significantly increased risk of incident dementia compared with the patients not receiving PPI medication (n = 70 729; mean [SD] age, 83.0 [5.6] years; 73.6% female) (hazard ratio, 1.44 [95% CI, 1.36-1.52]; P &lt;.001). CONCLUSIONS AND RELEVANCE: The avoidance of PPI medication may prevent the development of dementia. This finding is supported by recent pharmacoepidemiological analyses on primary data and is in line with mouse models in which the use of PPIs increased the levels of ß-amyloid in the brains of mice. Randomized, prospective clinical trials are needed to examine this connection in more detail.","author":[{"dropping-particle":"","family":"Gomm","given":"Willy","non-dropping-particle":"","parse-names":false,"suffix":""},{"dropping-particle":"","family":"Holt","given":"Klaus","non-dropping-particle":"Von","parse-names":false,"suffix":""},{"dropping-particle":"","family":"Thomé","given":"Friederike","non-dropping-particle":"","parse-names":false,"suffix":""},{"dropping-particle":"","family":"Broich","given":"Karl","non-dropping-particle":"","parse-names":false,"suffix":""},{"dropping-particle":"","family":"Maier","given":"Wolfgang","non-dropping-particle":"","parse-names":false,"suffix":""},{"dropping-particle":"","family":"Fink","given":"Anne","non-dropping-particle":"","parse-names":false,"suffix":""},{"dropping-particle":"","family":"Doblhammer","given":"Gabriele","non-dropping-particle":"","parse-names":false,"suffix":""},{"dropping-particle":"","family":"Haenisch","given":"Britta","non-dropping-particle":"","parse-names":false,"suffix":""}],"container-title":"JAMA Neurology","id":"ITEM-1","issue":"4","issued":{"date-parts":[["2016","4","1"]]},"page":"410-416","publisher":"American Medical Association","title":"Association of proton pump inhibitors with risk of dementia: A pharmacoepidemiological claims data analysis","type":"article-journal","volume":"73"},"uris":["http://www.mendeley.com/documents/?uuid=157d21eb-35e5-3d8f-a3a4-dbd67665e2ce"]}],"mendeley":{"formattedCitation":"&lt;sup&gt;3&lt;/sup&gt;","plainTextFormattedCitation":"3","previouslyFormattedCitation":"&lt;sup&gt;3&lt;/sup&gt;"},"properties":{"noteIndex":0},"schema":"https://github.com/citation-style-language/schema/raw/master/csl-citation.json"}</w:instrText>
      </w:r>
      <w:r>
        <w:fldChar w:fldCharType="separate"/>
      </w:r>
      <w:r w:rsidR="00361C87" w:rsidRPr="00361C87">
        <w:rPr>
          <w:noProof/>
          <w:vertAlign w:val="superscript"/>
        </w:rPr>
        <w:t>3</w:t>
      </w:r>
      <w:r>
        <w:fldChar w:fldCharType="end"/>
      </w:r>
      <w:r>
        <w:t xml:space="preserve"> </w:t>
      </w:r>
    </w:p>
    <w:p w14:paraId="46A16146" w14:textId="77777777" w:rsidR="00104173" w:rsidRDefault="00104173" w:rsidP="00104173">
      <w:pPr>
        <w:spacing w:after="0" w:line="480" w:lineRule="auto"/>
      </w:pPr>
    </w:p>
    <w:p w14:paraId="405D1100" w14:textId="2B33579C" w:rsidR="00104173" w:rsidRDefault="00104173" w:rsidP="00104173">
      <w:pPr>
        <w:spacing w:after="0" w:line="480" w:lineRule="auto"/>
      </w:pPr>
      <w:r w:rsidRPr="00444141">
        <w:t xml:space="preserve">The total number of </w:t>
      </w:r>
      <w:r>
        <w:t>views</w:t>
      </w:r>
      <w:r w:rsidRPr="00444141">
        <w:t xml:space="preserve"> </w:t>
      </w:r>
      <w:r>
        <w:t xml:space="preserve">following online publication date </w:t>
      </w:r>
      <w:r w:rsidRPr="00444141">
        <w:t>was determined using the metrics of publication page views at 7-days and 30-days post-publication where this was available</w:t>
      </w:r>
      <w:r>
        <w:t xml:space="preserve"> by the journal</w:t>
      </w:r>
      <w:r w:rsidRPr="00444141">
        <w:fldChar w:fldCharType="begin" w:fldLock="1"/>
      </w:r>
      <w:r w:rsidR="00361C87">
        <w:instrText>ADDIN CSL_CITATION {"citationItems":[{"id":"ITEM-1","itemData":{"DOI":"10.1056/NEJMoa1311194","ISSN":"0028-4793","abstract":"BACKGROUND: An accurate, noninvasive test could improve the effectiveness of colorectal-cancer screening. METHODS: We compared a noninvasive, multitarget stool DNA test with a fecal immunochemical test (FIT) in persons at average risk for colorectal cancer. The DNA test includes quantitative molecular assays for KRAS mutations, aberrant NDRG4 and BMP3 methylation, and β-actin, plus a hemoglobin immunoassay. Results were generated with the use of a logistic-regression algorithm, with values of 183 or more considered to be positive. FIT values of more than 100 ng of hemoglobin per milliliter of buffer were considered to be positive. Tests were processed independently of colonoscopic findings. RESULTS: Of the 9989 participants who could be evaluated, 65 (0.7%) had colorectal cancer and 757 (7.6%) had advanced precancerous lesions (advanced adenomas or sessile serrated polyps measuring ≥1 cm in the greatest dimension) on colonoscopy. The sensitivity for detecting colorectal cancer was 92.3% with DNA testing and 73.8% with FIT (P = 0.002). The sensitivity for detecting advanced precancerous lesions was 42.4% with DNA testing and 23.8% with FIT (P&lt;0.001). The rate of detection of polyps with high-grade dysplasia was 69.2% with DNA testing and 46.2% with FIT (P = 0.004); the rates of detection of serrated sessile polyps measuring 1 cm or more were 42.4% and 5.1%, respectively (P&lt;0.001). Specificities with DNA testing and FIT were 86.6% and 94.9%, respectively, among participants with nonadvanced or negative findings (P&lt;0.001) and 89.8% and 96.4%, respectively, among those with negative results on colonoscopy (P&lt;0.001). The numbers of persons who would need to be screened to detect one cancer were 154 with colonoscopy, 166 with DNA testing, and 208 with FIT. CONCLUSIONS: In asymptomatic persons at average risk for colorectal cancer, multitarget stool DNA testing detected significantly more cancers than did FIT but had more false positive results. Copyright © 2014 Massachusetts Medical Society.","author":[{"dropping-particle":"","family":"Imperiale","given":"Thomas F.","non-dropping-particle":"","parse-names":false,"suffix":""},{"dropping-particle":"","family":"Ransohoff","given":"David F.","non-dropping-particle":"","parse-names":false,"suffix":""},{"dropping-particle":"","family":"Itzkowitz","given":"Steven H.","non-dropping-particle":"","parse-names":false,"suffix":""},{"dropping-particle":"","family":"Levin","given":"Theodore R.","non-dropping-particle":"","parse-names":false,"suffix":""},{"dropping-particle":"","family":"Lavin","given":"Philip","non-dropping-particle":"","parse-names":false,"suffix":""},{"dropping-particle":"","family":"Lidgard","given":"Graham P.","non-dropping-particle":"","parse-names":false,"suffix":""},{"dropping-particle":"","family":"Ahlquist","given":"David A.","non-dropping-particle":"","parse-names":false,"suffix":""},{"dropping-particle":"","family":"Berger","given":"Barry M.","non-dropping-particle":"","parse-names":false,"suffix":""}],"container-title":"New England Journal of Medicine","id":"ITEM-1","issue":"14","issued":{"date-parts":[["2014","4","3"]]},"page":"1287-1297","publisher":"New England Journal of Medicine (NEJM/MMS)","title":"Multitarget Stool DNA Testing for Colorectal-Cancer Screening","type":"article-journal","volume":"370"},"uris":["http://www.mendeley.com/documents/?uuid=b6d6950b-7872-3636-a72b-023192c13145"]},{"id":"ITEM-2","itemData":{"DOI":"10.1056/NEJMoa1004409","ISSN":"0028-4793","abstract":"Evidence suggests that gut flora may play an important role in the pathophysiology of the irritable bowel syndrome (IBS). We evaluated rifaximin, a minimally absorbed antibiotic, as treatment for IBS.","author":[{"dropping-particle":"","family":"Pimentel","given":"Mark","non-dropping-particle":"","parse-names":false,"suffix":""},{"dropping-particle":"","family":"Lembo","given":"Anthony","non-dropping-particle":"","parse-names":false,"suffix":""},{"dropping-particle":"","family":"Chey","given":"William D.","non-dropping-particle":"","parse-names":false,"suffix":""},{"dropping-particle":"","family":"Zakko","given":"Salam","non-dropping-particle":"","parse-names":false,"suffix":""},{"dropping-particle":"","family":"Ringel","given":"Yehuda","non-dropping-particle":"","parse-names":false,"suffix":""},{"dropping-particle":"","family":"Yu","given":"Jing","non-dropping-particle":"","parse-names":false,"suffix":""},{"dropping-particle":"","family":"Mareya","given":"Shadreck M.","non-dropping-particle":"","parse-names":false,"suffix":""},{"dropping-particle":"","family":"Shaw","given":"Audrey L.","non-dropping-particle":"","parse-names":false,"suffix":""},{"dropping-particle":"","family":"Bortey","given":"Enoch","non-dropping-particle":"","parse-names":false,"suffix":""},{"dropping-particle":"","family":"Forbes","given":"William P.","non-dropping-particle":"","parse-names":false,"suffix":""}],"container-title":"New England Journal of Medicine","id":"ITEM-2","issue":"1","issued":{"date-parts":[["2011","1","6"]]},"page":"22-32","publisher":"Massachusetts Medical Society","title":"Rifaximin Therapy for Patients with Irritable Bowel Syndrome without Constipation","type":"article-journal","volume":"364"},"uris":["http://www.mendeley.com/documents/?uuid=264d8b4f-8ea9-3f35-93d2-5b3cad0d3aed"]}],"mendeley":{"formattedCitation":"&lt;sup&gt;1,2&lt;/sup&gt;","plainTextFormattedCitation":"1,2","previouslyFormattedCitation":"&lt;sup&gt;1,2&lt;/sup&gt;"},"properties":{"noteIndex":0},"schema":"https://github.com/citation-style-language/schema/raw/master/csl-citation.json"}</w:instrText>
      </w:r>
      <w:r w:rsidRPr="00444141">
        <w:fldChar w:fldCharType="separate"/>
      </w:r>
      <w:r w:rsidR="00361C87" w:rsidRPr="00361C87">
        <w:rPr>
          <w:noProof/>
          <w:vertAlign w:val="superscript"/>
        </w:rPr>
        <w:t>1,2</w:t>
      </w:r>
      <w:r w:rsidRPr="00444141">
        <w:fldChar w:fldCharType="end"/>
      </w:r>
      <w:r w:rsidRPr="00444141">
        <w:t xml:space="preserve"> or monthly page views post-publication.</w:t>
      </w:r>
      <w:r w:rsidRPr="00444141">
        <w:fldChar w:fldCharType="begin" w:fldLock="1"/>
      </w:r>
      <w:r w:rsidR="00361C87">
        <w:instrText>ADDIN CSL_CITATION {"citationItems":[{"id":"ITEM-1","itemData":{"DOI":"10.1001/jamaneurol.2015.4791","ISSN":"21686149","PMID":"26882076","abstract":"IMPORTANCE: Medications that influence the risk of dementia in the elderly can be relevant for dementia prevention. Proton pump inhibitors (PPIs) are widely used for the treatment of gastrointestinal diseases but have also been shown to be potentially involved in cognitive decline. OBJECTIVE: To examine the association between the use of PPIs and the risk of incident dementia in the elderly. DESIGN, SETTING, AND PARTICIPANTS: We conducted a prospective cohort study using observational data from 2004 to 2011, derived from the largest German statutory health insurer, Allgemeine Ortskrankenkassen (AOK). Data on inpatient and outpatient diagnoses (coded by the German modification of the International Statistical Classification of Diseases and Related Health Problems, Tenth Revision) and drug prescriptions (categorized according to the Anatomical Therapeutic Chemical Classification System) were available on a quarterly basis. Data analysis was performed from August to November 2015. EXPOSURES: Prescription of omeprazole, pantoprazole, lansoprazole, esomeprazole, or rabeprazole. MAIN OUTCOMES AND MEASURES: The main outcome was a diagnosis of incident dementia coded by the German modification of the International Statistical Classification of Diseases and Related Health Problems, Tenth Revision. The association between PPI use and dementia was analyzed using time-dependent Cox regression. The model was adjusted for potential confounding factors, including age, sex, comorbidities, and polypharmacy. RESULTS: A total of 73 679 participants 75 years of age or older and free of dementia at baseline were analyzed. The patients receiving regular PPI medication (n = 2950; mean [SD] age, 83.8 [5.4] years; 77.9% female) had a significantly increased risk of incident dementia compared with the patients not receiving PPI medication (n = 70 729; mean [SD] age, 83.0 [5.6] years; 73.6% female) (hazard ratio, 1.44 [95% CI, 1.36-1.52]; P &lt;.001). CONCLUSIONS AND RELEVANCE: The avoidance of PPI medication may prevent the development of dementia. This finding is supported by recent pharmacoepidemiological analyses on primary data and is in line with mouse models in which the use of PPIs increased the levels of ß-amyloid in the brains of mice. Randomized, prospective clinical trials are needed to examine this connection in more detail.","author":[{"dropping-particle":"","family":"Gomm","given":"Willy","non-dropping-particle":"","parse-names":false,"suffix":""},{"dropping-particle":"","family":"Holt","given":"Klaus","non-dropping-particle":"Von","parse-names":false,"suffix":""},{"dropping-particle":"","family":"Thomé","given":"Friederike","non-dropping-particle":"","parse-names":false,"suffix":""},{"dropping-particle":"","family":"Broich","given":"Karl","non-dropping-particle":"","parse-names":false,"suffix":""},{"dropping-particle":"","family":"Maier","given":"Wolfgang","non-dropping-particle":"","parse-names":false,"suffix":""},{"dropping-particle":"","family":"Fink","given":"Anne","non-dropping-particle":"","parse-names":false,"suffix":""},{"dropping-particle":"","family":"Doblhammer","given":"Gabriele","non-dropping-particle":"","parse-names":false,"suffix":""},{"dropping-particle":"","family":"Haenisch","given":"Britta","non-dropping-particle":"","parse-names":false,"suffix":""}],"container-title":"JAMA Neurology","id":"ITEM-1","issue":"4","issued":{"date-parts":[["2016","4","1"]]},"page":"410-416","publisher":"American Medical Association","title":"Association of proton pump inhibitors with risk of dementia: A pharmacoepidemiological claims data analysis","type":"article-journal","volume":"73"},"uris":["http://www.mendeley.com/documents/?uuid=157d21eb-35e5-3d8f-a3a4-dbd67665e2ce"]}],"mendeley":{"formattedCitation":"&lt;sup&gt;3&lt;/sup&gt;","plainTextFormattedCitation":"3","previouslyFormattedCitation":"&lt;sup&gt;3&lt;/sup&gt;"},"properties":{"noteIndex":0},"schema":"https://github.com/citation-style-language/schema/raw/master/csl-citation.json"}</w:instrText>
      </w:r>
      <w:r w:rsidRPr="00444141">
        <w:fldChar w:fldCharType="separate"/>
      </w:r>
      <w:r w:rsidR="00361C87" w:rsidRPr="00361C87">
        <w:rPr>
          <w:noProof/>
          <w:vertAlign w:val="superscript"/>
        </w:rPr>
        <w:t>3</w:t>
      </w:r>
      <w:r w:rsidRPr="00444141">
        <w:fldChar w:fldCharType="end"/>
      </w:r>
      <w:r w:rsidRPr="00444141">
        <w:t xml:space="preserve"> Page view data is collected daily and includes views of the article in the both html and PDF versions. Additionally, we captured the following metrics from the date of publication to the present time (4/25/21): total page views, media coverage, and social media metrics provided by the journals and the number of publication citations reported by Google Scholar. </w:t>
      </w:r>
      <w:r>
        <w:t xml:space="preserve">The </w:t>
      </w:r>
      <w:r w:rsidRPr="00444141">
        <w:lastRenderedPageBreak/>
        <w:t xml:space="preserve">Altmetric data </w:t>
      </w:r>
      <w:r>
        <w:t xml:space="preserve">for the three publications was provided to </w:t>
      </w:r>
      <w:r w:rsidRPr="00444141">
        <w:t>complement traditional citation impact metrics.</w:t>
      </w:r>
      <w:r w:rsidRPr="00444141">
        <w:fldChar w:fldCharType="begin" w:fldLock="1"/>
      </w:r>
      <w:r w:rsidR="00361C87">
        <w:instrText>ADDIN CSL_CITATION {"citationItems":[{"id":"ITEM-1","itemData":{"URL":"https://www.altmetric.com/about-altmetrics/what-are-altmetrics/","accessed":{"date-parts":[["2021","4","25"]]},"author":[{"dropping-particle":"","family":"Altmetric","given":"","non-dropping-particle":"","parse-names":false,"suffix":""}],"id":"ITEM-1","issued":{"date-parts":[["0"]]},"title":"What are altmetrics?","type":"webpage"},"uris":["http://www.mendeley.com/documents/?uuid=d1bdcb01-41bc-3378-b86a-fd3dded7afb7"]}],"mendeley":{"formattedCitation":"&lt;sup&gt;4&lt;/sup&gt;","plainTextFormattedCitation":"4","previouslyFormattedCitation":"&lt;sup&gt;4&lt;/sup&gt;"},"properties":{"noteIndex":0},"schema":"https://github.com/citation-style-language/schema/raw/master/csl-citation.json"}</w:instrText>
      </w:r>
      <w:r w:rsidRPr="00444141">
        <w:fldChar w:fldCharType="separate"/>
      </w:r>
      <w:r w:rsidR="00361C87" w:rsidRPr="00361C87">
        <w:rPr>
          <w:noProof/>
          <w:vertAlign w:val="superscript"/>
        </w:rPr>
        <w:t>4</w:t>
      </w:r>
      <w:r w:rsidRPr="00444141">
        <w:fldChar w:fldCharType="end"/>
      </w:r>
    </w:p>
    <w:p w14:paraId="4EA4F8D4" w14:textId="77777777" w:rsidR="00104173" w:rsidRDefault="00104173" w:rsidP="00104173">
      <w:pPr>
        <w:spacing w:after="0" w:line="480" w:lineRule="auto"/>
        <w:rPr>
          <w:u w:val="single"/>
        </w:rPr>
      </w:pPr>
    </w:p>
    <w:p w14:paraId="1AC9BE52" w14:textId="647098DB" w:rsidR="00104173" w:rsidRPr="00454D32" w:rsidRDefault="00104173" w:rsidP="00104173">
      <w:pPr>
        <w:spacing w:after="0" w:line="480" w:lineRule="auto"/>
        <w:rPr>
          <w:u w:val="single"/>
        </w:rPr>
      </w:pPr>
      <w:r>
        <w:rPr>
          <w:u w:val="single"/>
        </w:rPr>
        <w:t>Google Trends Search</w:t>
      </w:r>
    </w:p>
    <w:p w14:paraId="48970390" w14:textId="6B2D193E" w:rsidR="00104173" w:rsidRDefault="00104173" w:rsidP="00104173">
      <w:pPr>
        <w:spacing w:after="0" w:line="480" w:lineRule="auto"/>
      </w:pPr>
      <w:r>
        <w:t>Google Trends (trends.google.com) was used to access search requests made by individuals on Google Search.</w:t>
      </w:r>
      <w:r>
        <w:fldChar w:fldCharType="begin" w:fldLock="1"/>
      </w:r>
      <w:r w:rsidR="00361C87">
        <w:instrText>ADDIN CSL_CITATION {"citationItems":[{"id":"ITEM-1","itemData":{"URL":"https://support.google.com/trends/answer/4365533?hl=en&amp;ref_topic=6248052","accessed":{"date-parts":[["2021","4","24"]]},"author":[{"dropping-particle":"","family":"Google","given":"","non-dropping-particle":"","parse-names":false,"suffix":""}],"id":"ITEM-1","issued":{"date-parts":[["0"]]},"title":"FAQ about Google Trends data","type":"webpage"},"uris":["http://www.mendeley.com/documents/?uuid=c8e6a664-23ee-3e09-8f73-f65d52a7f3d4"]}],"mendeley":{"formattedCitation":"&lt;sup&gt;5&lt;/sup&gt;","plainTextFormattedCitation":"5","previouslyFormattedCitation":"&lt;sup&gt;5&lt;/sup&gt;"},"properties":{"noteIndex":0},"schema":"https://github.com/citation-style-language/schema/raw/master/csl-citation.json"}</w:instrText>
      </w:r>
      <w:r>
        <w:fldChar w:fldCharType="separate"/>
      </w:r>
      <w:r w:rsidR="00361C87" w:rsidRPr="00361C87">
        <w:rPr>
          <w:noProof/>
          <w:vertAlign w:val="superscript"/>
        </w:rPr>
        <w:t>5</w:t>
      </w:r>
      <w:r>
        <w:fldChar w:fldCharType="end"/>
      </w:r>
      <w:r>
        <w:t xml:space="preserve"> The relevant Google Trends search terms and time period for each variable of interest and publication are summarized in </w:t>
      </w:r>
      <w:r>
        <w:rPr>
          <w:b/>
          <w:bCs/>
        </w:rPr>
        <w:t xml:space="preserve">Supplementary Table 1. </w:t>
      </w:r>
      <w:r>
        <w:t xml:space="preserve"> The Google Trends output, referred to as the relative search volume (RSV), has numbers 0-100 which represents search interest for a term in a particular week relative to the week with the highest numbers of searches for a selected region and time period.</w:t>
      </w:r>
      <w:r>
        <w:fldChar w:fldCharType="begin" w:fldLock="1"/>
      </w:r>
      <w:r w:rsidR="00361C87">
        <w:instrText>ADDIN CSL_CITATION {"citationItems":[{"id":"ITEM-1","itemData":{"URL":"https://support.google.com/trends/answer/4365533?hl=en&amp;ref_topic=6248052","accessed":{"date-parts":[["2021","4","24"]]},"author":[{"dropping-particle":"","family":"Google","given":"","non-dropping-particle":"","parse-names":false,"suffix":""}],"id":"ITEM-1","issued":{"date-parts":[["0"]]},"title":"FAQ about Google Trends data","type":"webpage"},"uris":["http://www.mendeley.com/documents/?uuid=c8e6a664-23ee-3e09-8f73-f65d52a7f3d4"]},{"id":"ITEM-2","itemData":{"DOI":"10.1016/j.cgh.2020.06.058","ISSN":"15427714","PMID":"32629121","abstract":"Google Trends is an online tool that allows measurement of search term popularity on Google, spatially and temporally. While not an epidemiological tool for determining incidence, it can estimate the popularity of a certain disease by search volume over time.1,2 It has previously correlated well with infectious disease incidence and has demonstrated utility in disease forecasting, especially with influenza data.3 We utilized Google Trends to investigate whether search interest in common gastrointestinal (GI) symptoms would correlate with coronavirus disease 2019 (COVID-19) incidence data.","author":[{"dropping-particle":"","family":"Ahmad","given":"Imama","non-dropping-particle":"","parse-names":false,"suffix":""},{"dropping-particle":"","family":"Flanagan","given":"Ryan","non-dropping-particle":"","parse-names":false,"suffix":""},{"dropping-particle":"","family":"Staller","given":"Kyle","non-dropping-particle":"","parse-names":false,"suffix":""}],"container-title":"Clinical Gastroenterology and Hepatology","id":"ITEM-2","issue":"12","issued":{"date-parts":[["2020","11","1"]]},"page":"2833-2834.e3","publisher":"W.B. Saunders","title":"Increased Internet Search Interest for GI Symptoms May Predict COVID-19 Cases in US Hotspots","type":"article","volume":"18"},"uris":["http://www.mendeley.com/documents/?uuid=8e0b395d-7ec8-32a8-be52-73bbd28c95f2"]}],"mendeley":{"formattedCitation":"&lt;sup&gt;5,6&lt;/sup&gt;","plainTextFormattedCitation":"5,6","previouslyFormattedCitation":"&lt;sup&gt;5,6&lt;/sup&gt;"},"properties":{"noteIndex":0},"schema":"https://github.com/citation-style-language/schema/raw/master/csl-citation.json"}</w:instrText>
      </w:r>
      <w:r>
        <w:fldChar w:fldCharType="separate"/>
      </w:r>
      <w:r w:rsidR="00361C87" w:rsidRPr="00361C87">
        <w:rPr>
          <w:noProof/>
          <w:vertAlign w:val="superscript"/>
        </w:rPr>
        <w:t>5,6</w:t>
      </w:r>
      <w:r>
        <w:fldChar w:fldCharType="end"/>
      </w:r>
      <w:r>
        <w:t xml:space="preserve"> A value of 100 indicates peak popularity for the term and 0 means insufficient data.  The Google Trends search for each search term was limited to United States. For each article, the terms were searched 12 months before and after the online publication date. The weekly search data for each search term was extracted for the 24-month study period and downloaded for additional analyses. The Google Trends search of the various search terms was performed on March 11, 2021. The variables of interest for each article are summarized in </w:t>
      </w:r>
      <w:r w:rsidRPr="00DF4BA1">
        <w:rPr>
          <w:b/>
          <w:bCs/>
        </w:rPr>
        <w:t>Supplementary Table 1</w:t>
      </w:r>
      <w:r>
        <w:rPr>
          <w:b/>
          <w:bCs/>
        </w:rPr>
        <w:t xml:space="preserve"> </w:t>
      </w:r>
      <w:r>
        <w:t>and included diagnoses, medications, tests, and procedures</w:t>
      </w:r>
      <w:r w:rsidRPr="00AA70FD">
        <w:t xml:space="preserve"> </w:t>
      </w:r>
      <w:r>
        <w:t xml:space="preserve">relevant to these publications. </w:t>
      </w:r>
    </w:p>
    <w:p w14:paraId="2C3EA13D" w14:textId="77777777" w:rsidR="00C17866" w:rsidRDefault="00C17866" w:rsidP="00281591"/>
    <w:p w14:paraId="4FD9141F" w14:textId="50CBA484" w:rsidR="00C172EA" w:rsidRPr="00444141" w:rsidRDefault="00C172EA" w:rsidP="00C172EA">
      <w:pPr>
        <w:spacing w:after="0" w:line="480" w:lineRule="auto"/>
        <w:rPr>
          <w:u w:val="single"/>
        </w:rPr>
      </w:pPr>
      <w:r w:rsidRPr="00444141">
        <w:rPr>
          <w:u w:val="single"/>
        </w:rPr>
        <w:t xml:space="preserve">Target Population: </w:t>
      </w:r>
      <w:r w:rsidRPr="00E37DE9">
        <w:rPr>
          <w:u w:val="single"/>
        </w:rPr>
        <w:t>Rochester Epidemiology Project</w:t>
      </w:r>
    </w:p>
    <w:p w14:paraId="55E5BB75" w14:textId="46B7D969" w:rsidR="00C172EA" w:rsidRDefault="00C172EA" w:rsidP="00C172EA">
      <w:pPr>
        <w:spacing w:after="0" w:line="480" w:lineRule="auto"/>
      </w:pPr>
      <w:bookmarkStart w:id="0" w:name="_Hlk75465207"/>
      <w:r>
        <w:t>The REP is a collaboration of clinics, hospitals, and medical facilities in Minnesota and Wisconsin that share their medical records for research</w:t>
      </w:r>
      <w:r>
        <w:fldChar w:fldCharType="begin" w:fldLock="1"/>
      </w:r>
      <w:r w:rsidR="00361C87">
        <w:instrText>ADDIN CSL_CITATION {"citationItems":[{"id":"ITEM-1","itemData":{"DOI":"10.1093/ije/dys195","ISSN":"0300-5771","abstract":"The Rochester Epidemiology Project (REP) medical records-linkage system was established in 1966 to capture health care information for the entire population of Olmsted County, MN, USA. The REP includes a dynamic cohort of 502 820 unique individuals who resided in Olmsted County at some point between 1966 and 2010, and received health care for any reason at a health care provider within the system. The data available electronically (electronic REP indexes) include demographic characteristics, medical diagnostic codes, surgical procedure codes and death information (including causes of death). In addition, for each resident, the system keeps a complete list of all paper records, electronic records and scanned documents that are available in full text for in-depth review and abstraction. The REP serves as the research infrastructure for studies of virtually all diseases that come to medical attention, and has supported over 2000 peer-reviewed publications since 1966. The system covers residents of all ages and both sexes, regardless of socio-economic status, ethnicity or insurance status. For further information regarding the use of the REP for a specific study, please visit our website at. www.rochesterproject.org or contact us at. info@rochesterproject.org. Our website also provides access to an introductory video in English and Spanish. © The Author 2012; all rights reserved.","author":[{"dropping-particle":"","family":"St Sauver","given":"J. L.","non-dropping-particle":"","parse-names":false,"suffix":""},{"dropping-particle":"","family":"Grossardt","given":"B. R.","non-dropping-particle":"","parse-names":false,"suffix":""},{"dropping-particle":"","family":"Yawn","given":"B. P.","non-dropping-particle":"","parse-names":false,"suffix":""},{"dropping-particle":"","family":"Melton","given":"L. J.","non-dropping-particle":"","parse-names":false,"suffix":""},{"dropping-particle":"","family":"Pankratz","given":"J. J.","non-dropping-particle":"","parse-names":false,"suffix":""},{"dropping-particle":"","family":"Brue","given":"S. M.","non-dropping-particle":"","parse-names":false,"suffix":""},{"dropping-particle":"","family":"Rocca","given":"W. A.","non-dropping-particle":"","parse-names":false,"suffix":""}],"container-title":"International Journal of Epidemiology","id":"ITEM-1","issue":"6","issued":{"date-parts":[["2012","12","1"]]},"page":"1614-1624","publisher":"Oxford Academic","title":"Data Resource Profile: The Rochester Epidemiology Project (REP) medical records-linkage system","type":"article-journal","volume":"41"},"uris":["http://www.mendeley.com/documents/?uuid=578c3258-87bc-322a-9029-a84d899463bf"]},{"id":"ITEM-2","itemData":{"DOI":"10.1093/ije/dyx268","ISSN":"0300-5771","abstract":"Data resource basics History In a series of methodological papers, we have described the Rochester Epidemiology Project (REP) medical records-linkage system as it has existed for more than 50 years in Olmsted County, Minnesota. 1-4 Further details about the major events and protagonists of the history of the original REP are available elsewhere. 1 Starting in 2010, we have expanded the population captured by the REP from a single county in southeastern Minnesota to a geographical region including 27 counties in southern Minnesota and western Wisconsin. In this paper, we provide a profile of the expanded medical records-linkage system, which we name the Expanded-REP (E-REP) to distinguish it from the original REP. Because the data became available for electronic linkage and storage starting in 2010, we can consider 2010 the birth year for the E-REP. General description The E-REP was established to provide longitudinal medical data for a population residing in a well-defined geographical region. The E-REP captures a large percentage of the persons who have resided in a 27-county region of southern Minnesota and western Wisconsin at some time from 1 January 2010 to the present, regardless of age, sex, ethnicity and disease status. Depending on the needs for a specific study, the region can also be partitioned into smaller segments. For example, some studies have targeted a seven-county region or an 11-county region because these regions have a higher percentage of population capture; therefore, the non-participation percentage is lower. 5-7 The electronic indexes of the E-REP include not only demographic information , diagnostic and procedure codes, health services utilization data and outpatient drug prescriptions, but also results of laboratory tests and information about smoking, height, weight and body mass index. Table 1 shows a list of data that are currently included in the electronic indexes and their definitions. Methods for linkage across institutions The E-REP includes medical record data from multiple health care institutions, and these institutions currently use","author":[{"dropping-particle":"","family":"Rocca","given":"Walter A","non-dropping-particle":"","parse-names":false,"suffix":""},{"dropping-particle":"","family":"Grossardt","given":"Brandon R","non-dropping-particle":"","parse-names":false,"suffix":""},{"dropping-particle":"","family":"Brue","given":"Scott M","non-dropping-particle":"","parse-names":false,"suffix":""},{"dropping-particle":"","family":"Bock-Goodner","given":"Cynthia M","non-dropping-particle":"","parse-names":false,"suffix":""},{"dropping-particle":"","family":"Chamberlain","given":"Alanna M","non-dropping-particle":"","parse-names":false,"suffix":""},{"dropping-particle":"","family":"Wilson","given":"Patrick M","non-dropping-particle":"","parse-names":false,"suffix":""},{"dropping-particle":"","family":"Finney Rutten","given":"Lila J","non-dropping-particle":"","parse-names":false,"suffix":""},{"dropping-particle":"","family":"St Sauver","given":"Jennifer L","non-dropping-particle":"","parse-names":false,"suffix":""}],"container-title":"International Journal of Epidemiology","id":"ITEM-2","issue":"2","issued":{"date-parts":[["2018","4","1"]]},"page":"368-368j","publisher":"Oxford University Press","title":"Data Resource Profile: Expansion of the Rochester Epidemiology Project medical records-linkage system (E-REP)","type":"article-journal","volume":"47"},"uris":["http://www.mendeley.com/documents/?uuid=85b19286-7391-33fe-967d-eeec2020588b"]}],"mendeley":{"formattedCitation":"&lt;sup&gt;7,8&lt;/sup&gt;","plainTextFormattedCitation":"7,8","previouslyFormattedCitation":"&lt;sup&gt;7,8&lt;/sup&gt;"},"properties":{"noteIndex":0},"schema":"https://github.com/citation-style-language/schema/raw/master/csl-citation.json"}</w:instrText>
      </w:r>
      <w:r>
        <w:fldChar w:fldCharType="separate"/>
      </w:r>
      <w:r w:rsidR="00361C87" w:rsidRPr="00361C87">
        <w:rPr>
          <w:noProof/>
          <w:vertAlign w:val="superscript"/>
        </w:rPr>
        <w:t>7,8</w:t>
      </w:r>
      <w:r>
        <w:fldChar w:fldCharType="end"/>
      </w:r>
      <w:r>
        <w:t xml:space="preserve"> including a linked database of medical information for all residents of Olmsted County, Minnesota (Mayo Clinic, Olmsted Medical Center, and Rochester Family Medicine Clinic).</w:t>
      </w:r>
      <w:r>
        <w:fldChar w:fldCharType="begin" w:fldLock="1"/>
      </w:r>
      <w:r w:rsidR="00361C87">
        <w:instrText>ADDIN CSL_CITATION {"citationItems":[{"id":"ITEM-1","itemData":{"DOI":"10.1093/ije/dys195","ISSN":"0300-5771","abstract":"The Rochester Epidemiology Project (REP) medical records-linkage system was established in 1966 to capture health care information for the entire population of Olmsted County, MN, USA. The REP includes a dynamic cohort of 502 820 unique individuals who resided in Olmsted County at some point between 1966 and 2010, and received health care for any reason at a health care provider within the system. The data available electronically (electronic REP indexes) include demographic characteristics, medical diagnostic codes, surgical procedure codes and death information (including causes of death). In addition, for each resident, the system keeps a complete list of all paper records, electronic records and scanned documents that are available in full text for in-depth review and abstraction. The REP serves as the research infrastructure for studies of virtually all diseases that come to medical attention, and has supported over 2000 peer-reviewed publications since 1966. The system covers residents of all ages and both sexes, regardless of socio-economic status, ethnicity or insurance status. For further information regarding the use of the REP for a specific study, please visit our website at. www.rochesterproject.org or contact us at. info@rochesterproject.org. Our website also provides access to an introductory video in English and Spanish. © The Author 2012; all rights reserved.","author":[{"dropping-particle":"","family":"St Sauver","given":"J. L.","non-dropping-particle":"","parse-names":false,"suffix":""},{"dropping-particle":"","family":"Grossardt","given":"B. R.","non-dropping-particle":"","parse-names":false,"suffix":""},{"dropping-particle":"","family":"Yawn","given":"B. P.","non-dropping-particle":"","parse-names":false,"suffix":""},{"dropping-particle":"","family":"Melton","given":"L. J.","non-dropping-particle":"","parse-names":false,"suffix":""},{"dropping-particle":"","family":"Pankratz","given":"J. J.","non-dropping-particle":"","parse-names":false,"suffix":""},{"dropping-particle":"","family":"Brue","given":"S. M.","non-dropping-particle":"","parse-names":false,"suffix":""},{"dropping-particle":"","family":"Rocca","given":"W. A.","non-dropping-particle":"","parse-names":false,"suffix":""}],"container-title":"International Journal of Epidemiology","id":"ITEM-1","issue":"6","issued":{"date-parts":[["2012","12","1"]]},"page":"1614-1624","publisher":"Oxford Academic","title":"Data Resource Profile: The Rochester Epidemiology Project (REP) medical records-linkage system","type":"article-journal","volume":"41"},"uris":["http://www.mendeley.com/documents/?uuid=578c3258-87bc-322a-9029-a84d899463bf"]}],"mendeley":{"formattedCitation":"&lt;sup&gt;7&lt;/sup&gt;","plainTextFormattedCitation":"7","previouslyFormattedCitation":"&lt;sup&gt;7&lt;/sup&gt;"},"properties":{"noteIndex":0},"schema":"https://github.com/citation-style-language/schema/raw/master/csl-citation.json"}</w:instrText>
      </w:r>
      <w:r>
        <w:fldChar w:fldCharType="separate"/>
      </w:r>
      <w:r w:rsidR="00361C87" w:rsidRPr="00361C87">
        <w:rPr>
          <w:noProof/>
          <w:vertAlign w:val="superscript"/>
        </w:rPr>
        <w:t>7</w:t>
      </w:r>
      <w:r>
        <w:fldChar w:fldCharType="end"/>
      </w:r>
      <w:bookmarkEnd w:id="0"/>
      <w:r>
        <w:t xml:space="preserve"> The REP contains data on patient demographics, medical diagnostic codes, and surgical procedures and includes all paper and electronic records for each resident in the county.</w:t>
      </w:r>
      <w:r>
        <w:fldChar w:fldCharType="begin" w:fldLock="1"/>
      </w:r>
      <w:r w:rsidR="00361C87">
        <w:instrText>ADDIN CSL_CITATION {"citationItems":[{"id":"ITEM-1","itemData":{"DOI":"10.1093/ije/dys195","ISSN":"0300-5771","abstract":"The Rochester Epidemiology Project (REP) medical records-linkage system was established in 1966 to capture health care information for the entire population of Olmsted County, MN, USA. The REP includes a dynamic cohort of 502 820 unique individuals who resided in Olmsted County at some point between 1966 and 2010, and received health care for any reason at a health care provider within the system. The data available electronically (electronic REP indexes) include demographic characteristics, medical diagnostic codes, surgical procedure codes and death information (including causes of death). In addition, for each resident, the system keeps a complete list of all paper records, electronic records and scanned documents that are available in full text for in-depth review and abstraction. The REP serves as the research infrastructure for studies of virtually all diseases that come to medical attention, and has supported over 2000 peer-reviewed publications since 1966. The system covers residents of all ages and both sexes, regardless of socio-economic status, ethnicity or insurance status. For further information regarding the use of the REP for a specific study, please visit our website at. www.rochesterproject.org or contact us at. info@rochesterproject.org. Our website also provides access to an introductory video in English and Spanish. © The Author 2012; all rights reserved.","author":[{"dropping-particle":"","family":"St Sauver","given":"J. L.","non-dropping-particle":"","parse-names":false,"suffix":""},{"dropping-particle":"","family":"Grossardt","given":"B. R.","non-dropping-particle":"","parse-names":false,"suffix":""},{"dropping-particle":"","family":"Yawn","given":"B. P.","non-dropping-particle":"","parse-names":false,"suffix":""},{"dropping-particle":"","family":"Melton","given":"L. J.","non-dropping-particle":"","parse-names":false,"suffix":""},{"dropping-particle":"","family":"Pankratz","given":"J. J.","non-dropping-particle":"","parse-names":false,"suffix":""},{"dropping-particle":"","family":"Brue","given":"S. M.","non-dropping-particle":"","parse-names":false,"suffix":""},{"dropping-particle":"","family":"Rocca","given":"W. A.","non-dropping-particle":"","parse-names":false,"suffix":""}],"container-title":"International Journal of Epidemiology","id":"ITEM-1","issue":"6","issued":{"date-parts":[["2012","12","1"]]},"page":"1614-1624","publisher":"Oxford Academic","title":"Data Resource Profile: The Rochester Epidemiology Project (REP) medical records-linkage system","type":"article-journal","volume":"41"},"uris":["http://www.mendeley.com/documents/?uuid=578c3258-87bc-322a-9029-a84d899463bf"]}],"mendeley":{"formattedCitation":"&lt;sup&gt;7&lt;/sup&gt;","plainTextFormattedCitation":"7","previouslyFormattedCitation":"&lt;sup&gt;7&lt;/sup&gt;"},"properties":{"noteIndex":0},"schema":"https://github.com/citation-style-language/schema/raw/master/csl-citation.json"}</w:instrText>
      </w:r>
      <w:r>
        <w:fldChar w:fldCharType="separate"/>
      </w:r>
      <w:r w:rsidR="00361C87" w:rsidRPr="00361C87">
        <w:rPr>
          <w:noProof/>
          <w:vertAlign w:val="superscript"/>
        </w:rPr>
        <w:t>7</w:t>
      </w:r>
      <w:r>
        <w:fldChar w:fldCharType="end"/>
      </w:r>
      <w:r>
        <w:t xml:space="preserve"> We accessed the REP data for the variables of interest for Olmsted County to gather regional, population-</w:t>
      </w:r>
      <w:r>
        <w:lastRenderedPageBreak/>
        <w:t xml:space="preserve">based data for this community. Consistent with the Google Trends search </w:t>
      </w:r>
      <w:proofErr w:type="gramStart"/>
      <w:r>
        <w:t>time period</w:t>
      </w:r>
      <w:proofErr w:type="gramEnd"/>
      <w:r>
        <w:t xml:space="preserve">, REP data was acquired for a 24-month period, consisting of 12 months before and after the article online publication date. </w:t>
      </w:r>
    </w:p>
    <w:p w14:paraId="0F57A40C" w14:textId="48896574" w:rsidR="00C172EA" w:rsidRDefault="00C172EA" w:rsidP="00C172EA">
      <w:pPr>
        <w:spacing w:after="0" w:line="480" w:lineRule="auto"/>
      </w:pPr>
    </w:p>
    <w:p w14:paraId="62D965E7" w14:textId="4B1D30DF" w:rsidR="00C172EA" w:rsidRPr="00697B53" w:rsidRDefault="00C172EA" w:rsidP="00C172EA">
      <w:pPr>
        <w:spacing w:after="0" w:line="480" w:lineRule="auto"/>
        <w:rPr>
          <w:u w:val="single"/>
        </w:rPr>
      </w:pPr>
      <w:r w:rsidRPr="00697B53">
        <w:rPr>
          <w:u w:val="single"/>
        </w:rPr>
        <w:t>Search Directed Medical Outcomes</w:t>
      </w:r>
      <w:r>
        <w:rPr>
          <w:u w:val="single"/>
        </w:rPr>
        <w:t xml:space="preserve"> in the R</w:t>
      </w:r>
      <w:r w:rsidR="00CB6477">
        <w:rPr>
          <w:u w:val="single"/>
        </w:rPr>
        <w:t>ochester Epidemiology Project</w:t>
      </w:r>
    </w:p>
    <w:p w14:paraId="1E72E4AB" w14:textId="77777777" w:rsidR="00C172EA" w:rsidRDefault="00C172EA" w:rsidP="00BA22BA">
      <w:pPr>
        <w:spacing w:after="0" w:line="480" w:lineRule="auto"/>
      </w:pPr>
      <w:r>
        <w:t>Medical diagnoses/medications/tests/procedures were identified using the appropriate disease and procedural codes</w:t>
      </w:r>
      <w:r w:rsidRPr="00CE6854">
        <w:t>.</w:t>
      </w:r>
      <w:r w:rsidRPr="00BA22BA">
        <w:t xml:space="preserve"> </w:t>
      </w:r>
      <w:r>
        <w:t xml:space="preserve">In the REP, medical diagnoses were identified using the appropriate International Classification of Diseases (ICD) codes (IBS, ICD-9 564.1; diarrhea ICD-9 787.91; GERD ICD-9 530.81 and ICD-10 K21.0, K21.9; dementia ICD-9 290. 290.2, 294.1, 294.11, 294.2, 294.21, 294.8, 294.9, 331, 331.19, 331.2, 331.3, 331.4, 331.5, 331.6, 331.7, 331.82, 331.83, 331.9, and ICD-10 F01.50, F01.51, F02.80, F02.81, F03.90, F03.91, F05, G30.1, G30.9, G31.83). Medications prescriptions (rifaximin, proton pump inhibitors, H2 blockers) were identified using medication prescription codes. Multitarget stool DNA test (Cologuard) was identified using Current Procedural Terminology (CPT) code 81528 and using Mayo specific lab codes. Colonoscopy procedures were identified using a combination of CPT (44388, 44389, 44394, 44402, 45300, 45330, 45331, 45332, 45333, 45334, 45335, 45337, 45338, 45339, 45340, 45341, 45342, 45345, 45347, 45349, 45350, 45378, 45379, 45380, 45381, 45382, 45383, 45384, 45385, 45386, 45387, 45388, 45389, 45390, 45391, 45392, 45393, 45398, G0104,G0105, G0121) and ICD codes (ICD-9 45.22, 45.23, 45.24, 45.25, 45.25/3, 45.42, 45.43; ICD 10 0DJD8ZZ). </w:t>
      </w:r>
    </w:p>
    <w:p w14:paraId="3002346B" w14:textId="77777777" w:rsidR="00C172EA" w:rsidRDefault="00C172EA" w:rsidP="00C172EA">
      <w:pPr>
        <w:spacing w:after="0" w:line="480" w:lineRule="auto"/>
      </w:pPr>
    </w:p>
    <w:p w14:paraId="4927320C" w14:textId="1E61AEB0" w:rsidR="00C172EA" w:rsidRDefault="00C172EA" w:rsidP="00C172EA">
      <w:pPr>
        <w:spacing w:after="0" w:line="480" w:lineRule="auto"/>
      </w:pPr>
      <w:r>
        <w:t xml:space="preserve">Only adult patients (age </w:t>
      </w:r>
      <w:r w:rsidRPr="00557274">
        <w:t>≥</w:t>
      </w:r>
      <w:r>
        <w:t xml:space="preserve">18 years) were included for all variables, apart from colonoscopies where adults </w:t>
      </w:r>
      <w:r w:rsidRPr="00557274">
        <w:t>≥</w:t>
      </w:r>
      <w:r>
        <w:t xml:space="preserve">50 years of age were included to best capture patients undergoing colon cancer screening. For medication prescriptions, each patient that filled a prescription for a particular medication was counted once in the year preceding and once in the year following the article online publication date, </w:t>
      </w:r>
      <w:r>
        <w:lastRenderedPageBreak/>
        <w:t>respectively, regardless of whether they filled one prescription or more during this time. This was done to avoid overrepresenting certain patients that filled their prescriptions monthly rather than yearly.</w:t>
      </w:r>
    </w:p>
    <w:p w14:paraId="247758DA" w14:textId="11985E8B" w:rsidR="00222B82" w:rsidRDefault="00222B82" w:rsidP="00C172EA">
      <w:pPr>
        <w:spacing w:after="0" w:line="480" w:lineRule="auto"/>
      </w:pPr>
    </w:p>
    <w:p w14:paraId="1D6FA894" w14:textId="2C939D1B" w:rsidR="00222B82" w:rsidRDefault="00222B82" w:rsidP="00C172EA">
      <w:pPr>
        <w:spacing w:after="0" w:line="480" w:lineRule="auto"/>
      </w:pPr>
      <w:bookmarkStart w:id="1" w:name="_Hlk75465222"/>
      <w:r>
        <w:rPr>
          <w:rFonts w:cstheme="minorHAnsi"/>
          <w:bCs/>
        </w:rPr>
        <w:t xml:space="preserve">The REP </w:t>
      </w:r>
      <w:r w:rsidRPr="00CE2DA8">
        <w:rPr>
          <w:rFonts w:cstheme="minorHAnsi"/>
          <w:bCs/>
        </w:rPr>
        <w:t>medical record linkage system</w:t>
      </w:r>
      <w:r>
        <w:rPr>
          <w:rFonts w:cstheme="minorHAnsi"/>
          <w:bCs/>
        </w:rPr>
        <w:t xml:space="preserve">, </w:t>
      </w:r>
      <w:r w:rsidRPr="00CE2DA8">
        <w:rPr>
          <w:rFonts w:cstheme="minorHAnsi"/>
          <w:bCs/>
        </w:rPr>
        <w:t xml:space="preserve">which </w:t>
      </w:r>
      <w:r>
        <w:rPr>
          <w:rFonts w:cstheme="minorHAnsi"/>
          <w:bCs/>
        </w:rPr>
        <w:t>contains</w:t>
      </w:r>
      <w:r w:rsidRPr="00CE2DA8">
        <w:rPr>
          <w:rFonts w:cstheme="minorHAnsi"/>
          <w:bCs/>
        </w:rPr>
        <w:t xml:space="preserve"> the medical records </w:t>
      </w:r>
      <w:r>
        <w:rPr>
          <w:rFonts w:cstheme="minorHAnsi"/>
          <w:bCs/>
        </w:rPr>
        <w:t>for</w:t>
      </w:r>
      <w:r w:rsidRPr="00CE2DA8">
        <w:rPr>
          <w:rFonts w:cstheme="minorHAnsi"/>
          <w:bCs/>
        </w:rPr>
        <w:t xml:space="preserve"> all residents of Olmsted County</w:t>
      </w:r>
      <w:r>
        <w:rPr>
          <w:rFonts w:cstheme="minorHAnsi"/>
          <w:bCs/>
        </w:rPr>
        <w:t>, Minnesota, is a powerful established and robust tool that allowed us to study local, population-based, healthcare utilization trends</w:t>
      </w:r>
      <w:r w:rsidRPr="00CE2DA8">
        <w:rPr>
          <w:rFonts w:cstheme="minorHAnsi"/>
          <w:bCs/>
        </w:rPr>
        <w:t xml:space="preserve">. </w:t>
      </w:r>
      <w:r w:rsidRPr="00CE2DA8">
        <w:rPr>
          <w:rFonts w:eastAsia="Times New Roman" w:cstheme="minorHAnsi"/>
        </w:rPr>
        <w:t>The REP captures virtually all residents of these counties, regardless of age, sex, ethnicity, disease, socioeconomic, or insurance status and has been consistently used to conduct population-based studies.</w:t>
      </w:r>
    </w:p>
    <w:bookmarkEnd w:id="1"/>
    <w:p w14:paraId="4B1B8AF6" w14:textId="77777777" w:rsidR="00C17866" w:rsidRDefault="00C17866" w:rsidP="00281591"/>
    <w:p w14:paraId="795E28D6" w14:textId="05A43DA6" w:rsidR="00C172EA" w:rsidRDefault="00C172EA" w:rsidP="00C172EA">
      <w:pPr>
        <w:spacing w:after="0" w:line="480" w:lineRule="auto"/>
        <w:rPr>
          <w:u w:val="single"/>
        </w:rPr>
      </w:pPr>
      <w:r>
        <w:rPr>
          <w:u w:val="single"/>
        </w:rPr>
        <w:t>Statistical analysis</w:t>
      </w:r>
    </w:p>
    <w:p w14:paraId="2C519766" w14:textId="77777777" w:rsidR="00C172EA" w:rsidRPr="00697B53" w:rsidRDefault="00C172EA" w:rsidP="00C172EA">
      <w:pPr>
        <w:spacing w:after="0" w:line="480" w:lineRule="auto"/>
      </w:pPr>
      <w:r w:rsidRPr="00AA4583">
        <w:t xml:space="preserve">Google </w:t>
      </w:r>
      <w:r>
        <w:t>T</w:t>
      </w:r>
      <w:r w:rsidRPr="00AA4583">
        <w:t>rends data as well as Olmsted County prescriptions</w:t>
      </w:r>
      <w:r>
        <w:t>/</w:t>
      </w:r>
      <w:r w:rsidRPr="00AA4583">
        <w:t>visits</w:t>
      </w:r>
      <w:r>
        <w:t>/tests/</w:t>
      </w:r>
      <w:r w:rsidRPr="00AA4583">
        <w:t>procedures data w</w:t>
      </w:r>
      <w:r w:rsidRPr="00697B53">
        <w:t xml:space="preserve">ere </w:t>
      </w:r>
      <w:r w:rsidRPr="00AA4583">
        <w:t xml:space="preserve">retrieved for the year prior to and the year after the </w:t>
      </w:r>
      <w:r>
        <w:t>high impact</w:t>
      </w:r>
      <w:r w:rsidRPr="00AA4583">
        <w:t xml:space="preserve"> publication date</w:t>
      </w:r>
      <w:r w:rsidRPr="00697B53">
        <w:t>, on a weekly basis</w:t>
      </w:r>
      <w:r w:rsidRPr="00AA4583">
        <w:t xml:space="preserve">. </w:t>
      </w:r>
      <w:r w:rsidRPr="00444141">
        <w:t>The weekly data were fit to a family of linear models to test whether either the mean level or the trend (or both) of either “hits” or prescriptions changed from before to after the publication date.  Specifically, a two segment (pre</w:t>
      </w:r>
      <w:r>
        <w:t>-</w:t>
      </w:r>
      <w:r w:rsidRPr="00697B53">
        <w:t xml:space="preserve"> and post-publication) linear model for Y as a function of week was fitted. </w:t>
      </w:r>
      <w:r w:rsidRPr="00AA4583">
        <w:t xml:space="preserve">The first </w:t>
      </w:r>
      <w:r w:rsidRPr="00697B53">
        <w:t xml:space="preserve">and most comprehensive </w:t>
      </w:r>
      <w:r w:rsidRPr="00AA4583">
        <w:t xml:space="preserve">model </w:t>
      </w:r>
      <w:r>
        <w:t xml:space="preserve">(Model 1, </w:t>
      </w:r>
      <w:r>
        <w:rPr>
          <w:b/>
          <w:bCs/>
        </w:rPr>
        <w:t>Supplementary tables 2-4</w:t>
      </w:r>
      <w:r>
        <w:t xml:space="preserve">) </w:t>
      </w:r>
      <w:r w:rsidRPr="00AA4583">
        <w:t>allowed for an intercept and slope pre-publication as well as a</w:t>
      </w:r>
      <w:r w:rsidRPr="00697B53">
        <w:t xml:space="preserve">n entirely different slope and intercept post-publication. This model allowed for both a vertical shift (change in intercept) at the publication date and a change in slope post-publication. The vertical shift parameter tests for an immediate shift up or down in the data with publication while a change in slope tests for a more gradual </w:t>
      </w:r>
      <w:r>
        <w:t>association over the weeks</w:t>
      </w:r>
      <w:r w:rsidRPr="00697B53">
        <w:t xml:space="preserve"> </w:t>
      </w:r>
      <w:r>
        <w:t>from</w:t>
      </w:r>
      <w:r w:rsidRPr="00697B53">
        <w:t xml:space="preserve"> publication on the </w:t>
      </w:r>
      <w:r>
        <w:t>measurement</w:t>
      </w:r>
      <w:r w:rsidRPr="00697B53">
        <w:t xml:space="preserve"> variable by either an increased or decreased </w:t>
      </w:r>
      <w:r>
        <w:t>trend with time</w:t>
      </w:r>
      <w:r w:rsidRPr="00697B53">
        <w:t>.</w:t>
      </w:r>
      <w:r>
        <w:t xml:space="preserve"> A significant change in the vertical shift parameter was considered an “immediate” change at publication while a significant change in slope was considered a “steady” change.</w:t>
      </w:r>
    </w:p>
    <w:p w14:paraId="5129EF0F" w14:textId="77777777" w:rsidR="00C172EA" w:rsidRDefault="00C172EA" w:rsidP="00C172EA">
      <w:pPr>
        <w:spacing w:after="0" w:line="480" w:lineRule="auto"/>
      </w:pPr>
    </w:p>
    <w:p w14:paraId="50C4E578" w14:textId="77777777" w:rsidR="00C172EA" w:rsidRPr="00697B53" w:rsidRDefault="00C172EA" w:rsidP="00C172EA">
      <w:pPr>
        <w:spacing w:after="0" w:line="480" w:lineRule="auto"/>
      </w:pPr>
      <w:r w:rsidRPr="00697B53">
        <w:lastRenderedPageBreak/>
        <w:t>The overall F-statistic, providing a two degree of freedom test of no shift and no change in slope with publication, was calculated by subtracting the sum of squares of the full (4-parameter) and reduced (2-parameter) models, dividing by 2, and dividing by the mean squared error of the full model.</w:t>
      </w:r>
    </w:p>
    <w:p w14:paraId="2CA41053" w14:textId="77777777" w:rsidR="00C172EA" w:rsidRDefault="00C172EA" w:rsidP="00C172EA">
      <w:pPr>
        <w:spacing w:after="0" w:line="480" w:lineRule="auto"/>
      </w:pPr>
    </w:p>
    <w:p w14:paraId="4F7D2698" w14:textId="5FA1B5C6" w:rsidR="00C172EA" w:rsidRDefault="00C172EA" w:rsidP="00C172EA">
      <w:pPr>
        <w:spacing w:after="0" w:line="480" w:lineRule="auto"/>
      </w:pPr>
      <w:r w:rsidRPr="00697B53">
        <w:t xml:space="preserve">Two additional models were examined, </w:t>
      </w:r>
      <w:r>
        <w:t>one</w:t>
      </w:r>
      <w:r w:rsidRPr="00697B53">
        <w:t xml:space="preserve"> allowing for only a change in the slope post-publication (assuming no vertical shift) </w:t>
      </w:r>
      <w:r>
        <w:t xml:space="preserve">(Model 2, </w:t>
      </w:r>
      <w:r>
        <w:rPr>
          <w:b/>
          <w:bCs/>
        </w:rPr>
        <w:t>Supplementary tables 2-4</w:t>
      </w:r>
      <w:r w:rsidRPr="00697B53">
        <w:t>)</w:t>
      </w:r>
      <w:r>
        <w:rPr>
          <w:b/>
          <w:bCs/>
        </w:rPr>
        <w:t xml:space="preserve"> </w:t>
      </w:r>
      <w:r w:rsidRPr="00697B53">
        <w:t>and a third model allowing for only a vertical shift at publication (assuming no change in slope at publication)</w:t>
      </w:r>
      <w:r>
        <w:t xml:space="preserve"> (Model 3, </w:t>
      </w:r>
      <w:r>
        <w:rPr>
          <w:b/>
          <w:bCs/>
        </w:rPr>
        <w:t>Supplementary tables 2-4</w:t>
      </w:r>
      <w:r w:rsidRPr="002A7780">
        <w:t>)</w:t>
      </w:r>
      <w:r w:rsidRPr="00697B53">
        <w:t xml:space="preserve">. The t test was used to test for no change in slope and no vertical shift </w:t>
      </w:r>
      <w:proofErr w:type="gramStart"/>
      <w:r w:rsidRPr="00697B53">
        <w:t>respectively, and</w:t>
      </w:r>
      <w:proofErr w:type="gramEnd"/>
      <w:r w:rsidRPr="00697B53">
        <w:t xml:space="preserve"> was obtained directly from the regression model output.</w:t>
      </w:r>
    </w:p>
    <w:p w14:paraId="321CA1E4" w14:textId="77777777" w:rsidR="00C172EA" w:rsidRDefault="00C172EA" w:rsidP="00C172EA">
      <w:pPr>
        <w:spacing w:after="0" w:line="480" w:lineRule="auto"/>
      </w:pPr>
    </w:p>
    <w:p w14:paraId="0D8D760B" w14:textId="7E377F53" w:rsidR="00C172EA" w:rsidRDefault="00C172EA" w:rsidP="00BA22BA">
      <w:pPr>
        <w:spacing w:after="0" w:line="480" w:lineRule="auto"/>
      </w:pPr>
      <w:r>
        <w:t xml:space="preserve">Data for Google Trends and REP was reported along with the standard error (SE). The ‘change in’ the variables of interest </w:t>
      </w:r>
      <w:proofErr w:type="gramStart"/>
      <w:r>
        <w:t>is</w:t>
      </w:r>
      <w:proofErr w:type="gramEnd"/>
      <w:r>
        <w:t xml:space="preserve"> shown using the symbol </w:t>
      </w:r>
      <w:r w:rsidRPr="00633603">
        <w:t>Δ</w:t>
      </w:r>
      <w:r>
        <w:t xml:space="preserve"> followed by the unit of measurement. </w:t>
      </w:r>
      <w:r w:rsidRPr="002A7780">
        <w:t>The alpha-level was set at 0.05 for statistical significance.</w:t>
      </w:r>
      <w:r>
        <w:t xml:space="preserve"> The study was approved by the institutional review boards at Mayo Clinic and Olmsted Medical Center.  </w:t>
      </w:r>
    </w:p>
    <w:p w14:paraId="676990FE" w14:textId="1333A16F" w:rsidR="006911DA" w:rsidRDefault="006911DA">
      <w:pPr>
        <w:rPr>
          <w:b/>
          <w:bCs/>
        </w:rPr>
      </w:pPr>
      <w:r>
        <w:rPr>
          <w:b/>
          <w:bCs/>
        </w:rPr>
        <w:br w:type="page"/>
      </w:r>
    </w:p>
    <w:p w14:paraId="3EC4E289" w14:textId="686282E9" w:rsidR="00281591" w:rsidRDefault="004577E4">
      <w:pPr>
        <w:rPr>
          <w:b/>
          <w:bCs/>
        </w:rPr>
      </w:pPr>
      <w:r>
        <w:rPr>
          <w:b/>
          <w:bCs/>
        </w:rPr>
        <w:lastRenderedPageBreak/>
        <w:t>References</w:t>
      </w:r>
    </w:p>
    <w:p w14:paraId="50DCF2FE" w14:textId="06446940" w:rsidR="00361C87" w:rsidRPr="00361C87" w:rsidRDefault="004577E4" w:rsidP="00361C87">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361C87" w:rsidRPr="00361C87">
        <w:rPr>
          <w:rFonts w:ascii="Calibri" w:hAnsi="Calibri" w:cs="Calibri"/>
          <w:noProof/>
          <w:szCs w:val="24"/>
        </w:rPr>
        <w:t xml:space="preserve">1. </w:t>
      </w:r>
      <w:r w:rsidR="00361C87" w:rsidRPr="00361C87">
        <w:rPr>
          <w:rFonts w:ascii="Calibri" w:hAnsi="Calibri" w:cs="Calibri"/>
          <w:noProof/>
          <w:szCs w:val="24"/>
        </w:rPr>
        <w:tab/>
        <w:t xml:space="preserve">Imperiale TF, Ransohoff DF, Itzkowitz SH, et al. Multitarget Stool DNA Testing for Colorectal-Cancer Screening. </w:t>
      </w:r>
      <w:r w:rsidR="00361C87" w:rsidRPr="00551CC9">
        <w:rPr>
          <w:rFonts w:ascii="Calibri" w:hAnsi="Calibri" w:cs="Calibri"/>
          <w:i/>
          <w:iCs/>
          <w:noProof/>
          <w:szCs w:val="24"/>
        </w:rPr>
        <w:t>N Engl J Med</w:t>
      </w:r>
      <w:r w:rsidR="00361C87" w:rsidRPr="00361C87">
        <w:rPr>
          <w:rFonts w:ascii="Calibri" w:hAnsi="Calibri" w:cs="Calibri"/>
          <w:noProof/>
          <w:szCs w:val="24"/>
        </w:rPr>
        <w:t xml:space="preserve"> 2014;370:1287–1297. </w:t>
      </w:r>
    </w:p>
    <w:p w14:paraId="4762C9D9" w14:textId="09867FFD" w:rsidR="00361C87" w:rsidRPr="00361C87" w:rsidRDefault="00361C87" w:rsidP="00361C87">
      <w:pPr>
        <w:widowControl w:val="0"/>
        <w:autoSpaceDE w:val="0"/>
        <w:autoSpaceDN w:val="0"/>
        <w:adjustRightInd w:val="0"/>
        <w:spacing w:line="240" w:lineRule="auto"/>
        <w:ind w:left="640" w:hanging="640"/>
        <w:rPr>
          <w:rFonts w:ascii="Calibri" w:hAnsi="Calibri" w:cs="Calibri"/>
          <w:noProof/>
          <w:szCs w:val="24"/>
        </w:rPr>
      </w:pPr>
      <w:r w:rsidRPr="00361C87">
        <w:rPr>
          <w:rFonts w:ascii="Calibri" w:hAnsi="Calibri" w:cs="Calibri"/>
          <w:noProof/>
          <w:szCs w:val="24"/>
        </w:rPr>
        <w:t xml:space="preserve">2. </w:t>
      </w:r>
      <w:r w:rsidRPr="00361C87">
        <w:rPr>
          <w:rFonts w:ascii="Calibri" w:hAnsi="Calibri" w:cs="Calibri"/>
          <w:noProof/>
          <w:szCs w:val="24"/>
        </w:rPr>
        <w:tab/>
        <w:t xml:space="preserve">Pimentel M, Lembo A, Chey WD, et al. Rifaximin Therapy for Patients with Irritable Bowel Syndrome without Constipation. </w:t>
      </w:r>
      <w:r w:rsidRPr="00551CC9">
        <w:rPr>
          <w:rFonts w:ascii="Calibri" w:hAnsi="Calibri" w:cs="Calibri"/>
          <w:i/>
          <w:iCs/>
          <w:noProof/>
          <w:szCs w:val="24"/>
        </w:rPr>
        <w:t>N Engl J Med</w:t>
      </w:r>
      <w:r w:rsidRPr="00361C87">
        <w:rPr>
          <w:rFonts w:ascii="Calibri" w:hAnsi="Calibri" w:cs="Calibri"/>
          <w:noProof/>
          <w:szCs w:val="24"/>
        </w:rPr>
        <w:t xml:space="preserve"> 2011;364:22–32. </w:t>
      </w:r>
    </w:p>
    <w:p w14:paraId="33E65FED" w14:textId="07E8C82F" w:rsidR="00361C87" w:rsidRPr="00361C87" w:rsidRDefault="00361C87" w:rsidP="00361C87">
      <w:pPr>
        <w:widowControl w:val="0"/>
        <w:autoSpaceDE w:val="0"/>
        <w:autoSpaceDN w:val="0"/>
        <w:adjustRightInd w:val="0"/>
        <w:spacing w:line="240" w:lineRule="auto"/>
        <w:ind w:left="640" w:hanging="640"/>
        <w:rPr>
          <w:rFonts w:ascii="Calibri" w:hAnsi="Calibri" w:cs="Calibri"/>
          <w:noProof/>
          <w:szCs w:val="24"/>
        </w:rPr>
      </w:pPr>
      <w:r w:rsidRPr="00361C87">
        <w:rPr>
          <w:rFonts w:ascii="Calibri" w:hAnsi="Calibri" w:cs="Calibri"/>
          <w:noProof/>
          <w:szCs w:val="24"/>
        </w:rPr>
        <w:t xml:space="preserve">3. </w:t>
      </w:r>
      <w:r w:rsidRPr="00361C87">
        <w:rPr>
          <w:rFonts w:ascii="Calibri" w:hAnsi="Calibri" w:cs="Calibri"/>
          <w:noProof/>
          <w:szCs w:val="24"/>
        </w:rPr>
        <w:tab/>
        <w:t>Gomm W, Holt K Von, Thomé F, et al. Association of proton pump inhibitors with risk of dementia: A pharmacoepidemiological claims data analysis.</w:t>
      </w:r>
      <w:r w:rsidRPr="00551CC9">
        <w:rPr>
          <w:rFonts w:ascii="Calibri" w:hAnsi="Calibri" w:cs="Calibri"/>
          <w:i/>
          <w:iCs/>
          <w:noProof/>
          <w:szCs w:val="24"/>
        </w:rPr>
        <w:t xml:space="preserve"> JAMA Neurol</w:t>
      </w:r>
      <w:r w:rsidRPr="00361C87">
        <w:rPr>
          <w:rFonts w:ascii="Calibri" w:hAnsi="Calibri" w:cs="Calibri"/>
          <w:noProof/>
          <w:szCs w:val="24"/>
        </w:rPr>
        <w:t xml:space="preserve"> 2016;73:410–416. </w:t>
      </w:r>
    </w:p>
    <w:p w14:paraId="27FAD5A0" w14:textId="77777777" w:rsidR="00361C87" w:rsidRPr="00361C87" w:rsidRDefault="00361C87" w:rsidP="00361C87">
      <w:pPr>
        <w:widowControl w:val="0"/>
        <w:autoSpaceDE w:val="0"/>
        <w:autoSpaceDN w:val="0"/>
        <w:adjustRightInd w:val="0"/>
        <w:spacing w:line="240" w:lineRule="auto"/>
        <w:ind w:left="640" w:hanging="640"/>
        <w:rPr>
          <w:rFonts w:ascii="Calibri" w:hAnsi="Calibri" w:cs="Calibri"/>
          <w:noProof/>
          <w:szCs w:val="24"/>
        </w:rPr>
      </w:pPr>
      <w:r w:rsidRPr="00361C87">
        <w:rPr>
          <w:rFonts w:ascii="Calibri" w:hAnsi="Calibri" w:cs="Calibri"/>
          <w:noProof/>
          <w:szCs w:val="24"/>
        </w:rPr>
        <w:t xml:space="preserve">4. </w:t>
      </w:r>
      <w:r w:rsidRPr="00361C87">
        <w:rPr>
          <w:rFonts w:ascii="Calibri" w:hAnsi="Calibri" w:cs="Calibri"/>
          <w:noProof/>
          <w:szCs w:val="24"/>
        </w:rPr>
        <w:tab/>
        <w:t>Altmetric. What are altmetrics? Available at: https://www.altmetric.com/about-altmetrics/what-are-altmetrics/ [Accessed April 25, 2021].</w:t>
      </w:r>
    </w:p>
    <w:p w14:paraId="5CE21C63" w14:textId="77777777" w:rsidR="00361C87" w:rsidRPr="00361C87" w:rsidRDefault="00361C87" w:rsidP="00361C87">
      <w:pPr>
        <w:widowControl w:val="0"/>
        <w:autoSpaceDE w:val="0"/>
        <w:autoSpaceDN w:val="0"/>
        <w:adjustRightInd w:val="0"/>
        <w:spacing w:line="240" w:lineRule="auto"/>
        <w:ind w:left="640" w:hanging="640"/>
        <w:rPr>
          <w:rFonts w:ascii="Calibri" w:hAnsi="Calibri" w:cs="Calibri"/>
          <w:noProof/>
          <w:szCs w:val="24"/>
        </w:rPr>
      </w:pPr>
      <w:r w:rsidRPr="00361C87">
        <w:rPr>
          <w:rFonts w:ascii="Calibri" w:hAnsi="Calibri" w:cs="Calibri"/>
          <w:noProof/>
          <w:szCs w:val="24"/>
        </w:rPr>
        <w:t xml:space="preserve">5. </w:t>
      </w:r>
      <w:r w:rsidRPr="00361C87">
        <w:rPr>
          <w:rFonts w:ascii="Calibri" w:hAnsi="Calibri" w:cs="Calibri"/>
          <w:noProof/>
          <w:szCs w:val="24"/>
        </w:rPr>
        <w:tab/>
        <w:t>Google. FAQ about Google Trends data. Available at: https://support.google.com/trends/answer/4365533?hl=en&amp;ref_topic=6248052 [Accessed April 24, 2021].</w:t>
      </w:r>
    </w:p>
    <w:p w14:paraId="6967E3D2" w14:textId="77777777" w:rsidR="00361C87" w:rsidRPr="00361C87" w:rsidRDefault="00361C87" w:rsidP="00361C87">
      <w:pPr>
        <w:widowControl w:val="0"/>
        <w:autoSpaceDE w:val="0"/>
        <w:autoSpaceDN w:val="0"/>
        <w:adjustRightInd w:val="0"/>
        <w:spacing w:line="240" w:lineRule="auto"/>
        <w:ind w:left="640" w:hanging="640"/>
        <w:rPr>
          <w:rFonts w:ascii="Calibri" w:hAnsi="Calibri" w:cs="Calibri"/>
          <w:noProof/>
          <w:szCs w:val="24"/>
        </w:rPr>
      </w:pPr>
      <w:r w:rsidRPr="00361C87">
        <w:rPr>
          <w:rFonts w:ascii="Calibri" w:hAnsi="Calibri" w:cs="Calibri"/>
          <w:noProof/>
          <w:szCs w:val="24"/>
        </w:rPr>
        <w:t xml:space="preserve">6. </w:t>
      </w:r>
      <w:r w:rsidRPr="00361C87">
        <w:rPr>
          <w:rFonts w:ascii="Calibri" w:hAnsi="Calibri" w:cs="Calibri"/>
          <w:noProof/>
          <w:szCs w:val="24"/>
        </w:rPr>
        <w:tab/>
        <w:t xml:space="preserve">Ahmad I, Flanagan R, Staller K. Increased Internet Search Interest for GI Symptoms May Predict COVID-19 Cases in US Hotspots. </w:t>
      </w:r>
      <w:r w:rsidRPr="00551CC9">
        <w:rPr>
          <w:rFonts w:ascii="Calibri" w:hAnsi="Calibri" w:cs="Calibri"/>
          <w:i/>
          <w:iCs/>
          <w:noProof/>
          <w:szCs w:val="24"/>
        </w:rPr>
        <w:t xml:space="preserve">Clin Gastroenterol Hepatol </w:t>
      </w:r>
      <w:r w:rsidRPr="00361C87">
        <w:rPr>
          <w:rFonts w:ascii="Calibri" w:hAnsi="Calibri" w:cs="Calibri"/>
          <w:noProof/>
          <w:szCs w:val="24"/>
        </w:rPr>
        <w:t>2020;18:2833-2834.e3.</w:t>
      </w:r>
    </w:p>
    <w:p w14:paraId="519BD1AB" w14:textId="08545A31" w:rsidR="00361C87" w:rsidRPr="00361C87" w:rsidRDefault="00361C87" w:rsidP="00361C87">
      <w:pPr>
        <w:widowControl w:val="0"/>
        <w:autoSpaceDE w:val="0"/>
        <w:autoSpaceDN w:val="0"/>
        <w:adjustRightInd w:val="0"/>
        <w:spacing w:line="240" w:lineRule="auto"/>
        <w:ind w:left="640" w:hanging="640"/>
        <w:rPr>
          <w:rFonts w:ascii="Calibri" w:hAnsi="Calibri" w:cs="Calibri"/>
          <w:noProof/>
          <w:szCs w:val="24"/>
        </w:rPr>
      </w:pPr>
      <w:r w:rsidRPr="00361C87">
        <w:rPr>
          <w:rFonts w:ascii="Calibri" w:hAnsi="Calibri" w:cs="Calibri"/>
          <w:noProof/>
          <w:szCs w:val="24"/>
        </w:rPr>
        <w:t xml:space="preserve">7. </w:t>
      </w:r>
      <w:r w:rsidRPr="00361C87">
        <w:rPr>
          <w:rFonts w:ascii="Calibri" w:hAnsi="Calibri" w:cs="Calibri"/>
          <w:noProof/>
          <w:szCs w:val="24"/>
        </w:rPr>
        <w:tab/>
        <w:t>St Sauver JL, Grossardt BR, Yawn BP, et al. Data Resource Profile: The Rochester Epidemiology Project (REP) medical records-linkage system.</w:t>
      </w:r>
      <w:r w:rsidRPr="00551CC9">
        <w:rPr>
          <w:rFonts w:ascii="Calibri" w:hAnsi="Calibri" w:cs="Calibri"/>
          <w:i/>
          <w:iCs/>
          <w:noProof/>
          <w:szCs w:val="24"/>
        </w:rPr>
        <w:t xml:space="preserve"> Int J Epidemiol</w:t>
      </w:r>
      <w:r w:rsidRPr="00361C87">
        <w:rPr>
          <w:rFonts w:ascii="Calibri" w:hAnsi="Calibri" w:cs="Calibri"/>
          <w:noProof/>
          <w:szCs w:val="24"/>
        </w:rPr>
        <w:t xml:space="preserve"> 2012;41:1614–1624. </w:t>
      </w:r>
    </w:p>
    <w:p w14:paraId="61C779EA" w14:textId="2714B63C" w:rsidR="00361C87" w:rsidRPr="00361C87" w:rsidRDefault="00361C87" w:rsidP="00361C87">
      <w:pPr>
        <w:widowControl w:val="0"/>
        <w:autoSpaceDE w:val="0"/>
        <w:autoSpaceDN w:val="0"/>
        <w:adjustRightInd w:val="0"/>
        <w:spacing w:line="240" w:lineRule="auto"/>
        <w:ind w:left="640" w:hanging="640"/>
        <w:rPr>
          <w:rFonts w:ascii="Calibri" w:hAnsi="Calibri" w:cs="Calibri"/>
          <w:noProof/>
        </w:rPr>
      </w:pPr>
      <w:r w:rsidRPr="00361C87">
        <w:rPr>
          <w:rFonts w:ascii="Calibri" w:hAnsi="Calibri" w:cs="Calibri"/>
          <w:noProof/>
          <w:szCs w:val="24"/>
        </w:rPr>
        <w:t xml:space="preserve">8. </w:t>
      </w:r>
      <w:r w:rsidRPr="00361C87">
        <w:rPr>
          <w:rFonts w:ascii="Calibri" w:hAnsi="Calibri" w:cs="Calibri"/>
          <w:noProof/>
          <w:szCs w:val="24"/>
        </w:rPr>
        <w:tab/>
        <w:t>Rocca WA, Grossardt BR, Brue SM, et al. Data Resource Profile: Expansion of the Rochester Epidemiology Project medical records-linkage system (E-REP).</w:t>
      </w:r>
      <w:r w:rsidRPr="00551CC9">
        <w:rPr>
          <w:rFonts w:ascii="Calibri" w:hAnsi="Calibri" w:cs="Calibri"/>
          <w:i/>
          <w:iCs/>
          <w:noProof/>
          <w:szCs w:val="24"/>
        </w:rPr>
        <w:t xml:space="preserve"> Int J Epidemiol </w:t>
      </w:r>
      <w:r w:rsidRPr="00361C87">
        <w:rPr>
          <w:rFonts w:ascii="Calibri" w:hAnsi="Calibri" w:cs="Calibri"/>
          <w:noProof/>
          <w:szCs w:val="24"/>
        </w:rPr>
        <w:t xml:space="preserve">2018;47:368-368j. </w:t>
      </w:r>
    </w:p>
    <w:p w14:paraId="3CF94789" w14:textId="28C56FA9" w:rsidR="004577E4" w:rsidRPr="004577E4" w:rsidRDefault="004577E4" w:rsidP="004577E4">
      <w:r>
        <w:fldChar w:fldCharType="end"/>
      </w:r>
    </w:p>
    <w:sectPr w:rsidR="004577E4" w:rsidRPr="004577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9F36A" w14:textId="77777777" w:rsidR="00D11DAA" w:rsidRDefault="00D11DAA" w:rsidP="00762274">
      <w:pPr>
        <w:spacing w:after="0" w:line="240" w:lineRule="auto"/>
      </w:pPr>
      <w:r>
        <w:separator/>
      </w:r>
    </w:p>
  </w:endnote>
  <w:endnote w:type="continuationSeparator" w:id="0">
    <w:p w14:paraId="72C4CAC9" w14:textId="77777777" w:rsidR="00D11DAA" w:rsidRDefault="00D11DAA" w:rsidP="0076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AE56F" w14:textId="77777777" w:rsidR="00D11DAA" w:rsidRDefault="00D11DAA" w:rsidP="00762274">
      <w:pPr>
        <w:spacing w:after="0" w:line="240" w:lineRule="auto"/>
      </w:pPr>
      <w:r>
        <w:separator/>
      </w:r>
    </w:p>
  </w:footnote>
  <w:footnote w:type="continuationSeparator" w:id="0">
    <w:p w14:paraId="17919694" w14:textId="77777777" w:rsidR="00D11DAA" w:rsidRDefault="00D11DAA" w:rsidP="00762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061E5"/>
    <w:multiLevelType w:val="hybridMultilevel"/>
    <w:tmpl w:val="9F0C124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533C6E28"/>
    <w:multiLevelType w:val="hybridMultilevel"/>
    <w:tmpl w:val="7C9C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B38C1"/>
    <w:multiLevelType w:val="hybridMultilevel"/>
    <w:tmpl w:val="2804901A"/>
    <w:lvl w:ilvl="0" w:tplc="E8CC6DA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wMbawtLS0MLEwNDNW0lEKTi0uzszPAykwrAUAqz8DGiwAAAA="/>
  </w:docVars>
  <w:rsids>
    <w:rsidRoot w:val="00F27FE6"/>
    <w:rsid w:val="000164DB"/>
    <w:rsid w:val="000164FF"/>
    <w:rsid w:val="000175F3"/>
    <w:rsid w:val="00032950"/>
    <w:rsid w:val="0004211A"/>
    <w:rsid w:val="000460A0"/>
    <w:rsid w:val="00054F37"/>
    <w:rsid w:val="0006661E"/>
    <w:rsid w:val="0007145A"/>
    <w:rsid w:val="0007788C"/>
    <w:rsid w:val="000857BB"/>
    <w:rsid w:val="0009456D"/>
    <w:rsid w:val="00097290"/>
    <w:rsid w:val="00097859"/>
    <w:rsid w:val="000A1B45"/>
    <w:rsid w:val="000A2A81"/>
    <w:rsid w:val="000B1F2E"/>
    <w:rsid w:val="000C29C5"/>
    <w:rsid w:val="000D50AE"/>
    <w:rsid w:val="000E03DB"/>
    <w:rsid w:val="000E1DC8"/>
    <w:rsid w:val="000E5622"/>
    <w:rsid w:val="000F39E9"/>
    <w:rsid w:val="00104173"/>
    <w:rsid w:val="00106F0A"/>
    <w:rsid w:val="001249B5"/>
    <w:rsid w:val="0014456F"/>
    <w:rsid w:val="00153B4F"/>
    <w:rsid w:val="0018405B"/>
    <w:rsid w:val="001A1B53"/>
    <w:rsid w:val="001B0CBE"/>
    <w:rsid w:val="001B69FB"/>
    <w:rsid w:val="001B76DC"/>
    <w:rsid w:val="001B7B5D"/>
    <w:rsid w:val="001C2117"/>
    <w:rsid w:val="001D12C8"/>
    <w:rsid w:val="001E637E"/>
    <w:rsid w:val="001E63C7"/>
    <w:rsid w:val="001E65D3"/>
    <w:rsid w:val="00205CA5"/>
    <w:rsid w:val="00222B82"/>
    <w:rsid w:val="00233691"/>
    <w:rsid w:val="00241479"/>
    <w:rsid w:val="00247DB5"/>
    <w:rsid w:val="002519BA"/>
    <w:rsid w:val="00275EDC"/>
    <w:rsid w:val="00281591"/>
    <w:rsid w:val="002831AC"/>
    <w:rsid w:val="00284F07"/>
    <w:rsid w:val="00287F1A"/>
    <w:rsid w:val="002A57DF"/>
    <w:rsid w:val="002A6010"/>
    <w:rsid w:val="002B58C3"/>
    <w:rsid w:val="002C5630"/>
    <w:rsid w:val="002C6E69"/>
    <w:rsid w:val="002D28A0"/>
    <w:rsid w:val="002D3A7F"/>
    <w:rsid w:val="002D3FC6"/>
    <w:rsid w:val="002D68F4"/>
    <w:rsid w:val="002E1CC1"/>
    <w:rsid w:val="002E3694"/>
    <w:rsid w:val="002F7B5E"/>
    <w:rsid w:val="0030557B"/>
    <w:rsid w:val="00325032"/>
    <w:rsid w:val="00326D3D"/>
    <w:rsid w:val="0033639B"/>
    <w:rsid w:val="00337EB7"/>
    <w:rsid w:val="00355EB8"/>
    <w:rsid w:val="00361C87"/>
    <w:rsid w:val="00364F91"/>
    <w:rsid w:val="00372AAB"/>
    <w:rsid w:val="00374B66"/>
    <w:rsid w:val="0039030D"/>
    <w:rsid w:val="003A4B22"/>
    <w:rsid w:val="003B46B9"/>
    <w:rsid w:val="003D7E99"/>
    <w:rsid w:val="003E4B01"/>
    <w:rsid w:val="003E719E"/>
    <w:rsid w:val="003F61ED"/>
    <w:rsid w:val="004027C4"/>
    <w:rsid w:val="0043469D"/>
    <w:rsid w:val="00434D7F"/>
    <w:rsid w:val="00444141"/>
    <w:rsid w:val="004537E6"/>
    <w:rsid w:val="00454D32"/>
    <w:rsid w:val="0045526C"/>
    <w:rsid w:val="00457084"/>
    <w:rsid w:val="004577E4"/>
    <w:rsid w:val="004603C6"/>
    <w:rsid w:val="00462E61"/>
    <w:rsid w:val="00470DBE"/>
    <w:rsid w:val="00472C67"/>
    <w:rsid w:val="00495EE7"/>
    <w:rsid w:val="004C0A14"/>
    <w:rsid w:val="004E0024"/>
    <w:rsid w:val="004E76D3"/>
    <w:rsid w:val="00501F22"/>
    <w:rsid w:val="00505711"/>
    <w:rsid w:val="00532771"/>
    <w:rsid w:val="005403F6"/>
    <w:rsid w:val="0054573D"/>
    <w:rsid w:val="00551CC9"/>
    <w:rsid w:val="005523EB"/>
    <w:rsid w:val="00557274"/>
    <w:rsid w:val="00562F34"/>
    <w:rsid w:val="00575136"/>
    <w:rsid w:val="005801BF"/>
    <w:rsid w:val="005B386E"/>
    <w:rsid w:val="005B44C1"/>
    <w:rsid w:val="005B595A"/>
    <w:rsid w:val="005B6BD8"/>
    <w:rsid w:val="005D036B"/>
    <w:rsid w:val="005D1615"/>
    <w:rsid w:val="005D599C"/>
    <w:rsid w:val="005D7500"/>
    <w:rsid w:val="005D75B6"/>
    <w:rsid w:val="005E77CF"/>
    <w:rsid w:val="006051CA"/>
    <w:rsid w:val="0060740B"/>
    <w:rsid w:val="00621FB2"/>
    <w:rsid w:val="00631AF1"/>
    <w:rsid w:val="00633603"/>
    <w:rsid w:val="00640F68"/>
    <w:rsid w:val="00645A84"/>
    <w:rsid w:val="00674D69"/>
    <w:rsid w:val="00675E48"/>
    <w:rsid w:val="00683DAD"/>
    <w:rsid w:val="006911DA"/>
    <w:rsid w:val="006927B7"/>
    <w:rsid w:val="00694417"/>
    <w:rsid w:val="00694B86"/>
    <w:rsid w:val="006964A6"/>
    <w:rsid w:val="00697B53"/>
    <w:rsid w:val="006A6EF4"/>
    <w:rsid w:val="006B451C"/>
    <w:rsid w:val="006C3750"/>
    <w:rsid w:val="006C6C4E"/>
    <w:rsid w:val="006D0274"/>
    <w:rsid w:val="006D465E"/>
    <w:rsid w:val="006E3D0B"/>
    <w:rsid w:val="006E5DE9"/>
    <w:rsid w:val="006F183B"/>
    <w:rsid w:val="006F43F2"/>
    <w:rsid w:val="007006B1"/>
    <w:rsid w:val="00702E86"/>
    <w:rsid w:val="00702E96"/>
    <w:rsid w:val="0070566C"/>
    <w:rsid w:val="0071329D"/>
    <w:rsid w:val="0072227F"/>
    <w:rsid w:val="00727BCD"/>
    <w:rsid w:val="0074441A"/>
    <w:rsid w:val="00745A02"/>
    <w:rsid w:val="00752508"/>
    <w:rsid w:val="0075327B"/>
    <w:rsid w:val="007552D6"/>
    <w:rsid w:val="00762274"/>
    <w:rsid w:val="00762C2B"/>
    <w:rsid w:val="00764699"/>
    <w:rsid w:val="007802EB"/>
    <w:rsid w:val="007A4E1E"/>
    <w:rsid w:val="007A6D95"/>
    <w:rsid w:val="007B4009"/>
    <w:rsid w:val="008022EC"/>
    <w:rsid w:val="0081534A"/>
    <w:rsid w:val="008221DF"/>
    <w:rsid w:val="00836F00"/>
    <w:rsid w:val="00845F8E"/>
    <w:rsid w:val="00856BE4"/>
    <w:rsid w:val="00860707"/>
    <w:rsid w:val="0087037C"/>
    <w:rsid w:val="008808A9"/>
    <w:rsid w:val="00887D7F"/>
    <w:rsid w:val="00894411"/>
    <w:rsid w:val="0089476B"/>
    <w:rsid w:val="008A4080"/>
    <w:rsid w:val="008A65EE"/>
    <w:rsid w:val="008B2080"/>
    <w:rsid w:val="008B2AFF"/>
    <w:rsid w:val="008B36EB"/>
    <w:rsid w:val="008B7759"/>
    <w:rsid w:val="008D36E2"/>
    <w:rsid w:val="009015EB"/>
    <w:rsid w:val="00907A09"/>
    <w:rsid w:val="0093239E"/>
    <w:rsid w:val="00934BFD"/>
    <w:rsid w:val="0094591D"/>
    <w:rsid w:val="00947EE8"/>
    <w:rsid w:val="00953C36"/>
    <w:rsid w:val="0097184A"/>
    <w:rsid w:val="00976718"/>
    <w:rsid w:val="00982CDC"/>
    <w:rsid w:val="009909DD"/>
    <w:rsid w:val="00990AFB"/>
    <w:rsid w:val="009A5ED2"/>
    <w:rsid w:val="009B07A9"/>
    <w:rsid w:val="009B5992"/>
    <w:rsid w:val="009B7CB1"/>
    <w:rsid w:val="009E1D15"/>
    <w:rsid w:val="00A01D55"/>
    <w:rsid w:val="00A03991"/>
    <w:rsid w:val="00A06C54"/>
    <w:rsid w:val="00A07B67"/>
    <w:rsid w:val="00A07F88"/>
    <w:rsid w:val="00A14A1F"/>
    <w:rsid w:val="00A14DFD"/>
    <w:rsid w:val="00A27D05"/>
    <w:rsid w:val="00A3611D"/>
    <w:rsid w:val="00A51390"/>
    <w:rsid w:val="00A531B8"/>
    <w:rsid w:val="00A534D3"/>
    <w:rsid w:val="00A7093E"/>
    <w:rsid w:val="00A741A2"/>
    <w:rsid w:val="00A77FBD"/>
    <w:rsid w:val="00A84910"/>
    <w:rsid w:val="00A86AC3"/>
    <w:rsid w:val="00AA4583"/>
    <w:rsid w:val="00AA70FD"/>
    <w:rsid w:val="00AD6E1F"/>
    <w:rsid w:val="00AF5858"/>
    <w:rsid w:val="00AF5E10"/>
    <w:rsid w:val="00AF6C1B"/>
    <w:rsid w:val="00B00019"/>
    <w:rsid w:val="00B12639"/>
    <w:rsid w:val="00B1313F"/>
    <w:rsid w:val="00B24681"/>
    <w:rsid w:val="00B2756B"/>
    <w:rsid w:val="00B45DEC"/>
    <w:rsid w:val="00B50709"/>
    <w:rsid w:val="00B53662"/>
    <w:rsid w:val="00B570FB"/>
    <w:rsid w:val="00B6147E"/>
    <w:rsid w:val="00B62BE1"/>
    <w:rsid w:val="00B80E2D"/>
    <w:rsid w:val="00B90489"/>
    <w:rsid w:val="00B94EBA"/>
    <w:rsid w:val="00BA22BA"/>
    <w:rsid w:val="00BA5414"/>
    <w:rsid w:val="00BC378C"/>
    <w:rsid w:val="00BC3D35"/>
    <w:rsid w:val="00BC60A0"/>
    <w:rsid w:val="00BD19D7"/>
    <w:rsid w:val="00C004B0"/>
    <w:rsid w:val="00C11EBA"/>
    <w:rsid w:val="00C172EA"/>
    <w:rsid w:val="00C17866"/>
    <w:rsid w:val="00C32F8A"/>
    <w:rsid w:val="00C64509"/>
    <w:rsid w:val="00C727FE"/>
    <w:rsid w:val="00C75BC8"/>
    <w:rsid w:val="00C800F9"/>
    <w:rsid w:val="00C928D0"/>
    <w:rsid w:val="00CA015F"/>
    <w:rsid w:val="00CA6D6E"/>
    <w:rsid w:val="00CB6477"/>
    <w:rsid w:val="00CE2DA8"/>
    <w:rsid w:val="00CE6854"/>
    <w:rsid w:val="00CF5CA1"/>
    <w:rsid w:val="00D02271"/>
    <w:rsid w:val="00D06C91"/>
    <w:rsid w:val="00D11DAA"/>
    <w:rsid w:val="00D1444C"/>
    <w:rsid w:val="00D15CE8"/>
    <w:rsid w:val="00D20E4E"/>
    <w:rsid w:val="00D31F46"/>
    <w:rsid w:val="00D3204F"/>
    <w:rsid w:val="00D32BC8"/>
    <w:rsid w:val="00D3790A"/>
    <w:rsid w:val="00D73C24"/>
    <w:rsid w:val="00D8074E"/>
    <w:rsid w:val="00D83CD3"/>
    <w:rsid w:val="00D91CF2"/>
    <w:rsid w:val="00D93156"/>
    <w:rsid w:val="00DA0A3B"/>
    <w:rsid w:val="00DB6DEA"/>
    <w:rsid w:val="00DC5A6D"/>
    <w:rsid w:val="00DD27C1"/>
    <w:rsid w:val="00DE5EF2"/>
    <w:rsid w:val="00DF4BA1"/>
    <w:rsid w:val="00DF4D02"/>
    <w:rsid w:val="00E00B35"/>
    <w:rsid w:val="00E068FB"/>
    <w:rsid w:val="00E1257D"/>
    <w:rsid w:val="00E214B2"/>
    <w:rsid w:val="00E23F6D"/>
    <w:rsid w:val="00E2629B"/>
    <w:rsid w:val="00E37DE9"/>
    <w:rsid w:val="00E410F6"/>
    <w:rsid w:val="00E51F02"/>
    <w:rsid w:val="00E620CE"/>
    <w:rsid w:val="00E6690A"/>
    <w:rsid w:val="00E801B0"/>
    <w:rsid w:val="00E84260"/>
    <w:rsid w:val="00E84735"/>
    <w:rsid w:val="00E9285D"/>
    <w:rsid w:val="00EA1444"/>
    <w:rsid w:val="00EA7392"/>
    <w:rsid w:val="00EB1EA3"/>
    <w:rsid w:val="00EB32E7"/>
    <w:rsid w:val="00EB37BB"/>
    <w:rsid w:val="00EC20E8"/>
    <w:rsid w:val="00EC7BB7"/>
    <w:rsid w:val="00ED1A5D"/>
    <w:rsid w:val="00EF31EA"/>
    <w:rsid w:val="00EF40A9"/>
    <w:rsid w:val="00EF7FCF"/>
    <w:rsid w:val="00F101E9"/>
    <w:rsid w:val="00F173D5"/>
    <w:rsid w:val="00F26903"/>
    <w:rsid w:val="00F26F33"/>
    <w:rsid w:val="00F27FE6"/>
    <w:rsid w:val="00F34D21"/>
    <w:rsid w:val="00F42E8D"/>
    <w:rsid w:val="00F44865"/>
    <w:rsid w:val="00F45CE4"/>
    <w:rsid w:val="00F52407"/>
    <w:rsid w:val="00F5374D"/>
    <w:rsid w:val="00F55532"/>
    <w:rsid w:val="00F702BA"/>
    <w:rsid w:val="00F75B75"/>
    <w:rsid w:val="00F76AC0"/>
    <w:rsid w:val="00F86B43"/>
    <w:rsid w:val="00F93BE3"/>
    <w:rsid w:val="00FA7F1F"/>
    <w:rsid w:val="00FC1C84"/>
    <w:rsid w:val="00FC32F2"/>
    <w:rsid w:val="00FD1655"/>
    <w:rsid w:val="00FD2343"/>
    <w:rsid w:val="00FE4D40"/>
    <w:rsid w:val="00FF34D1"/>
    <w:rsid w:val="00FF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F8609"/>
  <w15:docId w15:val="{7863A73A-E0B4-43CD-9CB2-01C0C3D2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4BA1"/>
    <w:rPr>
      <w:sz w:val="16"/>
      <w:szCs w:val="16"/>
    </w:rPr>
  </w:style>
  <w:style w:type="paragraph" w:styleId="CommentText">
    <w:name w:val="annotation text"/>
    <w:basedOn w:val="Normal"/>
    <w:link w:val="CommentTextChar"/>
    <w:uiPriority w:val="99"/>
    <w:unhideWhenUsed/>
    <w:rsid w:val="00DF4BA1"/>
    <w:pPr>
      <w:spacing w:line="240" w:lineRule="auto"/>
    </w:pPr>
    <w:rPr>
      <w:sz w:val="20"/>
      <w:szCs w:val="20"/>
    </w:rPr>
  </w:style>
  <w:style w:type="character" w:customStyle="1" w:styleId="CommentTextChar">
    <w:name w:val="Comment Text Char"/>
    <w:basedOn w:val="DefaultParagraphFont"/>
    <w:link w:val="CommentText"/>
    <w:uiPriority w:val="99"/>
    <w:rsid w:val="00DF4BA1"/>
    <w:rPr>
      <w:sz w:val="20"/>
      <w:szCs w:val="20"/>
    </w:rPr>
  </w:style>
  <w:style w:type="paragraph" w:styleId="CommentSubject">
    <w:name w:val="annotation subject"/>
    <w:basedOn w:val="CommentText"/>
    <w:next w:val="CommentText"/>
    <w:link w:val="CommentSubjectChar"/>
    <w:uiPriority w:val="99"/>
    <w:semiHidden/>
    <w:unhideWhenUsed/>
    <w:rsid w:val="00DF4BA1"/>
    <w:rPr>
      <w:b/>
      <w:bCs/>
    </w:rPr>
  </w:style>
  <w:style w:type="character" w:customStyle="1" w:styleId="CommentSubjectChar">
    <w:name w:val="Comment Subject Char"/>
    <w:basedOn w:val="CommentTextChar"/>
    <w:link w:val="CommentSubject"/>
    <w:uiPriority w:val="99"/>
    <w:semiHidden/>
    <w:rsid w:val="00DF4BA1"/>
    <w:rPr>
      <w:b/>
      <w:bCs/>
      <w:sz w:val="20"/>
      <w:szCs w:val="20"/>
    </w:rPr>
  </w:style>
  <w:style w:type="paragraph" w:styleId="BalloonText">
    <w:name w:val="Balloon Text"/>
    <w:basedOn w:val="Normal"/>
    <w:link w:val="BalloonTextChar"/>
    <w:uiPriority w:val="99"/>
    <w:semiHidden/>
    <w:unhideWhenUsed/>
    <w:rsid w:val="00DF4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BA1"/>
    <w:rPr>
      <w:rFonts w:ascii="Segoe UI" w:hAnsi="Segoe UI" w:cs="Segoe UI"/>
      <w:sz w:val="18"/>
      <w:szCs w:val="18"/>
    </w:rPr>
  </w:style>
  <w:style w:type="character" w:styleId="Hyperlink">
    <w:name w:val="Hyperlink"/>
    <w:basedOn w:val="DefaultParagraphFont"/>
    <w:uiPriority w:val="99"/>
    <w:unhideWhenUsed/>
    <w:rsid w:val="00153B4F"/>
    <w:rPr>
      <w:color w:val="0000FF" w:themeColor="hyperlink"/>
      <w:u w:val="single"/>
    </w:rPr>
  </w:style>
  <w:style w:type="character" w:customStyle="1" w:styleId="UnresolvedMention1">
    <w:name w:val="Unresolved Mention1"/>
    <w:basedOn w:val="DefaultParagraphFont"/>
    <w:uiPriority w:val="99"/>
    <w:semiHidden/>
    <w:unhideWhenUsed/>
    <w:rsid w:val="00153B4F"/>
    <w:rPr>
      <w:color w:val="605E5C"/>
      <w:shd w:val="clear" w:color="auto" w:fill="E1DFDD"/>
    </w:rPr>
  </w:style>
  <w:style w:type="paragraph" w:styleId="EndnoteText">
    <w:name w:val="endnote text"/>
    <w:basedOn w:val="Normal"/>
    <w:link w:val="EndnoteTextChar"/>
    <w:uiPriority w:val="99"/>
    <w:semiHidden/>
    <w:unhideWhenUsed/>
    <w:rsid w:val="007622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274"/>
    <w:rPr>
      <w:sz w:val="20"/>
      <w:szCs w:val="20"/>
    </w:rPr>
  </w:style>
  <w:style w:type="character" w:styleId="EndnoteReference">
    <w:name w:val="endnote reference"/>
    <w:basedOn w:val="DefaultParagraphFont"/>
    <w:uiPriority w:val="99"/>
    <w:semiHidden/>
    <w:unhideWhenUsed/>
    <w:rsid w:val="00762274"/>
    <w:rPr>
      <w:vertAlign w:val="superscript"/>
    </w:rPr>
  </w:style>
  <w:style w:type="paragraph" w:styleId="PlainText">
    <w:name w:val="Plain Text"/>
    <w:basedOn w:val="Normal"/>
    <w:link w:val="PlainTextChar"/>
    <w:uiPriority w:val="99"/>
    <w:unhideWhenUsed/>
    <w:rsid w:val="00F86B4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86B43"/>
    <w:rPr>
      <w:rFonts w:ascii="Consolas" w:eastAsia="Calibri" w:hAnsi="Consolas" w:cs="Times New Roman"/>
      <w:sz w:val="21"/>
      <w:szCs w:val="21"/>
    </w:rPr>
  </w:style>
  <w:style w:type="paragraph" w:styleId="ListParagraph">
    <w:name w:val="List Paragraph"/>
    <w:basedOn w:val="Normal"/>
    <w:uiPriority w:val="34"/>
    <w:qFormat/>
    <w:rsid w:val="00C72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07658">
      <w:bodyDiv w:val="1"/>
      <w:marLeft w:val="0"/>
      <w:marRight w:val="0"/>
      <w:marTop w:val="0"/>
      <w:marBottom w:val="0"/>
      <w:divBdr>
        <w:top w:val="none" w:sz="0" w:space="0" w:color="auto"/>
        <w:left w:val="none" w:sz="0" w:space="0" w:color="auto"/>
        <w:bottom w:val="none" w:sz="0" w:space="0" w:color="auto"/>
        <w:right w:val="none" w:sz="0" w:space="0" w:color="auto"/>
      </w:divBdr>
    </w:div>
    <w:div w:id="1608542464">
      <w:bodyDiv w:val="1"/>
      <w:marLeft w:val="0"/>
      <w:marRight w:val="0"/>
      <w:marTop w:val="0"/>
      <w:marBottom w:val="0"/>
      <w:divBdr>
        <w:top w:val="none" w:sz="0" w:space="0" w:color="auto"/>
        <w:left w:val="none" w:sz="0" w:space="0" w:color="auto"/>
        <w:bottom w:val="none" w:sz="0" w:space="0" w:color="auto"/>
        <w:right w:val="none" w:sz="0" w:space="0" w:color="auto"/>
      </w:divBdr>
    </w:div>
    <w:div w:id="1632399025">
      <w:bodyDiv w:val="1"/>
      <w:marLeft w:val="0"/>
      <w:marRight w:val="0"/>
      <w:marTop w:val="0"/>
      <w:marBottom w:val="0"/>
      <w:divBdr>
        <w:top w:val="none" w:sz="0" w:space="0" w:color="auto"/>
        <w:left w:val="none" w:sz="0" w:space="0" w:color="auto"/>
        <w:bottom w:val="none" w:sz="0" w:space="0" w:color="auto"/>
        <w:right w:val="none" w:sz="0" w:space="0" w:color="auto"/>
      </w:divBdr>
    </w:div>
    <w:div w:id="1678463646">
      <w:bodyDiv w:val="1"/>
      <w:marLeft w:val="0"/>
      <w:marRight w:val="0"/>
      <w:marTop w:val="0"/>
      <w:marBottom w:val="0"/>
      <w:divBdr>
        <w:top w:val="none" w:sz="0" w:space="0" w:color="auto"/>
        <w:left w:val="none" w:sz="0" w:space="0" w:color="auto"/>
        <w:bottom w:val="none" w:sz="0" w:space="0" w:color="auto"/>
        <w:right w:val="none" w:sz="0" w:space="0" w:color="auto"/>
      </w:divBdr>
      <w:divsChild>
        <w:div w:id="173153724">
          <w:marLeft w:val="0"/>
          <w:marRight w:val="0"/>
          <w:marTop w:val="0"/>
          <w:marBottom w:val="0"/>
          <w:divBdr>
            <w:top w:val="single" w:sz="6" w:space="0" w:color="5B616B"/>
            <w:left w:val="single" w:sz="6" w:space="0" w:color="5B616B"/>
            <w:bottom w:val="single" w:sz="6" w:space="0" w:color="5B616B"/>
            <w:right w:val="single" w:sz="6" w:space="0" w:color="5B616B"/>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623DD-9AF1-4914-83F1-B620D854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6949</Words>
  <Characters>39615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Kamboj, Amrit K., M.D.</dc:creator>
  <cp:lastModifiedBy>Kamboj, Amrit K., M.D.</cp:lastModifiedBy>
  <cp:revision>3</cp:revision>
  <dcterms:created xsi:type="dcterms:W3CDTF">2021-09-10T12:54:00Z</dcterms:created>
  <dcterms:modified xsi:type="dcterms:W3CDTF">2021-09-10T13:01:00Z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http://www.zotero.org/styles/gastroenterology</vt:lpwstr>
  </property>
  <property fmtid="{D5CDD505-2E9C-101B-9397-08002B2CF9AE}" pid="13" name="Mendeley Recent Style Name 5_1">
    <vt:lpwstr>Gastroenterology</vt:lpwstr>
  </property>
  <property fmtid="{D5CDD505-2E9C-101B-9397-08002B2CF9AE}" pid="14" name="Mendeley Recent Style Id 6_1">
    <vt:lpwstr>http://www.zotero.org/styles/gastrointestinal-endoscopy-clinics-of-north-america</vt:lpwstr>
  </property>
  <property fmtid="{D5CDD505-2E9C-101B-9397-08002B2CF9AE}" pid="15" name="Mendeley Recent Style Name 6_1">
    <vt:lpwstr>Gastrointestinal Endoscopy Clinics of North America</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7ff0cd31-d1e9-30bf-8039-323585605438</vt:lpwstr>
  </property>
  <property fmtid="{D5CDD505-2E9C-101B-9397-08002B2CF9AE}" pid="24" name="Mendeley Citation Style_1">
    <vt:lpwstr>http://www.zotero.org/styles/gastroenterology</vt:lpwstr>
  </property>
</Properties>
</file>