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CA17D" w14:textId="77777777" w:rsidR="00D1444C" w:rsidRDefault="00D1444C" w:rsidP="00D1444C">
      <w:r>
        <w:rPr>
          <w:b/>
          <w:bCs/>
        </w:rPr>
        <w:t>S</w:t>
      </w:r>
      <w:r w:rsidRPr="00B45DEC">
        <w:rPr>
          <w:b/>
          <w:bCs/>
        </w:rPr>
        <w:t xml:space="preserve">upplementary table 1. </w:t>
      </w:r>
      <w:r>
        <w:t xml:space="preserve">Search terms used for variables of interest in Google Trends. </w:t>
      </w:r>
    </w:p>
    <w:tbl>
      <w:tblPr>
        <w:tblStyle w:val="TableGrid"/>
        <w:tblW w:w="0" w:type="auto"/>
        <w:tblLook w:val="04A0" w:firstRow="1" w:lastRow="0" w:firstColumn="1" w:lastColumn="0" w:noHBand="0" w:noVBand="1"/>
      </w:tblPr>
      <w:tblGrid>
        <w:gridCol w:w="2832"/>
        <w:gridCol w:w="2176"/>
        <w:gridCol w:w="2711"/>
        <w:gridCol w:w="1857"/>
      </w:tblGrid>
      <w:tr w:rsidR="00D1444C" w14:paraId="68996B19" w14:textId="77777777" w:rsidTr="006964A6">
        <w:tc>
          <w:tcPr>
            <w:tcW w:w="2832" w:type="dxa"/>
          </w:tcPr>
          <w:p w14:paraId="447C182B" w14:textId="77777777" w:rsidR="00D1444C" w:rsidRPr="007552D6" w:rsidRDefault="00D1444C" w:rsidP="006964A6">
            <w:pPr>
              <w:rPr>
                <w:b/>
                <w:bCs/>
              </w:rPr>
            </w:pPr>
            <w:r>
              <w:rPr>
                <w:b/>
                <w:bCs/>
              </w:rPr>
              <w:t>Impactful</w:t>
            </w:r>
            <w:r w:rsidRPr="007552D6">
              <w:rPr>
                <w:b/>
                <w:bCs/>
              </w:rPr>
              <w:t xml:space="preserve"> article</w:t>
            </w:r>
          </w:p>
        </w:tc>
        <w:tc>
          <w:tcPr>
            <w:tcW w:w="2176" w:type="dxa"/>
          </w:tcPr>
          <w:p w14:paraId="67B808B4" w14:textId="77777777" w:rsidR="00D1444C" w:rsidRPr="007552D6" w:rsidRDefault="00D1444C" w:rsidP="006964A6">
            <w:pPr>
              <w:rPr>
                <w:b/>
                <w:bCs/>
              </w:rPr>
            </w:pPr>
            <w:r w:rsidRPr="007552D6">
              <w:rPr>
                <w:b/>
                <w:bCs/>
              </w:rPr>
              <w:t>Variables of interest</w:t>
            </w:r>
          </w:p>
        </w:tc>
        <w:tc>
          <w:tcPr>
            <w:tcW w:w="2711" w:type="dxa"/>
          </w:tcPr>
          <w:p w14:paraId="1A32CE7D" w14:textId="77777777" w:rsidR="00D1444C" w:rsidRPr="007552D6" w:rsidRDefault="00D1444C" w:rsidP="006964A6">
            <w:pPr>
              <w:rPr>
                <w:b/>
                <w:bCs/>
              </w:rPr>
            </w:pPr>
            <w:r w:rsidRPr="007552D6">
              <w:rPr>
                <w:b/>
                <w:bCs/>
              </w:rPr>
              <w:t>Google Trends search terms</w:t>
            </w:r>
          </w:p>
        </w:tc>
        <w:tc>
          <w:tcPr>
            <w:tcW w:w="1857" w:type="dxa"/>
          </w:tcPr>
          <w:p w14:paraId="2A2856DF" w14:textId="77777777" w:rsidR="00D1444C" w:rsidRPr="007552D6" w:rsidRDefault="00D1444C" w:rsidP="006964A6">
            <w:pPr>
              <w:rPr>
                <w:b/>
                <w:bCs/>
              </w:rPr>
            </w:pPr>
            <w:r>
              <w:rPr>
                <w:b/>
                <w:bCs/>
              </w:rPr>
              <w:t>Google Trend search time period*</w:t>
            </w:r>
          </w:p>
        </w:tc>
      </w:tr>
      <w:tr w:rsidR="00D1444C" w14:paraId="131D577C" w14:textId="77777777" w:rsidTr="006964A6">
        <w:trPr>
          <w:trHeight w:val="908"/>
        </w:trPr>
        <w:tc>
          <w:tcPr>
            <w:tcW w:w="2832" w:type="dxa"/>
            <w:vMerge w:val="restart"/>
          </w:tcPr>
          <w:p w14:paraId="60AE7FDD" w14:textId="77777777" w:rsidR="00D1444C" w:rsidRPr="00EC20E8" w:rsidRDefault="00D1444C" w:rsidP="006964A6">
            <w:r w:rsidRPr="00A741A2">
              <w:t xml:space="preserve">Imperiale TF, Ransohoff DF, Itzkowitz SH, Levin TR, Lavin P, Lidgard GP, Ahlquist DA, Berger BM. Multitarget stool DNA testing for colorectal-cancer screening. </w:t>
            </w:r>
            <w:r w:rsidRPr="00BA22BA">
              <w:rPr>
                <w:i/>
                <w:iCs/>
              </w:rPr>
              <w:t>N Engl J Med</w:t>
            </w:r>
            <w:r w:rsidRPr="00A741A2">
              <w:t>. 2014 Apr 3;370(14):1287-97.</w:t>
            </w:r>
          </w:p>
        </w:tc>
        <w:tc>
          <w:tcPr>
            <w:tcW w:w="2176" w:type="dxa"/>
          </w:tcPr>
          <w:p w14:paraId="216C1CB3" w14:textId="3D5E355F" w:rsidR="00D1444C" w:rsidRDefault="00D1444C" w:rsidP="006964A6">
            <w:r>
              <w:t>Multitarget stool DNA</w:t>
            </w:r>
            <w:r w:rsidR="00454435">
              <w:rPr>
                <w:vertAlign w:val="superscript"/>
              </w:rPr>
              <w:t>a</w:t>
            </w:r>
            <w:r>
              <w:t xml:space="preserve"> test</w:t>
            </w:r>
          </w:p>
        </w:tc>
        <w:tc>
          <w:tcPr>
            <w:tcW w:w="2711" w:type="dxa"/>
          </w:tcPr>
          <w:p w14:paraId="4B95C995" w14:textId="77777777" w:rsidR="00D1444C" w:rsidRPr="00B45DEC" w:rsidRDefault="00D1444C" w:rsidP="006964A6">
            <w:r>
              <w:t>Cologuard</w:t>
            </w:r>
          </w:p>
        </w:tc>
        <w:tc>
          <w:tcPr>
            <w:tcW w:w="1857" w:type="dxa"/>
            <w:vMerge w:val="restart"/>
          </w:tcPr>
          <w:p w14:paraId="4C6328B4" w14:textId="77777777" w:rsidR="00D1444C" w:rsidRDefault="00D1444C" w:rsidP="006964A6">
            <w:r>
              <w:t>3/19/13-3/19/15</w:t>
            </w:r>
          </w:p>
        </w:tc>
      </w:tr>
      <w:tr w:rsidR="00D1444C" w14:paraId="77A9AD60" w14:textId="77777777" w:rsidTr="006964A6">
        <w:tc>
          <w:tcPr>
            <w:tcW w:w="2832" w:type="dxa"/>
            <w:vMerge/>
          </w:tcPr>
          <w:p w14:paraId="67B1FE92" w14:textId="77777777" w:rsidR="00D1444C" w:rsidRPr="00EC20E8" w:rsidRDefault="00D1444C" w:rsidP="006964A6"/>
        </w:tc>
        <w:tc>
          <w:tcPr>
            <w:tcW w:w="2176" w:type="dxa"/>
          </w:tcPr>
          <w:p w14:paraId="32800EAB" w14:textId="77777777" w:rsidR="00D1444C" w:rsidRDefault="00D1444C" w:rsidP="006964A6">
            <w:r>
              <w:t>Colonoscopy</w:t>
            </w:r>
          </w:p>
        </w:tc>
        <w:tc>
          <w:tcPr>
            <w:tcW w:w="2711" w:type="dxa"/>
          </w:tcPr>
          <w:p w14:paraId="75BF719C" w14:textId="77777777" w:rsidR="00D1444C" w:rsidRPr="00B45DEC" w:rsidRDefault="00D1444C" w:rsidP="006964A6">
            <w:r>
              <w:t>colonoscopy</w:t>
            </w:r>
          </w:p>
        </w:tc>
        <w:tc>
          <w:tcPr>
            <w:tcW w:w="1857" w:type="dxa"/>
            <w:vMerge/>
          </w:tcPr>
          <w:p w14:paraId="4C76766A" w14:textId="77777777" w:rsidR="00D1444C" w:rsidRDefault="00D1444C" w:rsidP="006964A6"/>
        </w:tc>
      </w:tr>
      <w:tr w:rsidR="00D1444C" w14:paraId="09AD97A4" w14:textId="77777777" w:rsidTr="006964A6">
        <w:trPr>
          <w:trHeight w:val="728"/>
        </w:trPr>
        <w:tc>
          <w:tcPr>
            <w:tcW w:w="2832" w:type="dxa"/>
            <w:vMerge w:val="restart"/>
          </w:tcPr>
          <w:p w14:paraId="436D3928" w14:textId="77777777" w:rsidR="00D1444C" w:rsidRPr="00EC20E8" w:rsidRDefault="00D1444C" w:rsidP="006964A6">
            <w:r w:rsidRPr="00A741A2">
              <w:t xml:space="preserve">Pimentel M, Lembo A, Chey WD, Zakko S, Ringel Y, Yu J, Mareya SM, Shaw AL, Bortey E, Forbes WP; TARGET Study Group. Rifaximin therapy for patients with irritable bowel syndrome without constipation. </w:t>
            </w:r>
            <w:r w:rsidRPr="00BA22BA">
              <w:rPr>
                <w:i/>
                <w:iCs/>
              </w:rPr>
              <w:t>N Engl J Med</w:t>
            </w:r>
            <w:r w:rsidRPr="00A741A2">
              <w:t>. 2011 Jan 6;364(1):22-32.</w:t>
            </w:r>
          </w:p>
        </w:tc>
        <w:tc>
          <w:tcPr>
            <w:tcW w:w="2176" w:type="dxa"/>
          </w:tcPr>
          <w:p w14:paraId="503681FB" w14:textId="77777777" w:rsidR="00D1444C" w:rsidRDefault="00D1444C" w:rsidP="006964A6">
            <w:r>
              <w:t>Rifaximin</w:t>
            </w:r>
          </w:p>
        </w:tc>
        <w:tc>
          <w:tcPr>
            <w:tcW w:w="2711" w:type="dxa"/>
          </w:tcPr>
          <w:p w14:paraId="56255AD7" w14:textId="77777777" w:rsidR="00D1444C" w:rsidRPr="00B45DEC" w:rsidRDefault="00D1444C" w:rsidP="006964A6">
            <w:r w:rsidRPr="00C64509">
              <w:t>rifaximin + Xifaxan</w:t>
            </w:r>
          </w:p>
        </w:tc>
        <w:tc>
          <w:tcPr>
            <w:tcW w:w="1857" w:type="dxa"/>
            <w:vMerge w:val="restart"/>
          </w:tcPr>
          <w:p w14:paraId="721AD015" w14:textId="77777777" w:rsidR="00D1444C" w:rsidRPr="00C64509" w:rsidRDefault="00D1444C" w:rsidP="006964A6">
            <w:r>
              <w:t>1/6/10-1/6/12</w:t>
            </w:r>
          </w:p>
        </w:tc>
      </w:tr>
      <w:tr w:rsidR="00D1444C" w14:paraId="178063E7" w14:textId="77777777" w:rsidTr="006964A6">
        <w:trPr>
          <w:trHeight w:val="710"/>
        </w:trPr>
        <w:tc>
          <w:tcPr>
            <w:tcW w:w="2832" w:type="dxa"/>
            <w:vMerge/>
          </w:tcPr>
          <w:p w14:paraId="639F122B" w14:textId="77777777" w:rsidR="00D1444C" w:rsidRPr="00EC20E8" w:rsidRDefault="00D1444C" w:rsidP="006964A6"/>
        </w:tc>
        <w:tc>
          <w:tcPr>
            <w:tcW w:w="2176" w:type="dxa"/>
          </w:tcPr>
          <w:p w14:paraId="6888E02C" w14:textId="47B1DB38" w:rsidR="00D1444C" w:rsidRDefault="00D1444C" w:rsidP="006964A6">
            <w:r>
              <w:t>Irritable bowel syndrome</w:t>
            </w:r>
          </w:p>
        </w:tc>
        <w:tc>
          <w:tcPr>
            <w:tcW w:w="2711" w:type="dxa"/>
          </w:tcPr>
          <w:p w14:paraId="660CEF0B" w14:textId="0D33CE29" w:rsidR="00D1444C" w:rsidRPr="00454435" w:rsidRDefault="00D1444C" w:rsidP="006964A6">
            <w:pPr>
              <w:rPr>
                <w:vertAlign w:val="superscript"/>
              </w:rPr>
            </w:pPr>
            <w:r w:rsidRPr="00C64509">
              <w:t>irritable bowel syndrome + IBS</w:t>
            </w:r>
            <w:r w:rsidR="00454435">
              <w:rPr>
                <w:vertAlign w:val="superscript"/>
              </w:rPr>
              <w:t>b</w:t>
            </w:r>
          </w:p>
        </w:tc>
        <w:tc>
          <w:tcPr>
            <w:tcW w:w="1857" w:type="dxa"/>
            <w:vMerge/>
          </w:tcPr>
          <w:p w14:paraId="193B6AE4" w14:textId="77777777" w:rsidR="00D1444C" w:rsidRPr="00C64509" w:rsidRDefault="00D1444C" w:rsidP="006964A6"/>
        </w:tc>
      </w:tr>
      <w:tr w:rsidR="00D1444C" w14:paraId="3C1EF0BA" w14:textId="77777777" w:rsidTr="006964A6">
        <w:tc>
          <w:tcPr>
            <w:tcW w:w="2832" w:type="dxa"/>
            <w:vMerge/>
          </w:tcPr>
          <w:p w14:paraId="33855BCD" w14:textId="77777777" w:rsidR="00D1444C" w:rsidRPr="00EC20E8" w:rsidRDefault="00D1444C" w:rsidP="006964A6"/>
        </w:tc>
        <w:tc>
          <w:tcPr>
            <w:tcW w:w="2176" w:type="dxa"/>
          </w:tcPr>
          <w:p w14:paraId="1E1F9ADF" w14:textId="77777777" w:rsidR="00D1444C" w:rsidRDefault="00D1444C" w:rsidP="006964A6">
            <w:r>
              <w:t>Diarrhea</w:t>
            </w:r>
          </w:p>
        </w:tc>
        <w:tc>
          <w:tcPr>
            <w:tcW w:w="2711" w:type="dxa"/>
          </w:tcPr>
          <w:p w14:paraId="3D8516DB" w14:textId="77777777" w:rsidR="00D1444C" w:rsidRPr="00B45DEC" w:rsidRDefault="00D1444C" w:rsidP="006964A6">
            <w:r>
              <w:t>diarrhea</w:t>
            </w:r>
          </w:p>
        </w:tc>
        <w:tc>
          <w:tcPr>
            <w:tcW w:w="1857" w:type="dxa"/>
            <w:vMerge/>
          </w:tcPr>
          <w:p w14:paraId="35CAB217" w14:textId="77777777" w:rsidR="00D1444C" w:rsidRDefault="00D1444C" w:rsidP="006964A6"/>
        </w:tc>
      </w:tr>
      <w:tr w:rsidR="00D1444C" w14:paraId="25A58520" w14:textId="77777777" w:rsidTr="006964A6">
        <w:tc>
          <w:tcPr>
            <w:tcW w:w="2832" w:type="dxa"/>
            <w:vMerge w:val="restart"/>
          </w:tcPr>
          <w:p w14:paraId="0A05D748" w14:textId="77777777" w:rsidR="00D1444C" w:rsidRDefault="00D1444C" w:rsidP="006964A6">
            <w:r w:rsidRPr="00EC20E8">
              <w:t xml:space="preserve">Gomm W, von Holt K, Thomé F, Broich K, Maier W, Fink A, Doblhammer G, Haenisch B. Association of Proton Pump Inhibitors With Risk of Dementia: A Pharmacoepidemiological Claims Data Analysis. </w:t>
            </w:r>
            <w:r w:rsidRPr="00BA22BA">
              <w:rPr>
                <w:i/>
                <w:iCs/>
              </w:rPr>
              <w:t>JAMA Neurol</w:t>
            </w:r>
            <w:r w:rsidRPr="00EC20E8">
              <w:t xml:space="preserve">. 2016 Apr;73(4):410-6. </w:t>
            </w:r>
          </w:p>
        </w:tc>
        <w:tc>
          <w:tcPr>
            <w:tcW w:w="2176" w:type="dxa"/>
          </w:tcPr>
          <w:p w14:paraId="1D20921E" w14:textId="77777777" w:rsidR="00D1444C" w:rsidRDefault="00D1444C" w:rsidP="006964A6">
            <w:r>
              <w:t>Proton pump inhibitors</w:t>
            </w:r>
          </w:p>
        </w:tc>
        <w:tc>
          <w:tcPr>
            <w:tcW w:w="2711" w:type="dxa"/>
          </w:tcPr>
          <w:p w14:paraId="05923BC7" w14:textId="77777777" w:rsidR="00D1444C" w:rsidRPr="00B45DEC" w:rsidRDefault="00D1444C" w:rsidP="006964A6">
            <w:pPr>
              <w:rPr>
                <w:vertAlign w:val="superscript"/>
              </w:rPr>
            </w:pPr>
            <w:r w:rsidRPr="00B45DEC">
              <w:t>proton pump inhibitor + omeprazole + Prilosec + pantoprazole + Protonix + esomeprazole + Nexium</w:t>
            </w:r>
            <w:r>
              <w:rPr>
                <w:vertAlign w:val="superscript"/>
              </w:rPr>
              <w:t>**</w:t>
            </w:r>
          </w:p>
        </w:tc>
        <w:tc>
          <w:tcPr>
            <w:tcW w:w="1857" w:type="dxa"/>
            <w:vMerge w:val="restart"/>
          </w:tcPr>
          <w:p w14:paraId="560C0195" w14:textId="77777777" w:rsidR="00D1444C" w:rsidRPr="00B45DEC" w:rsidRDefault="00D1444C" w:rsidP="006964A6">
            <w:r>
              <w:t xml:space="preserve">2/15/15-2/15/17 </w:t>
            </w:r>
          </w:p>
        </w:tc>
      </w:tr>
      <w:tr w:rsidR="00D1444C" w14:paraId="271359E6" w14:textId="77777777" w:rsidTr="006964A6">
        <w:tc>
          <w:tcPr>
            <w:tcW w:w="2832" w:type="dxa"/>
            <w:vMerge/>
          </w:tcPr>
          <w:p w14:paraId="59F0E7DA" w14:textId="77777777" w:rsidR="00D1444C" w:rsidRDefault="00D1444C" w:rsidP="006964A6"/>
        </w:tc>
        <w:tc>
          <w:tcPr>
            <w:tcW w:w="2176" w:type="dxa"/>
          </w:tcPr>
          <w:p w14:paraId="09FB7E20" w14:textId="77777777" w:rsidR="00D1444C" w:rsidRDefault="00D1444C" w:rsidP="006964A6">
            <w:r>
              <w:t>Histamine-2 blockers</w:t>
            </w:r>
          </w:p>
        </w:tc>
        <w:tc>
          <w:tcPr>
            <w:tcW w:w="2711" w:type="dxa"/>
          </w:tcPr>
          <w:p w14:paraId="102242A2" w14:textId="77777777" w:rsidR="00D1444C" w:rsidRDefault="00D1444C" w:rsidP="006964A6">
            <w:r w:rsidRPr="008B36EB">
              <w:t>h2 blocker + ranitidine + Zantac + famotidine + Pepcid + cimetidine + Tagamet + nizatidine + Axid</w:t>
            </w:r>
          </w:p>
        </w:tc>
        <w:tc>
          <w:tcPr>
            <w:tcW w:w="1857" w:type="dxa"/>
            <w:vMerge/>
          </w:tcPr>
          <w:p w14:paraId="0D62EC63" w14:textId="77777777" w:rsidR="00D1444C" w:rsidRPr="008B36EB" w:rsidRDefault="00D1444C" w:rsidP="006964A6"/>
        </w:tc>
      </w:tr>
      <w:tr w:rsidR="00D1444C" w14:paraId="4A0D9413" w14:textId="77777777" w:rsidTr="006964A6">
        <w:tc>
          <w:tcPr>
            <w:tcW w:w="2832" w:type="dxa"/>
            <w:vMerge/>
          </w:tcPr>
          <w:p w14:paraId="2C6C8E6B" w14:textId="77777777" w:rsidR="00D1444C" w:rsidRDefault="00D1444C" w:rsidP="006964A6"/>
        </w:tc>
        <w:tc>
          <w:tcPr>
            <w:tcW w:w="2176" w:type="dxa"/>
          </w:tcPr>
          <w:p w14:paraId="5BA06BBF" w14:textId="77777777" w:rsidR="00D1444C" w:rsidRDefault="00D1444C" w:rsidP="006964A6">
            <w:r>
              <w:t>Gastroesophageal reflux disease</w:t>
            </w:r>
          </w:p>
        </w:tc>
        <w:tc>
          <w:tcPr>
            <w:tcW w:w="2711" w:type="dxa"/>
          </w:tcPr>
          <w:p w14:paraId="3452662A" w14:textId="16C9BCA8" w:rsidR="00D1444C" w:rsidRDefault="00D1444C" w:rsidP="006964A6">
            <w:r w:rsidRPr="00C64509">
              <w:t>gastroesophageal reflux disease + GERD</w:t>
            </w:r>
            <w:r w:rsidR="00454435">
              <w:rPr>
                <w:vertAlign w:val="superscript"/>
              </w:rPr>
              <w:t>c</w:t>
            </w:r>
            <w:r w:rsidRPr="00C64509">
              <w:t xml:space="preserve"> + heartburn + regurgitation</w:t>
            </w:r>
          </w:p>
        </w:tc>
        <w:tc>
          <w:tcPr>
            <w:tcW w:w="1857" w:type="dxa"/>
            <w:vMerge/>
          </w:tcPr>
          <w:p w14:paraId="582622B0" w14:textId="77777777" w:rsidR="00D1444C" w:rsidRPr="00C64509" w:rsidRDefault="00D1444C" w:rsidP="006964A6"/>
        </w:tc>
      </w:tr>
      <w:tr w:rsidR="00D1444C" w14:paraId="7E4EF3DB" w14:textId="77777777" w:rsidTr="006964A6">
        <w:tc>
          <w:tcPr>
            <w:tcW w:w="2832" w:type="dxa"/>
            <w:vMerge/>
          </w:tcPr>
          <w:p w14:paraId="05F68A74" w14:textId="77777777" w:rsidR="00D1444C" w:rsidRDefault="00D1444C" w:rsidP="006964A6"/>
        </w:tc>
        <w:tc>
          <w:tcPr>
            <w:tcW w:w="2176" w:type="dxa"/>
          </w:tcPr>
          <w:p w14:paraId="5E2A26AE" w14:textId="77777777" w:rsidR="00D1444C" w:rsidRDefault="00D1444C" w:rsidP="006964A6">
            <w:r>
              <w:t>Dementia</w:t>
            </w:r>
          </w:p>
        </w:tc>
        <w:tc>
          <w:tcPr>
            <w:tcW w:w="2711" w:type="dxa"/>
          </w:tcPr>
          <w:p w14:paraId="121AD74D" w14:textId="77777777" w:rsidR="00D1444C" w:rsidRDefault="00D1444C" w:rsidP="006964A6">
            <w:r>
              <w:t>dementia</w:t>
            </w:r>
          </w:p>
        </w:tc>
        <w:tc>
          <w:tcPr>
            <w:tcW w:w="1857" w:type="dxa"/>
            <w:vMerge/>
          </w:tcPr>
          <w:p w14:paraId="2AC262A4" w14:textId="77777777" w:rsidR="00D1444C" w:rsidRDefault="00D1444C" w:rsidP="006964A6"/>
        </w:tc>
      </w:tr>
    </w:tbl>
    <w:p w14:paraId="35EE274C" w14:textId="6232503B" w:rsidR="00D1444C" w:rsidRDefault="00D1444C" w:rsidP="00D1444C">
      <w:pPr>
        <w:spacing w:after="0"/>
      </w:pPr>
      <w:r>
        <w:t>*Google Trends search time period was based on the article online publication date and spanned 12 months before and after this date (total 24-month period).</w:t>
      </w:r>
    </w:p>
    <w:p w14:paraId="0C666980" w14:textId="1BDD48ED" w:rsidR="00D1444C" w:rsidRDefault="00D1444C" w:rsidP="00D1444C">
      <w:pPr>
        <w:spacing w:after="0"/>
      </w:pPr>
      <w:r>
        <w:t xml:space="preserve">**Other search terms for proton pump inhibitors such as rabeprazole, Aciphex, lansoprazole, Prevacid, dexlansoprazole, Dexilant could not be added to the search string due to limitations on the number of search terms. </w:t>
      </w:r>
    </w:p>
    <w:p w14:paraId="13437D19" w14:textId="2B4F27DE" w:rsidR="00454435" w:rsidRPr="00454435" w:rsidRDefault="00454435" w:rsidP="00D1444C">
      <w:pPr>
        <w:spacing w:after="0"/>
      </w:pPr>
      <w:r w:rsidRPr="00454435">
        <w:rPr>
          <w:vertAlign w:val="superscript"/>
        </w:rPr>
        <w:t>a</w:t>
      </w:r>
      <w:r>
        <w:t>DNA=</w:t>
      </w:r>
      <w:r w:rsidRPr="00454435">
        <w:t>Deoxyribonucleic acid</w:t>
      </w:r>
      <w:r>
        <w:t xml:space="preserve">; </w:t>
      </w:r>
      <w:r>
        <w:rPr>
          <w:vertAlign w:val="superscript"/>
        </w:rPr>
        <w:t>b</w:t>
      </w:r>
      <w:r>
        <w:t xml:space="preserve">IBS=Irritable bowel syndrome; </w:t>
      </w:r>
      <w:r>
        <w:rPr>
          <w:vertAlign w:val="superscript"/>
        </w:rPr>
        <w:t>c</w:t>
      </w:r>
      <w:r>
        <w:t>GERD=Gastroesophageal reflux disease</w:t>
      </w:r>
    </w:p>
    <w:sectPr w:rsidR="00454435" w:rsidRPr="00454435" w:rsidSect="008F17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9F36A" w14:textId="77777777" w:rsidR="00D11DAA" w:rsidRDefault="00D11DAA" w:rsidP="00762274">
      <w:pPr>
        <w:spacing w:after="0" w:line="240" w:lineRule="auto"/>
      </w:pPr>
      <w:r>
        <w:separator/>
      </w:r>
    </w:p>
  </w:endnote>
  <w:endnote w:type="continuationSeparator" w:id="0">
    <w:p w14:paraId="72C4CAC9" w14:textId="77777777" w:rsidR="00D11DAA" w:rsidRDefault="00D11DAA" w:rsidP="0076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AE56F" w14:textId="77777777" w:rsidR="00D11DAA" w:rsidRDefault="00D11DAA" w:rsidP="00762274">
      <w:pPr>
        <w:spacing w:after="0" w:line="240" w:lineRule="auto"/>
      </w:pPr>
      <w:r>
        <w:separator/>
      </w:r>
    </w:p>
  </w:footnote>
  <w:footnote w:type="continuationSeparator" w:id="0">
    <w:p w14:paraId="17919694" w14:textId="77777777" w:rsidR="00D11DAA" w:rsidRDefault="00D11DAA" w:rsidP="00762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61E5"/>
    <w:multiLevelType w:val="hybridMultilevel"/>
    <w:tmpl w:val="9F0C124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533C6E28"/>
    <w:multiLevelType w:val="hybridMultilevel"/>
    <w:tmpl w:val="7C9C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B38C1"/>
    <w:multiLevelType w:val="hybridMultilevel"/>
    <w:tmpl w:val="2804901A"/>
    <w:lvl w:ilvl="0" w:tplc="E8CC6D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wMbawtLS0MLEwNDNW0lEKTi0uzszPAykwrAUAqz8DGiwAAAA="/>
  </w:docVars>
  <w:rsids>
    <w:rsidRoot w:val="00F27FE6"/>
    <w:rsid w:val="000164DB"/>
    <w:rsid w:val="000164FF"/>
    <w:rsid w:val="000175F3"/>
    <w:rsid w:val="00032950"/>
    <w:rsid w:val="0004211A"/>
    <w:rsid w:val="000460A0"/>
    <w:rsid w:val="00054F37"/>
    <w:rsid w:val="0006661E"/>
    <w:rsid w:val="0007145A"/>
    <w:rsid w:val="0007788C"/>
    <w:rsid w:val="000857BB"/>
    <w:rsid w:val="0009456D"/>
    <w:rsid w:val="00097290"/>
    <w:rsid w:val="00097859"/>
    <w:rsid w:val="000A1B45"/>
    <w:rsid w:val="000A2A81"/>
    <w:rsid w:val="000B1F2E"/>
    <w:rsid w:val="000C29C5"/>
    <w:rsid w:val="000D50AE"/>
    <w:rsid w:val="000E03DB"/>
    <w:rsid w:val="000E1DC8"/>
    <w:rsid w:val="000E5622"/>
    <w:rsid w:val="000F39E9"/>
    <w:rsid w:val="00104173"/>
    <w:rsid w:val="00106F0A"/>
    <w:rsid w:val="001249B5"/>
    <w:rsid w:val="0014456F"/>
    <w:rsid w:val="00153B4F"/>
    <w:rsid w:val="0018405B"/>
    <w:rsid w:val="001A1B53"/>
    <w:rsid w:val="001B0CBE"/>
    <w:rsid w:val="001B69FB"/>
    <w:rsid w:val="001B76DC"/>
    <w:rsid w:val="001B7B5D"/>
    <w:rsid w:val="001C2117"/>
    <w:rsid w:val="001D12C8"/>
    <w:rsid w:val="001E637E"/>
    <w:rsid w:val="001E63C7"/>
    <w:rsid w:val="001E65D3"/>
    <w:rsid w:val="00205CA5"/>
    <w:rsid w:val="00222B82"/>
    <w:rsid w:val="00233691"/>
    <w:rsid w:val="00241479"/>
    <w:rsid w:val="00247DB5"/>
    <w:rsid w:val="002519BA"/>
    <w:rsid w:val="00275EDC"/>
    <w:rsid w:val="00281591"/>
    <w:rsid w:val="002831AC"/>
    <w:rsid w:val="00284F07"/>
    <w:rsid w:val="00287F1A"/>
    <w:rsid w:val="002A57DF"/>
    <w:rsid w:val="002A6010"/>
    <w:rsid w:val="002B58C3"/>
    <w:rsid w:val="002C5630"/>
    <w:rsid w:val="002C6E69"/>
    <w:rsid w:val="002D28A0"/>
    <w:rsid w:val="002D3A7F"/>
    <w:rsid w:val="002D3FC6"/>
    <w:rsid w:val="002D68F4"/>
    <w:rsid w:val="002E1CC1"/>
    <w:rsid w:val="002E3694"/>
    <w:rsid w:val="002F7B5E"/>
    <w:rsid w:val="0030557B"/>
    <w:rsid w:val="00325032"/>
    <w:rsid w:val="00326D3D"/>
    <w:rsid w:val="0033639B"/>
    <w:rsid w:val="00337EB7"/>
    <w:rsid w:val="00355EB8"/>
    <w:rsid w:val="00364F91"/>
    <w:rsid w:val="00372AAB"/>
    <w:rsid w:val="00374B66"/>
    <w:rsid w:val="0039030D"/>
    <w:rsid w:val="003A4B22"/>
    <w:rsid w:val="003B46B9"/>
    <w:rsid w:val="003D7E99"/>
    <w:rsid w:val="003E4B01"/>
    <w:rsid w:val="003E719E"/>
    <w:rsid w:val="003F61ED"/>
    <w:rsid w:val="004027C4"/>
    <w:rsid w:val="0043469D"/>
    <w:rsid w:val="00434D7F"/>
    <w:rsid w:val="00444141"/>
    <w:rsid w:val="004537E6"/>
    <w:rsid w:val="00454435"/>
    <w:rsid w:val="00454D32"/>
    <w:rsid w:val="0045526C"/>
    <w:rsid w:val="00457084"/>
    <w:rsid w:val="004603C6"/>
    <w:rsid w:val="00462E61"/>
    <w:rsid w:val="00470DBE"/>
    <w:rsid w:val="00472C67"/>
    <w:rsid w:val="00495EE7"/>
    <w:rsid w:val="004C0A14"/>
    <w:rsid w:val="004E0024"/>
    <w:rsid w:val="004E76D3"/>
    <w:rsid w:val="00501F22"/>
    <w:rsid w:val="00505711"/>
    <w:rsid w:val="00532771"/>
    <w:rsid w:val="005403F6"/>
    <w:rsid w:val="0054573D"/>
    <w:rsid w:val="005523EB"/>
    <w:rsid w:val="00557274"/>
    <w:rsid w:val="00562F34"/>
    <w:rsid w:val="00575136"/>
    <w:rsid w:val="005801BF"/>
    <w:rsid w:val="005B386E"/>
    <w:rsid w:val="005B424A"/>
    <w:rsid w:val="005B44C1"/>
    <w:rsid w:val="005B595A"/>
    <w:rsid w:val="005B6BD8"/>
    <w:rsid w:val="005D036B"/>
    <w:rsid w:val="005D1615"/>
    <w:rsid w:val="005D599C"/>
    <w:rsid w:val="005D7500"/>
    <w:rsid w:val="005D75B6"/>
    <w:rsid w:val="005E77CF"/>
    <w:rsid w:val="006051CA"/>
    <w:rsid w:val="0060740B"/>
    <w:rsid w:val="00621FB2"/>
    <w:rsid w:val="00631AF1"/>
    <w:rsid w:val="00633603"/>
    <w:rsid w:val="00640F68"/>
    <w:rsid w:val="00645A84"/>
    <w:rsid w:val="00674D69"/>
    <w:rsid w:val="00675E48"/>
    <w:rsid w:val="00683DAD"/>
    <w:rsid w:val="006927B7"/>
    <w:rsid w:val="00694417"/>
    <w:rsid w:val="00694B86"/>
    <w:rsid w:val="006964A6"/>
    <w:rsid w:val="00697B53"/>
    <w:rsid w:val="006A6EF4"/>
    <w:rsid w:val="006B451C"/>
    <w:rsid w:val="006C3750"/>
    <w:rsid w:val="006C6C4E"/>
    <w:rsid w:val="006D0274"/>
    <w:rsid w:val="006D465E"/>
    <w:rsid w:val="006E3D0B"/>
    <w:rsid w:val="006E5DE9"/>
    <w:rsid w:val="006F183B"/>
    <w:rsid w:val="006F43F2"/>
    <w:rsid w:val="007006B1"/>
    <w:rsid w:val="00702E86"/>
    <w:rsid w:val="00702E96"/>
    <w:rsid w:val="0070566C"/>
    <w:rsid w:val="0071329D"/>
    <w:rsid w:val="0072227F"/>
    <w:rsid w:val="00727BCD"/>
    <w:rsid w:val="0074441A"/>
    <w:rsid w:val="00745A02"/>
    <w:rsid w:val="00752508"/>
    <w:rsid w:val="0075327B"/>
    <w:rsid w:val="007552D6"/>
    <w:rsid w:val="00762274"/>
    <w:rsid w:val="00762C2B"/>
    <w:rsid w:val="00764699"/>
    <w:rsid w:val="007802EB"/>
    <w:rsid w:val="007A4E1E"/>
    <w:rsid w:val="007A6D95"/>
    <w:rsid w:val="007B4009"/>
    <w:rsid w:val="008022EC"/>
    <w:rsid w:val="0081534A"/>
    <w:rsid w:val="008221DF"/>
    <w:rsid w:val="00836F00"/>
    <w:rsid w:val="00845F8E"/>
    <w:rsid w:val="00856BE4"/>
    <w:rsid w:val="00860707"/>
    <w:rsid w:val="0087037C"/>
    <w:rsid w:val="008808A9"/>
    <w:rsid w:val="00887D7F"/>
    <w:rsid w:val="00894411"/>
    <w:rsid w:val="0089476B"/>
    <w:rsid w:val="008A4080"/>
    <w:rsid w:val="008A65EE"/>
    <w:rsid w:val="008B2080"/>
    <w:rsid w:val="008B2AFF"/>
    <w:rsid w:val="008B36EB"/>
    <w:rsid w:val="008B7759"/>
    <w:rsid w:val="008D36E2"/>
    <w:rsid w:val="008F17F4"/>
    <w:rsid w:val="009015EB"/>
    <w:rsid w:val="00907A09"/>
    <w:rsid w:val="0093239E"/>
    <w:rsid w:val="00934BFD"/>
    <w:rsid w:val="0094591D"/>
    <w:rsid w:val="00947EE8"/>
    <w:rsid w:val="00953C36"/>
    <w:rsid w:val="0097184A"/>
    <w:rsid w:val="00976718"/>
    <w:rsid w:val="00982CDC"/>
    <w:rsid w:val="009909DD"/>
    <w:rsid w:val="00990AFB"/>
    <w:rsid w:val="009A5ED2"/>
    <w:rsid w:val="009B07A9"/>
    <w:rsid w:val="009B5992"/>
    <w:rsid w:val="009B7CB1"/>
    <w:rsid w:val="009E1D15"/>
    <w:rsid w:val="00A01D55"/>
    <w:rsid w:val="00A03991"/>
    <w:rsid w:val="00A06C54"/>
    <w:rsid w:val="00A07B67"/>
    <w:rsid w:val="00A07F88"/>
    <w:rsid w:val="00A14A1F"/>
    <w:rsid w:val="00A14DFD"/>
    <w:rsid w:val="00A27D05"/>
    <w:rsid w:val="00A3611D"/>
    <w:rsid w:val="00A51390"/>
    <w:rsid w:val="00A531B8"/>
    <w:rsid w:val="00A534D3"/>
    <w:rsid w:val="00A7093E"/>
    <w:rsid w:val="00A741A2"/>
    <w:rsid w:val="00A77FBD"/>
    <w:rsid w:val="00A84910"/>
    <w:rsid w:val="00A86AC3"/>
    <w:rsid w:val="00AA4583"/>
    <w:rsid w:val="00AA70FD"/>
    <w:rsid w:val="00AD6E1F"/>
    <w:rsid w:val="00AF5858"/>
    <w:rsid w:val="00AF5E10"/>
    <w:rsid w:val="00AF6C1B"/>
    <w:rsid w:val="00B00019"/>
    <w:rsid w:val="00B12639"/>
    <w:rsid w:val="00B1313F"/>
    <w:rsid w:val="00B24681"/>
    <w:rsid w:val="00B2756B"/>
    <w:rsid w:val="00B45DEC"/>
    <w:rsid w:val="00B50709"/>
    <w:rsid w:val="00B53662"/>
    <w:rsid w:val="00B570FB"/>
    <w:rsid w:val="00B6147E"/>
    <w:rsid w:val="00B62BE1"/>
    <w:rsid w:val="00B80E2D"/>
    <w:rsid w:val="00B90489"/>
    <w:rsid w:val="00B94EBA"/>
    <w:rsid w:val="00BA22BA"/>
    <w:rsid w:val="00BA5414"/>
    <w:rsid w:val="00BC378C"/>
    <w:rsid w:val="00BC3D35"/>
    <w:rsid w:val="00BC60A0"/>
    <w:rsid w:val="00BD19D7"/>
    <w:rsid w:val="00C004B0"/>
    <w:rsid w:val="00C11EBA"/>
    <w:rsid w:val="00C172EA"/>
    <w:rsid w:val="00C17866"/>
    <w:rsid w:val="00C32F8A"/>
    <w:rsid w:val="00C64509"/>
    <w:rsid w:val="00C727FE"/>
    <w:rsid w:val="00C75BC8"/>
    <w:rsid w:val="00C800F9"/>
    <w:rsid w:val="00C928D0"/>
    <w:rsid w:val="00CA015F"/>
    <w:rsid w:val="00CA6D6E"/>
    <w:rsid w:val="00CB6477"/>
    <w:rsid w:val="00CE2DA8"/>
    <w:rsid w:val="00CE6854"/>
    <w:rsid w:val="00CF5CA1"/>
    <w:rsid w:val="00D02271"/>
    <w:rsid w:val="00D06C91"/>
    <w:rsid w:val="00D11DAA"/>
    <w:rsid w:val="00D1444C"/>
    <w:rsid w:val="00D15CE8"/>
    <w:rsid w:val="00D20E4E"/>
    <w:rsid w:val="00D31F46"/>
    <w:rsid w:val="00D3204F"/>
    <w:rsid w:val="00D32BC8"/>
    <w:rsid w:val="00D3790A"/>
    <w:rsid w:val="00D73C24"/>
    <w:rsid w:val="00D8074E"/>
    <w:rsid w:val="00D83CD3"/>
    <w:rsid w:val="00D91CF2"/>
    <w:rsid w:val="00D93156"/>
    <w:rsid w:val="00DA0A3B"/>
    <w:rsid w:val="00DB6DEA"/>
    <w:rsid w:val="00DC5A6D"/>
    <w:rsid w:val="00DD27C1"/>
    <w:rsid w:val="00DE5EF2"/>
    <w:rsid w:val="00DF4BA1"/>
    <w:rsid w:val="00DF4D02"/>
    <w:rsid w:val="00E00B35"/>
    <w:rsid w:val="00E068FB"/>
    <w:rsid w:val="00E1257D"/>
    <w:rsid w:val="00E214B2"/>
    <w:rsid w:val="00E23F6D"/>
    <w:rsid w:val="00E2629B"/>
    <w:rsid w:val="00E37DE9"/>
    <w:rsid w:val="00E410F6"/>
    <w:rsid w:val="00E51F02"/>
    <w:rsid w:val="00E620CE"/>
    <w:rsid w:val="00E6690A"/>
    <w:rsid w:val="00E801B0"/>
    <w:rsid w:val="00E84260"/>
    <w:rsid w:val="00E84735"/>
    <w:rsid w:val="00E9285D"/>
    <w:rsid w:val="00EA1444"/>
    <w:rsid w:val="00EA7392"/>
    <w:rsid w:val="00EB1EA3"/>
    <w:rsid w:val="00EB32E7"/>
    <w:rsid w:val="00EB37BB"/>
    <w:rsid w:val="00EC20E8"/>
    <w:rsid w:val="00EC7BB7"/>
    <w:rsid w:val="00ED1A5D"/>
    <w:rsid w:val="00EF31EA"/>
    <w:rsid w:val="00EF40A9"/>
    <w:rsid w:val="00EF7FCF"/>
    <w:rsid w:val="00F101E9"/>
    <w:rsid w:val="00F173D5"/>
    <w:rsid w:val="00F26903"/>
    <w:rsid w:val="00F26F33"/>
    <w:rsid w:val="00F27FE6"/>
    <w:rsid w:val="00F34D21"/>
    <w:rsid w:val="00F42E8D"/>
    <w:rsid w:val="00F44865"/>
    <w:rsid w:val="00F45CE4"/>
    <w:rsid w:val="00F52407"/>
    <w:rsid w:val="00F5374D"/>
    <w:rsid w:val="00F55532"/>
    <w:rsid w:val="00F702BA"/>
    <w:rsid w:val="00F75B75"/>
    <w:rsid w:val="00F76AC0"/>
    <w:rsid w:val="00F86B43"/>
    <w:rsid w:val="00F93BE3"/>
    <w:rsid w:val="00FA7F1F"/>
    <w:rsid w:val="00FC32F2"/>
    <w:rsid w:val="00FD1655"/>
    <w:rsid w:val="00FD2343"/>
    <w:rsid w:val="00FE4D40"/>
    <w:rsid w:val="00FF34D1"/>
    <w:rsid w:val="00FF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F8609"/>
  <w15:docId w15:val="{7863A73A-E0B4-43CD-9CB2-01C0C3D2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4BA1"/>
    <w:rPr>
      <w:sz w:val="16"/>
      <w:szCs w:val="16"/>
    </w:rPr>
  </w:style>
  <w:style w:type="paragraph" w:styleId="CommentText">
    <w:name w:val="annotation text"/>
    <w:basedOn w:val="Normal"/>
    <w:link w:val="CommentTextChar"/>
    <w:uiPriority w:val="99"/>
    <w:unhideWhenUsed/>
    <w:rsid w:val="00DF4BA1"/>
    <w:pPr>
      <w:spacing w:line="240" w:lineRule="auto"/>
    </w:pPr>
    <w:rPr>
      <w:sz w:val="20"/>
      <w:szCs w:val="20"/>
    </w:rPr>
  </w:style>
  <w:style w:type="character" w:customStyle="1" w:styleId="CommentTextChar">
    <w:name w:val="Comment Text Char"/>
    <w:basedOn w:val="DefaultParagraphFont"/>
    <w:link w:val="CommentText"/>
    <w:uiPriority w:val="99"/>
    <w:rsid w:val="00DF4BA1"/>
    <w:rPr>
      <w:sz w:val="20"/>
      <w:szCs w:val="20"/>
    </w:rPr>
  </w:style>
  <w:style w:type="paragraph" w:styleId="CommentSubject">
    <w:name w:val="annotation subject"/>
    <w:basedOn w:val="CommentText"/>
    <w:next w:val="CommentText"/>
    <w:link w:val="CommentSubjectChar"/>
    <w:uiPriority w:val="99"/>
    <w:semiHidden/>
    <w:unhideWhenUsed/>
    <w:rsid w:val="00DF4BA1"/>
    <w:rPr>
      <w:b/>
      <w:bCs/>
    </w:rPr>
  </w:style>
  <w:style w:type="character" w:customStyle="1" w:styleId="CommentSubjectChar">
    <w:name w:val="Comment Subject Char"/>
    <w:basedOn w:val="CommentTextChar"/>
    <w:link w:val="CommentSubject"/>
    <w:uiPriority w:val="99"/>
    <w:semiHidden/>
    <w:rsid w:val="00DF4BA1"/>
    <w:rPr>
      <w:b/>
      <w:bCs/>
      <w:sz w:val="20"/>
      <w:szCs w:val="20"/>
    </w:rPr>
  </w:style>
  <w:style w:type="paragraph" w:styleId="BalloonText">
    <w:name w:val="Balloon Text"/>
    <w:basedOn w:val="Normal"/>
    <w:link w:val="BalloonTextChar"/>
    <w:uiPriority w:val="99"/>
    <w:semiHidden/>
    <w:unhideWhenUsed/>
    <w:rsid w:val="00DF4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BA1"/>
    <w:rPr>
      <w:rFonts w:ascii="Segoe UI" w:hAnsi="Segoe UI" w:cs="Segoe UI"/>
      <w:sz w:val="18"/>
      <w:szCs w:val="18"/>
    </w:rPr>
  </w:style>
  <w:style w:type="character" w:styleId="Hyperlink">
    <w:name w:val="Hyperlink"/>
    <w:basedOn w:val="DefaultParagraphFont"/>
    <w:uiPriority w:val="99"/>
    <w:unhideWhenUsed/>
    <w:rsid w:val="00153B4F"/>
    <w:rPr>
      <w:color w:val="0000FF" w:themeColor="hyperlink"/>
      <w:u w:val="single"/>
    </w:rPr>
  </w:style>
  <w:style w:type="character" w:customStyle="1" w:styleId="UnresolvedMention1">
    <w:name w:val="Unresolved Mention1"/>
    <w:basedOn w:val="DefaultParagraphFont"/>
    <w:uiPriority w:val="99"/>
    <w:semiHidden/>
    <w:unhideWhenUsed/>
    <w:rsid w:val="00153B4F"/>
    <w:rPr>
      <w:color w:val="605E5C"/>
      <w:shd w:val="clear" w:color="auto" w:fill="E1DFDD"/>
    </w:rPr>
  </w:style>
  <w:style w:type="paragraph" w:styleId="EndnoteText">
    <w:name w:val="endnote text"/>
    <w:basedOn w:val="Normal"/>
    <w:link w:val="EndnoteTextChar"/>
    <w:uiPriority w:val="99"/>
    <w:semiHidden/>
    <w:unhideWhenUsed/>
    <w:rsid w:val="007622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274"/>
    <w:rPr>
      <w:sz w:val="20"/>
      <w:szCs w:val="20"/>
    </w:rPr>
  </w:style>
  <w:style w:type="character" w:styleId="EndnoteReference">
    <w:name w:val="endnote reference"/>
    <w:basedOn w:val="DefaultParagraphFont"/>
    <w:uiPriority w:val="99"/>
    <w:semiHidden/>
    <w:unhideWhenUsed/>
    <w:rsid w:val="00762274"/>
    <w:rPr>
      <w:vertAlign w:val="superscript"/>
    </w:rPr>
  </w:style>
  <w:style w:type="paragraph" w:styleId="PlainText">
    <w:name w:val="Plain Text"/>
    <w:basedOn w:val="Normal"/>
    <w:link w:val="PlainTextChar"/>
    <w:uiPriority w:val="99"/>
    <w:unhideWhenUsed/>
    <w:rsid w:val="00F86B4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86B43"/>
    <w:rPr>
      <w:rFonts w:ascii="Consolas" w:eastAsia="Calibri" w:hAnsi="Consolas" w:cs="Times New Roman"/>
      <w:sz w:val="21"/>
      <w:szCs w:val="21"/>
    </w:rPr>
  </w:style>
  <w:style w:type="paragraph" w:styleId="ListParagraph">
    <w:name w:val="List Paragraph"/>
    <w:basedOn w:val="Normal"/>
    <w:uiPriority w:val="34"/>
    <w:qFormat/>
    <w:rsid w:val="00C72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07658">
      <w:bodyDiv w:val="1"/>
      <w:marLeft w:val="0"/>
      <w:marRight w:val="0"/>
      <w:marTop w:val="0"/>
      <w:marBottom w:val="0"/>
      <w:divBdr>
        <w:top w:val="none" w:sz="0" w:space="0" w:color="auto"/>
        <w:left w:val="none" w:sz="0" w:space="0" w:color="auto"/>
        <w:bottom w:val="none" w:sz="0" w:space="0" w:color="auto"/>
        <w:right w:val="none" w:sz="0" w:space="0" w:color="auto"/>
      </w:divBdr>
    </w:div>
    <w:div w:id="1608542464">
      <w:bodyDiv w:val="1"/>
      <w:marLeft w:val="0"/>
      <w:marRight w:val="0"/>
      <w:marTop w:val="0"/>
      <w:marBottom w:val="0"/>
      <w:divBdr>
        <w:top w:val="none" w:sz="0" w:space="0" w:color="auto"/>
        <w:left w:val="none" w:sz="0" w:space="0" w:color="auto"/>
        <w:bottom w:val="none" w:sz="0" w:space="0" w:color="auto"/>
        <w:right w:val="none" w:sz="0" w:space="0" w:color="auto"/>
      </w:divBdr>
    </w:div>
    <w:div w:id="1632399025">
      <w:bodyDiv w:val="1"/>
      <w:marLeft w:val="0"/>
      <w:marRight w:val="0"/>
      <w:marTop w:val="0"/>
      <w:marBottom w:val="0"/>
      <w:divBdr>
        <w:top w:val="none" w:sz="0" w:space="0" w:color="auto"/>
        <w:left w:val="none" w:sz="0" w:space="0" w:color="auto"/>
        <w:bottom w:val="none" w:sz="0" w:space="0" w:color="auto"/>
        <w:right w:val="none" w:sz="0" w:space="0" w:color="auto"/>
      </w:divBdr>
    </w:div>
    <w:div w:id="1678463646">
      <w:bodyDiv w:val="1"/>
      <w:marLeft w:val="0"/>
      <w:marRight w:val="0"/>
      <w:marTop w:val="0"/>
      <w:marBottom w:val="0"/>
      <w:divBdr>
        <w:top w:val="none" w:sz="0" w:space="0" w:color="auto"/>
        <w:left w:val="none" w:sz="0" w:space="0" w:color="auto"/>
        <w:bottom w:val="none" w:sz="0" w:space="0" w:color="auto"/>
        <w:right w:val="none" w:sz="0" w:space="0" w:color="auto"/>
      </w:divBdr>
      <w:divsChild>
        <w:div w:id="173153724">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23DD-9AF1-4914-83F1-B620D854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Kamboj, Amrit K., M.D.</dc:creator>
  <cp:lastModifiedBy>Kamboj, Amrit K., M.D.</cp:lastModifiedBy>
  <cp:revision>4</cp:revision>
  <dcterms:created xsi:type="dcterms:W3CDTF">2021-06-29T20:33:00Z</dcterms:created>
  <dcterms:modified xsi:type="dcterms:W3CDTF">2021-06-30T21:26:00Z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http://www.zotero.org/styles/gastroenterology</vt:lpwstr>
  </property>
  <property fmtid="{D5CDD505-2E9C-101B-9397-08002B2CF9AE}" pid="13" name="Mendeley Recent Style Name 5_1">
    <vt:lpwstr>Gastroenterology</vt:lpwstr>
  </property>
  <property fmtid="{D5CDD505-2E9C-101B-9397-08002B2CF9AE}" pid="14" name="Mendeley Recent Style Id 6_1">
    <vt:lpwstr>http://www.zotero.org/styles/gastrointestinal-endoscopy-clinics-of-north-america</vt:lpwstr>
  </property>
  <property fmtid="{D5CDD505-2E9C-101B-9397-08002B2CF9AE}" pid="15" name="Mendeley Recent Style Name 6_1">
    <vt:lpwstr>Gastrointestinal Endoscopy Clinics of North America</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7ff0cd31-d1e9-30bf-8039-323585605438</vt:lpwstr>
  </property>
  <property fmtid="{D5CDD505-2E9C-101B-9397-08002B2CF9AE}" pid="24" name="Mendeley Citation Style_1">
    <vt:lpwstr>http://www.zotero.org/styles/gastroenterology</vt:lpwstr>
  </property>
</Properties>
</file>