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58704" w14:textId="4908B6EA" w:rsidR="000E0649" w:rsidRDefault="000E0649" w:rsidP="000E0649">
      <w:pPr>
        <w:spacing w:line="480" w:lineRule="auto"/>
        <w:rPr>
          <w:b/>
          <w:bCs/>
          <w:lang w:val="en-AU" w:bidi="he-IL"/>
        </w:rPr>
      </w:pPr>
      <w:r>
        <w:rPr>
          <w:b/>
          <w:bCs/>
          <w:lang w:val="en-AU"/>
        </w:rPr>
        <w:t>Methods</w:t>
      </w:r>
      <w:r w:rsidR="001F7C7E">
        <w:rPr>
          <w:b/>
          <w:bCs/>
          <w:lang w:val="en-AU"/>
        </w:rPr>
        <w:t>.</w:t>
      </w:r>
      <w:r>
        <w:rPr>
          <w:b/>
          <w:bCs/>
          <w:lang w:val="en-AU"/>
        </w:rPr>
        <w:t xml:space="preserve"> </w:t>
      </w:r>
      <w:r w:rsidRPr="00A95A24">
        <w:rPr>
          <w:b/>
          <w:bCs/>
          <w:lang w:val="en-AU"/>
        </w:rPr>
        <w:t>Supplemental Digital Content 1</w:t>
      </w:r>
      <w:r>
        <w:rPr>
          <w:b/>
          <w:bCs/>
          <w:lang w:val="en-AU"/>
        </w:rPr>
        <w:t>: Definition of disease states</w:t>
      </w:r>
    </w:p>
    <w:p w14:paraId="32F991A0" w14:textId="77777777" w:rsidR="000E0649" w:rsidRPr="00A548E3" w:rsidRDefault="000E0649" w:rsidP="000E0649">
      <w:pPr>
        <w:spacing w:line="480" w:lineRule="auto"/>
        <w:jc w:val="center"/>
        <w:rPr>
          <w:b/>
          <w:bCs/>
          <w:lang w:val="en-AU"/>
        </w:rPr>
      </w:pPr>
    </w:p>
    <w:p w14:paraId="2B54738E" w14:textId="455D2B88" w:rsidR="000E0649" w:rsidRDefault="000E0649" w:rsidP="000E0649">
      <w:pPr>
        <w:spacing w:line="480" w:lineRule="auto"/>
        <w:rPr>
          <w:rFonts w:ascii="Calibri" w:eastAsia="Times New Roman" w:hAnsi="Calibri" w:cs="Calibri"/>
          <w:color w:val="000000"/>
          <w:lang w:val="en-AU" w:eastAsia="en-GB" w:bidi="he-IL"/>
        </w:rPr>
      </w:pPr>
      <w:r w:rsidRPr="0014590F">
        <w:rPr>
          <w:rFonts w:ascii="Calibri" w:eastAsia="Times New Roman" w:hAnsi="Calibri" w:cs="Calibri"/>
          <w:b/>
          <w:bCs/>
          <w:color w:val="000000"/>
          <w:lang w:val="en-AU" w:eastAsia="en-GB" w:bidi="he-IL"/>
        </w:rPr>
        <w:t>Neurological disease</w:t>
      </w:r>
      <w:r>
        <w:rPr>
          <w:rFonts w:ascii="Calibri" w:eastAsia="Times New Roman" w:hAnsi="Calibri" w:cs="Calibri"/>
          <w:color w:val="000000"/>
          <w:lang w:val="en-AU" w:eastAsia="en-GB" w:bidi="he-IL"/>
        </w:rPr>
        <w:t>: Parkinson</w:t>
      </w:r>
      <w:r w:rsidR="001F7C7E">
        <w:rPr>
          <w:rFonts w:ascii="Calibri" w:eastAsia="Times New Roman" w:hAnsi="Calibri" w:cs="Calibri"/>
          <w:color w:val="000000"/>
          <w:lang w:val="en-AU" w:eastAsia="en-GB" w:bidi="he-IL"/>
        </w:rPr>
        <w:t>’s</w:t>
      </w:r>
      <w:r>
        <w:rPr>
          <w:rFonts w:ascii="Calibri" w:eastAsia="Times New Roman" w:hAnsi="Calibri" w:cs="Calibri"/>
          <w:color w:val="000000"/>
          <w:lang w:val="en-AU" w:eastAsia="en-GB" w:bidi="he-IL"/>
        </w:rPr>
        <w:t>, myasthenia gravis, autonomic neuropathy, mitochondrial disease or non-</w:t>
      </w:r>
      <w:r w:rsidR="001F7C7E">
        <w:rPr>
          <w:rFonts w:ascii="Calibri" w:eastAsia="Times New Roman" w:hAnsi="Calibri" w:cs="Calibri"/>
          <w:color w:val="000000"/>
          <w:lang w:val="en-AU" w:eastAsia="en-GB" w:bidi="he-IL"/>
        </w:rPr>
        <w:t>diabetes mellitus</w:t>
      </w:r>
      <w:r>
        <w:rPr>
          <w:rFonts w:ascii="Calibri" w:eastAsia="Times New Roman" w:hAnsi="Calibri" w:cs="Calibri"/>
          <w:color w:val="000000"/>
          <w:lang w:val="en-AU" w:eastAsia="en-GB" w:bidi="he-IL"/>
        </w:rPr>
        <w:t xml:space="preserve"> peripheral neuropathy, excluding multiple sclerosis. </w:t>
      </w:r>
    </w:p>
    <w:p w14:paraId="61E1CC8D" w14:textId="77777777" w:rsidR="000E0649" w:rsidRDefault="000E0649" w:rsidP="000E0649">
      <w:pPr>
        <w:spacing w:line="480" w:lineRule="auto"/>
        <w:rPr>
          <w:rFonts w:ascii="Calibri" w:eastAsia="Times New Roman" w:hAnsi="Calibri" w:cs="Calibri"/>
          <w:color w:val="000000"/>
          <w:lang w:val="en-AU" w:eastAsia="en-GB" w:bidi="he-IL"/>
        </w:rPr>
      </w:pPr>
    </w:p>
    <w:p w14:paraId="2E711F61" w14:textId="77777777" w:rsidR="000E0649" w:rsidRDefault="000E0649" w:rsidP="000E0649">
      <w:pPr>
        <w:spacing w:line="480" w:lineRule="auto"/>
        <w:rPr>
          <w:lang w:val="en-AU"/>
        </w:rPr>
      </w:pPr>
      <w:r w:rsidRPr="0014590F">
        <w:rPr>
          <w:b/>
          <w:bCs/>
          <w:lang w:val="en-AU"/>
        </w:rPr>
        <w:t>Diabetes Mellitus</w:t>
      </w:r>
      <w:r>
        <w:rPr>
          <w:lang w:val="en-AU"/>
        </w:rPr>
        <w:t xml:space="preserve">- Type I or II, either insulin treated or with proven disease related end organ damage (peripheral neuropathy, nephropathy, retinopathy or vasculopathy). </w:t>
      </w:r>
    </w:p>
    <w:p w14:paraId="44CDA421" w14:textId="77777777" w:rsidR="000E0649" w:rsidRDefault="000E0649" w:rsidP="000E0649">
      <w:pPr>
        <w:spacing w:line="480" w:lineRule="auto"/>
        <w:rPr>
          <w:lang w:val="en-AU"/>
        </w:rPr>
      </w:pPr>
    </w:p>
    <w:p w14:paraId="201E624D" w14:textId="3A4BE37D" w:rsidR="000E0649" w:rsidRDefault="000E0649" w:rsidP="000E0649">
      <w:pPr>
        <w:spacing w:line="480" w:lineRule="auto"/>
        <w:rPr>
          <w:b/>
          <w:bCs/>
          <w:lang w:val="en-AU"/>
        </w:rPr>
      </w:pPr>
      <w:r>
        <w:rPr>
          <w:b/>
          <w:bCs/>
          <w:lang w:val="en-AU"/>
        </w:rPr>
        <w:t xml:space="preserve">Inflammatory bowel disease </w:t>
      </w:r>
      <w:r w:rsidR="001F7C7E">
        <w:rPr>
          <w:b/>
          <w:bCs/>
          <w:lang w:val="en-AU"/>
        </w:rPr>
        <w:t>-</w:t>
      </w:r>
      <w:r>
        <w:rPr>
          <w:b/>
          <w:bCs/>
          <w:lang w:val="en-AU"/>
        </w:rPr>
        <w:t xml:space="preserve"> </w:t>
      </w:r>
      <w:r w:rsidRPr="00032EB6">
        <w:rPr>
          <w:lang w:val="en-AU"/>
        </w:rPr>
        <w:t xml:space="preserve">Quiescent patients with Crohn’s disease, ulcerative colitis or microscopic colitis with known history of rectal inflammation. Must have colonoscopy/sigmoidoscopy </w:t>
      </w:r>
      <w:r>
        <w:rPr>
          <w:lang w:val="en-AU"/>
        </w:rPr>
        <w:t xml:space="preserve">in the 6 months </w:t>
      </w:r>
      <w:r w:rsidRPr="00032EB6">
        <w:rPr>
          <w:lang w:val="en-AU"/>
        </w:rPr>
        <w:t xml:space="preserve">before </w:t>
      </w:r>
      <w:r>
        <w:rPr>
          <w:lang w:val="en-AU"/>
        </w:rPr>
        <w:t>perception testing to</w:t>
      </w:r>
      <w:r w:rsidRPr="00032EB6">
        <w:rPr>
          <w:lang w:val="en-AU"/>
        </w:rPr>
        <w:t xml:space="preserve"> exclud</w:t>
      </w:r>
      <w:r>
        <w:rPr>
          <w:lang w:val="en-AU"/>
        </w:rPr>
        <w:t>e</w:t>
      </w:r>
      <w:r w:rsidRPr="00032EB6">
        <w:rPr>
          <w:lang w:val="en-AU"/>
        </w:rPr>
        <w:t xml:space="preserve"> active </w:t>
      </w:r>
      <w:r>
        <w:rPr>
          <w:lang w:val="en-AU"/>
        </w:rPr>
        <w:t>rectal inflammation</w:t>
      </w:r>
      <w:r w:rsidRPr="00032EB6">
        <w:rPr>
          <w:lang w:val="en-AU"/>
        </w:rPr>
        <w:t>.</w:t>
      </w:r>
      <w:r>
        <w:rPr>
          <w:b/>
          <w:bCs/>
          <w:lang w:val="en-AU"/>
        </w:rPr>
        <w:t xml:space="preserve">  </w:t>
      </w:r>
    </w:p>
    <w:p w14:paraId="48ADF56B" w14:textId="77777777" w:rsidR="000E0649" w:rsidRDefault="000E0649" w:rsidP="000E0649">
      <w:pPr>
        <w:spacing w:line="480" w:lineRule="auto"/>
        <w:rPr>
          <w:rFonts w:ascii="Calibri" w:eastAsia="Times New Roman" w:hAnsi="Calibri" w:cs="Calibri"/>
          <w:b/>
          <w:bCs/>
          <w:color w:val="000000"/>
          <w:lang w:val="en-AU" w:eastAsia="en-GB" w:bidi="he-IL"/>
        </w:rPr>
      </w:pPr>
    </w:p>
    <w:p w14:paraId="54ACF4B8" w14:textId="4DC01198" w:rsidR="000E0649" w:rsidRPr="006A71B3" w:rsidRDefault="000E0649" w:rsidP="000E0649">
      <w:pPr>
        <w:spacing w:line="480" w:lineRule="auto"/>
        <w:rPr>
          <w:rFonts w:ascii="Calibri" w:eastAsia="Times New Roman" w:hAnsi="Calibri" w:cs="Calibri"/>
          <w:color w:val="000000"/>
          <w:lang w:val="en-AU" w:eastAsia="en-GB" w:bidi="he-IL"/>
        </w:rPr>
      </w:pPr>
      <w:r w:rsidRPr="0014590F">
        <w:rPr>
          <w:rFonts w:ascii="Calibri" w:eastAsia="Times New Roman" w:hAnsi="Calibri" w:cs="Calibri"/>
          <w:b/>
          <w:bCs/>
          <w:color w:val="000000"/>
          <w:lang w:val="en-AU" w:eastAsia="en-GB" w:bidi="he-IL"/>
        </w:rPr>
        <w:t>Connective tissue disease</w:t>
      </w:r>
      <w:r>
        <w:rPr>
          <w:rFonts w:ascii="Calibri" w:eastAsia="Times New Roman" w:hAnsi="Calibri" w:cs="Calibri"/>
          <w:color w:val="000000"/>
          <w:lang w:val="en-AU" w:eastAsia="en-GB" w:bidi="he-IL"/>
        </w:rPr>
        <w:t xml:space="preserve"> </w:t>
      </w:r>
      <w:r w:rsidR="001F7C7E">
        <w:rPr>
          <w:rFonts w:ascii="Calibri" w:eastAsia="Times New Roman" w:hAnsi="Calibri" w:cs="Calibri"/>
          <w:color w:val="000000"/>
          <w:lang w:val="en-AU" w:eastAsia="en-GB" w:bidi="he-IL"/>
        </w:rPr>
        <w:t>-</w:t>
      </w:r>
      <w:r>
        <w:rPr>
          <w:rFonts w:ascii="Calibri" w:eastAsia="Times New Roman" w:hAnsi="Calibri" w:cs="Calibri"/>
          <w:color w:val="000000"/>
          <w:lang w:val="en-AU" w:eastAsia="en-GB" w:bidi="he-IL"/>
        </w:rPr>
        <w:t xml:space="preserve"> scleroderma or mixed connective tissue disease with proven gastrointestinal manifestations (scleroderma-like </w:t>
      </w:r>
      <w:proofErr w:type="spellStart"/>
      <w:r>
        <w:rPr>
          <w:rFonts w:ascii="Calibri" w:eastAsia="Times New Roman" w:hAnsi="Calibri" w:cs="Calibri"/>
          <w:color w:val="000000"/>
          <w:lang w:val="en-AU" w:eastAsia="en-GB" w:bidi="he-IL"/>
        </w:rPr>
        <w:t>esophagus</w:t>
      </w:r>
      <w:proofErr w:type="spellEnd"/>
      <w:r>
        <w:rPr>
          <w:rFonts w:ascii="Calibri" w:eastAsia="Times New Roman" w:hAnsi="Calibri" w:cs="Calibri"/>
          <w:color w:val="000000"/>
          <w:lang w:val="en-AU" w:eastAsia="en-GB" w:bidi="he-IL"/>
        </w:rPr>
        <w:t xml:space="preserve"> or small bowel intestinal overgrowth). </w:t>
      </w:r>
    </w:p>
    <w:p w14:paraId="0A351170" w14:textId="77777777" w:rsidR="000E0649" w:rsidRDefault="000E0649" w:rsidP="000E0649">
      <w:pPr>
        <w:spacing w:line="480" w:lineRule="auto"/>
        <w:rPr>
          <w:lang w:val="en-AU"/>
        </w:rPr>
      </w:pPr>
    </w:p>
    <w:p w14:paraId="30EA99F4" w14:textId="77777777" w:rsidR="000E0649" w:rsidRDefault="000E0649" w:rsidP="000E0649">
      <w:pPr>
        <w:spacing w:line="480" w:lineRule="auto"/>
        <w:rPr>
          <w:lang w:val="en-AU"/>
        </w:rPr>
      </w:pPr>
      <w:r w:rsidRPr="0014590F">
        <w:rPr>
          <w:b/>
          <w:bCs/>
          <w:lang w:val="en-AU" w:bidi="he-IL"/>
        </w:rPr>
        <w:t>Neuromodulators</w:t>
      </w:r>
      <w:r>
        <w:rPr>
          <w:b/>
          <w:bCs/>
          <w:lang w:val="en-AU" w:bidi="he-IL"/>
        </w:rPr>
        <w:t xml:space="preserve"> drugs</w:t>
      </w:r>
      <w:r>
        <w:rPr>
          <w:lang w:val="en-AU" w:bidi="he-IL"/>
        </w:rPr>
        <w:t xml:space="preserve"> – patients treated on a regular basis with medications previously shown to effect gut perception: tricyclic antidepressant (</w:t>
      </w:r>
      <w:r>
        <w:rPr>
          <w:lang w:val="en-AU"/>
        </w:rPr>
        <w:t xml:space="preserve">amitriptyline, imipramine, clomipramine, doxepin, </w:t>
      </w:r>
      <w:proofErr w:type="spellStart"/>
      <w:r>
        <w:rPr>
          <w:lang w:val="en-AU"/>
        </w:rPr>
        <w:t>deptran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 w:bidi="he-IL"/>
        </w:rPr>
        <w:t>prothiadone</w:t>
      </w:r>
      <w:proofErr w:type="spellEnd"/>
      <w:r>
        <w:rPr>
          <w:lang w:val="en-AU" w:bidi="he-IL"/>
        </w:rPr>
        <w:t xml:space="preserve">, </w:t>
      </w:r>
      <w:proofErr w:type="spellStart"/>
      <w:r>
        <w:rPr>
          <w:lang w:val="en-AU" w:bidi="he-IL"/>
        </w:rPr>
        <w:t>dothiadone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 w:bidi="he-IL"/>
        </w:rPr>
        <w:t>trepidine</w:t>
      </w:r>
      <w:proofErr w:type="spellEnd"/>
      <w:r>
        <w:rPr>
          <w:lang w:val="en-AU"/>
        </w:rPr>
        <w:t>)</w:t>
      </w:r>
      <w:r>
        <w:rPr>
          <w:lang w:val="en-AU" w:bidi="he-IL"/>
        </w:rPr>
        <w:t xml:space="preserve">, </w:t>
      </w:r>
      <w:proofErr w:type="spellStart"/>
      <w:r>
        <w:rPr>
          <w:lang w:val="en-AU" w:bidi="he-IL"/>
        </w:rPr>
        <w:t>gabapentoids</w:t>
      </w:r>
      <w:proofErr w:type="spellEnd"/>
      <w:r>
        <w:rPr>
          <w:lang w:val="en-AU" w:bidi="he-IL"/>
        </w:rPr>
        <w:t xml:space="preserve"> (gabapentin, pregabalin), </w:t>
      </w:r>
      <w:proofErr w:type="spellStart"/>
      <w:r>
        <w:rPr>
          <w:lang w:val="en-AU" w:bidi="he-IL"/>
        </w:rPr>
        <w:t>opiod</w:t>
      </w:r>
      <w:proofErr w:type="spellEnd"/>
      <w:r>
        <w:rPr>
          <w:lang w:val="en-AU" w:bidi="he-IL"/>
        </w:rPr>
        <w:t xml:space="preserve"> containing drugs (including codeine, </w:t>
      </w:r>
      <w:proofErr w:type="spellStart"/>
      <w:r>
        <w:rPr>
          <w:lang w:val="en-AU" w:bidi="he-IL"/>
        </w:rPr>
        <w:t>mersyndol</w:t>
      </w:r>
      <w:proofErr w:type="spellEnd"/>
      <w:r>
        <w:rPr>
          <w:lang w:val="en-AU" w:bidi="he-IL"/>
        </w:rPr>
        <w:t>), tramadol or serotonin and noradrenaline reuptake inhibitors (</w:t>
      </w:r>
      <w:r>
        <w:rPr>
          <w:lang w:val="en-AU"/>
        </w:rPr>
        <w:t>venlafaxine</w:t>
      </w:r>
      <w:r>
        <w:rPr>
          <w:lang w:val="en-AU" w:bidi="he-IL"/>
        </w:rPr>
        <w:t xml:space="preserve">, </w:t>
      </w:r>
      <w:r>
        <w:rPr>
          <w:lang w:val="en-AU"/>
        </w:rPr>
        <w:t>desvenlafaxine or duloxetine).</w:t>
      </w:r>
    </w:p>
    <w:p w14:paraId="3320FC2F" w14:textId="77777777" w:rsidR="000E0649" w:rsidRDefault="000E0649" w:rsidP="000E0649">
      <w:pPr>
        <w:spacing w:line="480" w:lineRule="auto"/>
        <w:rPr>
          <w:lang w:val="en-AU"/>
        </w:rPr>
      </w:pPr>
    </w:p>
    <w:p w14:paraId="1377690C" w14:textId="358C9CCA" w:rsidR="000E0649" w:rsidRDefault="000E0649" w:rsidP="000E0649">
      <w:pPr>
        <w:spacing w:line="480" w:lineRule="auto"/>
        <w:rPr>
          <w:lang w:val="en-AU"/>
        </w:rPr>
      </w:pPr>
      <w:r>
        <w:rPr>
          <w:b/>
          <w:bCs/>
          <w:lang w:val="en-AU" w:bidi="he-IL"/>
        </w:rPr>
        <w:lastRenderedPageBreak/>
        <w:t>Non-specific psychiatric m</w:t>
      </w:r>
      <w:r w:rsidRPr="0014590F">
        <w:rPr>
          <w:b/>
          <w:bCs/>
          <w:lang w:val="en-AU" w:bidi="he-IL"/>
        </w:rPr>
        <w:t>edications</w:t>
      </w:r>
      <w:r>
        <w:rPr>
          <w:lang w:val="en-AU" w:bidi="he-IL"/>
        </w:rPr>
        <w:t xml:space="preserve"> </w:t>
      </w:r>
      <w:r w:rsidR="001F7C7E">
        <w:rPr>
          <w:lang w:val="en-AU" w:bidi="he-IL"/>
        </w:rPr>
        <w:t xml:space="preserve">- </w:t>
      </w:r>
      <w:r>
        <w:rPr>
          <w:lang w:val="en-AU" w:bidi="he-IL"/>
        </w:rPr>
        <w:t>patients taking  psychiatric medications with no known effect on gut perception: serotonin or noradrenaline reuptake inhibitors other than above, tetra-cyclic antidepressants, lithium, lamotrigine, quetiapine or m</w:t>
      </w:r>
      <w:r w:rsidRPr="00032EB6">
        <w:rPr>
          <w:lang w:val="en-AU" w:bidi="he-IL"/>
        </w:rPr>
        <w:t>onoamine oxidase inhibitors</w:t>
      </w:r>
      <w:r>
        <w:rPr>
          <w:lang w:val="en-AU" w:bidi="he-IL"/>
        </w:rPr>
        <w:t>.</w:t>
      </w:r>
    </w:p>
    <w:p w14:paraId="6705C042" w14:textId="77777777" w:rsidR="000E0649" w:rsidRDefault="000E0649" w:rsidP="000E0649">
      <w:pPr>
        <w:spacing w:line="480" w:lineRule="auto"/>
        <w:rPr>
          <w:rFonts w:ascii="Calibri" w:eastAsia="Times New Roman" w:hAnsi="Calibri" w:cs="Calibri"/>
          <w:color w:val="000000"/>
          <w:lang w:val="en-AU" w:eastAsia="en-GB" w:bidi="he-IL"/>
        </w:rPr>
      </w:pPr>
    </w:p>
    <w:p w14:paraId="62AD8814" w14:textId="1AC1AB5D" w:rsidR="000E0649" w:rsidRDefault="000E0649" w:rsidP="000E0649">
      <w:pPr>
        <w:spacing w:line="480" w:lineRule="auto"/>
        <w:rPr>
          <w:rFonts w:ascii="Calibri" w:eastAsia="Times New Roman" w:hAnsi="Calibri" w:cs="Calibri"/>
          <w:color w:val="000000"/>
          <w:lang w:val="en-AU" w:eastAsia="en-GB" w:bidi="he-IL"/>
        </w:rPr>
      </w:pPr>
      <w:r w:rsidRPr="0014590F">
        <w:rPr>
          <w:rFonts w:ascii="Calibri" w:eastAsia="Times New Roman" w:hAnsi="Calibri" w:cs="Calibri"/>
          <w:b/>
          <w:bCs/>
          <w:color w:val="000000"/>
          <w:lang w:val="en-AU" w:eastAsia="en-GB" w:bidi="he-IL"/>
        </w:rPr>
        <w:t>Anal surgery</w:t>
      </w:r>
      <w:r>
        <w:rPr>
          <w:rFonts w:ascii="Calibri" w:eastAsia="Times New Roman" w:hAnsi="Calibri" w:cs="Calibri"/>
          <w:color w:val="000000"/>
          <w:lang w:val="en-AU" w:eastAsia="en-GB" w:bidi="he-IL"/>
        </w:rPr>
        <w:t xml:space="preserve"> </w:t>
      </w:r>
      <w:r w:rsidR="001F7C7E">
        <w:rPr>
          <w:rFonts w:ascii="Calibri" w:eastAsia="Times New Roman" w:hAnsi="Calibri" w:cs="Calibri"/>
          <w:color w:val="000000"/>
          <w:lang w:val="en-AU" w:eastAsia="en-GB" w:bidi="he-IL"/>
        </w:rPr>
        <w:t>-</w:t>
      </w:r>
      <w:r>
        <w:rPr>
          <w:rFonts w:ascii="Calibri" w:eastAsia="Times New Roman" w:hAnsi="Calibri" w:cs="Calibri"/>
          <w:color w:val="000000"/>
          <w:lang w:val="en-AU" w:eastAsia="en-GB" w:bidi="he-IL"/>
        </w:rPr>
        <w:t xml:space="preserve"> patients at least 1 year from one of the following surgical procedures: sphincterotomy (for anal fissure), hemorrhoidectomy (surgical only), fistulectomy, Lord’s procedure, anal repair following high grade obstetric associated sphincter injury, i</w:t>
      </w:r>
      <w:r w:rsidRPr="0014590F">
        <w:rPr>
          <w:rFonts w:ascii="Calibri" w:eastAsia="Times New Roman" w:hAnsi="Calibri" w:cs="Calibri"/>
          <w:color w:val="000000"/>
          <w:lang w:val="en-AU" w:eastAsia="en-GB" w:bidi="he-IL"/>
        </w:rPr>
        <w:t>mperforate anus corrected as child</w:t>
      </w:r>
      <w:r>
        <w:rPr>
          <w:rFonts w:ascii="Calibri" w:eastAsia="Times New Roman" w:hAnsi="Calibri" w:cs="Calibri"/>
          <w:color w:val="000000"/>
          <w:lang w:val="en-AU" w:eastAsia="en-GB" w:bidi="he-IL"/>
        </w:rPr>
        <w:t xml:space="preserve"> or </w:t>
      </w:r>
      <w:r w:rsidRPr="0014590F">
        <w:rPr>
          <w:rFonts w:ascii="Calibri" w:eastAsia="Times New Roman" w:hAnsi="Calibri" w:cs="Calibri"/>
          <w:color w:val="000000"/>
          <w:lang w:val="en-AU" w:eastAsia="en-GB" w:bidi="he-IL"/>
        </w:rPr>
        <w:t>anterior overlapping sphincter repair</w:t>
      </w:r>
      <w:r>
        <w:rPr>
          <w:rFonts w:ascii="Calibri" w:eastAsia="Times New Roman" w:hAnsi="Calibri" w:cs="Calibri"/>
          <w:color w:val="000000"/>
          <w:lang w:val="en-AU" w:eastAsia="en-GB" w:bidi="he-IL"/>
        </w:rPr>
        <w:t>.</w:t>
      </w:r>
    </w:p>
    <w:p w14:paraId="364A5AE2" w14:textId="77777777" w:rsidR="000E0649" w:rsidRPr="0014590F" w:rsidRDefault="000E0649" w:rsidP="000E0649">
      <w:pPr>
        <w:spacing w:line="480" w:lineRule="auto"/>
        <w:rPr>
          <w:rFonts w:ascii="Calibri" w:eastAsia="Times New Roman" w:hAnsi="Calibri" w:cs="Calibri"/>
          <w:color w:val="000000"/>
          <w:lang w:val="en-AU" w:eastAsia="en-GB" w:bidi="he-IL"/>
        </w:rPr>
      </w:pPr>
    </w:p>
    <w:p w14:paraId="5D8D4DFE" w14:textId="2E5AB4B6" w:rsidR="000E0649" w:rsidRDefault="000E0649" w:rsidP="000E0649">
      <w:pPr>
        <w:spacing w:line="480" w:lineRule="auto"/>
        <w:rPr>
          <w:rFonts w:ascii="Calibri" w:eastAsia="Times New Roman" w:hAnsi="Calibri" w:cs="Calibri"/>
          <w:color w:val="000000"/>
          <w:lang w:val="en-AU" w:eastAsia="en-GB" w:bidi="he-IL"/>
        </w:rPr>
      </w:pPr>
      <w:r w:rsidRPr="0014590F">
        <w:rPr>
          <w:rFonts w:ascii="Calibri" w:eastAsia="Times New Roman" w:hAnsi="Calibri" w:cs="Calibri"/>
          <w:b/>
          <w:bCs/>
          <w:color w:val="000000"/>
          <w:lang w:val="en-AU" w:eastAsia="en-GB" w:bidi="he-IL"/>
        </w:rPr>
        <w:t>Rectal surgery</w:t>
      </w:r>
      <w:r>
        <w:rPr>
          <w:rFonts w:ascii="Calibri" w:eastAsia="Times New Roman" w:hAnsi="Calibri" w:cs="Calibri"/>
          <w:color w:val="000000"/>
          <w:lang w:val="en-AU" w:eastAsia="en-GB" w:bidi="he-IL"/>
        </w:rPr>
        <w:t xml:space="preserve"> </w:t>
      </w:r>
      <w:r w:rsidR="001F7C7E">
        <w:rPr>
          <w:rFonts w:ascii="Calibri" w:eastAsia="Times New Roman" w:hAnsi="Calibri" w:cs="Calibri"/>
          <w:color w:val="000000"/>
          <w:lang w:val="en-AU" w:eastAsia="en-GB" w:bidi="he-IL"/>
        </w:rPr>
        <w:t>-</w:t>
      </w:r>
      <w:r>
        <w:rPr>
          <w:rFonts w:ascii="Calibri" w:eastAsia="Times New Roman" w:hAnsi="Calibri" w:cs="Calibri"/>
          <w:color w:val="000000"/>
          <w:lang w:val="en-AU" w:eastAsia="en-GB" w:bidi="he-IL"/>
        </w:rPr>
        <w:t xml:space="preserve"> patients at least 1 year </w:t>
      </w:r>
      <w:r w:rsidR="001F7C7E">
        <w:rPr>
          <w:rFonts w:ascii="Calibri" w:eastAsia="Times New Roman" w:hAnsi="Calibri" w:cs="Calibri"/>
          <w:color w:val="000000"/>
          <w:lang w:val="en-AU" w:eastAsia="en-GB" w:bidi="he-IL"/>
        </w:rPr>
        <w:t>from</w:t>
      </w:r>
      <w:r>
        <w:rPr>
          <w:rFonts w:ascii="Calibri" w:eastAsia="Times New Roman" w:hAnsi="Calibri" w:cs="Calibri"/>
          <w:color w:val="000000"/>
          <w:lang w:val="en-AU" w:eastAsia="en-GB" w:bidi="he-IL"/>
        </w:rPr>
        <w:t xml:space="preserve"> one of the following surgical procedures: </w:t>
      </w:r>
      <w:r w:rsidRPr="00A37005">
        <w:rPr>
          <w:rFonts w:ascii="Calibri" w:eastAsia="Times New Roman" w:hAnsi="Calibri" w:cs="Calibri"/>
          <w:color w:val="000000"/>
          <w:lang w:val="en-AU" w:eastAsia="en-GB" w:bidi="he-IL"/>
        </w:rPr>
        <w:t>rectopexy for rectal prolapse</w:t>
      </w:r>
      <w:r>
        <w:rPr>
          <w:rFonts w:ascii="Calibri" w:eastAsia="Times New Roman" w:hAnsi="Calibri" w:cs="Calibri"/>
          <w:color w:val="000000"/>
          <w:lang w:val="en-AU" w:eastAsia="en-GB" w:bidi="he-IL"/>
        </w:rPr>
        <w:t xml:space="preserve">, </w:t>
      </w:r>
      <w:r w:rsidRPr="00A37005">
        <w:rPr>
          <w:rFonts w:ascii="Calibri" w:eastAsia="Times New Roman" w:hAnsi="Calibri" w:cs="Calibri"/>
          <w:color w:val="000000"/>
          <w:lang w:val="en-AU" w:eastAsia="en-GB" w:bidi="he-IL"/>
        </w:rPr>
        <w:t>repair of rectocele</w:t>
      </w:r>
      <w:r>
        <w:rPr>
          <w:rFonts w:ascii="Calibri" w:eastAsia="Times New Roman" w:hAnsi="Calibri" w:cs="Calibri"/>
          <w:color w:val="000000"/>
          <w:lang w:val="en-AU" w:eastAsia="en-GB" w:bidi="he-IL"/>
        </w:rPr>
        <w:t xml:space="preserve">, </w:t>
      </w:r>
      <w:r w:rsidRPr="00A37005">
        <w:rPr>
          <w:rFonts w:ascii="Calibri" w:eastAsia="Times New Roman" w:hAnsi="Calibri" w:cs="Calibri"/>
          <w:color w:val="000000"/>
          <w:lang w:val="en-AU" w:eastAsia="en-GB" w:bidi="he-IL"/>
        </w:rPr>
        <w:t>repair of recto-vaginal fistula</w:t>
      </w:r>
      <w:r>
        <w:rPr>
          <w:rFonts w:ascii="Calibri" w:eastAsia="Times New Roman" w:hAnsi="Calibri" w:cs="Calibri"/>
          <w:color w:val="000000"/>
          <w:lang w:val="en-AU" w:eastAsia="en-GB" w:bidi="he-IL"/>
        </w:rPr>
        <w:t>, rectal resection for solitary rectal ulcer syndrome or st</w:t>
      </w:r>
      <w:r w:rsidRPr="006A71B3">
        <w:rPr>
          <w:rFonts w:ascii="Calibri" w:eastAsia="Times New Roman" w:hAnsi="Calibri" w:cs="Calibri"/>
          <w:color w:val="000000"/>
          <w:lang w:val="en-AU" w:eastAsia="en-GB" w:bidi="he-IL"/>
        </w:rPr>
        <w:t>apled trans</w:t>
      </w:r>
      <w:r>
        <w:rPr>
          <w:rFonts w:ascii="Calibri" w:eastAsia="Times New Roman" w:hAnsi="Calibri" w:cs="Calibri"/>
          <w:color w:val="000000"/>
          <w:lang w:val="en-AU" w:eastAsia="en-GB" w:bidi="he-IL"/>
        </w:rPr>
        <w:t>-</w:t>
      </w:r>
      <w:r w:rsidRPr="006A71B3">
        <w:rPr>
          <w:rFonts w:ascii="Calibri" w:eastAsia="Times New Roman" w:hAnsi="Calibri" w:cs="Calibri"/>
          <w:color w:val="000000"/>
          <w:lang w:val="en-AU" w:eastAsia="en-GB" w:bidi="he-IL"/>
        </w:rPr>
        <w:t>anal rectal resection</w:t>
      </w:r>
      <w:r>
        <w:rPr>
          <w:rFonts w:ascii="Calibri" w:eastAsia="Times New Roman" w:hAnsi="Calibri" w:cs="Calibri"/>
          <w:color w:val="000000"/>
          <w:lang w:val="en-AU" w:eastAsia="en-GB" w:bidi="he-IL"/>
        </w:rPr>
        <w:t>, excluding surgery for rectal cancer (low anterior resection).</w:t>
      </w:r>
    </w:p>
    <w:p w14:paraId="10F5E477" w14:textId="77777777" w:rsidR="000E0649" w:rsidRDefault="000E0649" w:rsidP="000E0649">
      <w:pPr>
        <w:spacing w:line="480" w:lineRule="auto"/>
        <w:rPr>
          <w:rFonts w:ascii="Calibri" w:eastAsia="Times New Roman" w:hAnsi="Calibri" w:cs="Calibri"/>
          <w:color w:val="000000"/>
          <w:lang w:val="en-AU" w:eastAsia="en-GB" w:bidi="he-IL"/>
        </w:rPr>
      </w:pPr>
    </w:p>
    <w:p w14:paraId="444A5EE1" w14:textId="77777777" w:rsidR="000E0649" w:rsidRDefault="000E0649" w:rsidP="000E0649">
      <w:pPr>
        <w:spacing w:line="480" w:lineRule="auto"/>
        <w:rPr>
          <w:rFonts w:ascii="Calibri" w:eastAsia="Times New Roman" w:hAnsi="Calibri" w:cs="Calibri"/>
          <w:color w:val="000000"/>
          <w:lang w:val="en-AU" w:eastAsia="en-GB" w:bidi="he-IL"/>
        </w:rPr>
      </w:pPr>
      <w:r w:rsidRPr="00660E9B">
        <w:rPr>
          <w:rFonts w:ascii="Calibri" w:eastAsia="Times New Roman" w:hAnsi="Calibri" w:cs="Calibri"/>
          <w:b/>
          <w:bCs/>
          <w:color w:val="000000"/>
          <w:lang w:val="en-AU" w:eastAsia="en-GB" w:bidi="he-IL"/>
        </w:rPr>
        <w:t>Colon surgery</w:t>
      </w:r>
      <w:r>
        <w:rPr>
          <w:rFonts w:ascii="Calibri" w:eastAsia="Times New Roman" w:hAnsi="Calibri" w:cs="Calibri"/>
          <w:b/>
          <w:bCs/>
          <w:color w:val="000000"/>
          <w:lang w:val="en-AU" w:eastAsia="en-GB" w:bidi="he-IL"/>
        </w:rPr>
        <w:t xml:space="preserve"> </w:t>
      </w:r>
      <w:r>
        <w:rPr>
          <w:rFonts w:ascii="Calibri" w:eastAsia="Times New Roman" w:hAnsi="Calibri" w:cs="Calibri"/>
          <w:color w:val="000000"/>
          <w:lang w:val="en-AU" w:eastAsia="en-GB" w:bidi="he-IL"/>
        </w:rPr>
        <w:t xml:space="preserve">- patients at least 1 year following a non-rectal segmental colonic resection. </w:t>
      </w:r>
    </w:p>
    <w:p w14:paraId="7426B9AC" w14:textId="77777777" w:rsidR="000E0649" w:rsidRDefault="000E0649" w:rsidP="000E0649">
      <w:pPr>
        <w:spacing w:line="480" w:lineRule="auto"/>
        <w:rPr>
          <w:lang w:val="en-AU" w:bidi="he-IL"/>
        </w:rPr>
      </w:pPr>
    </w:p>
    <w:p w14:paraId="0CADF6D2" w14:textId="32F4451E" w:rsidR="000E0649" w:rsidRDefault="000E0649" w:rsidP="000E0649">
      <w:pPr>
        <w:spacing w:line="480" w:lineRule="auto"/>
        <w:rPr>
          <w:lang w:val="en-AU" w:bidi="he-IL"/>
        </w:rPr>
      </w:pPr>
      <w:r w:rsidRPr="00533645">
        <w:rPr>
          <w:b/>
          <w:bCs/>
          <w:lang w:val="en-AU" w:bidi="he-IL"/>
        </w:rPr>
        <w:t>Pelvic surgery</w:t>
      </w:r>
      <w:r>
        <w:rPr>
          <w:lang w:val="en-AU" w:bidi="he-IL"/>
        </w:rPr>
        <w:t xml:space="preserve"> </w:t>
      </w:r>
      <w:r w:rsidR="001F7C7E">
        <w:rPr>
          <w:lang w:val="en-AU" w:bidi="he-IL"/>
        </w:rPr>
        <w:t xml:space="preserve">- </w:t>
      </w:r>
      <w:r>
        <w:rPr>
          <w:lang w:val="en-AU" w:bidi="he-IL"/>
        </w:rPr>
        <w:t xml:space="preserve">patients at least 1 year from one of the following surgical procedures: bladder and/or urethral repair, pelvic organ prolapse or prostatectomy. </w:t>
      </w:r>
    </w:p>
    <w:p w14:paraId="08E2892B" w14:textId="77777777" w:rsidR="000E0649" w:rsidRDefault="000E0649" w:rsidP="000E0649">
      <w:pPr>
        <w:spacing w:line="480" w:lineRule="auto"/>
        <w:rPr>
          <w:lang w:val="en-AU" w:bidi="he-IL"/>
        </w:rPr>
      </w:pPr>
    </w:p>
    <w:p w14:paraId="75B4F6E8" w14:textId="6329737F" w:rsidR="000E0649" w:rsidRPr="00B07EB9" w:rsidRDefault="000E0649" w:rsidP="000E0649">
      <w:pPr>
        <w:spacing w:line="480" w:lineRule="auto"/>
        <w:rPr>
          <w:lang w:val="en-AU" w:bidi="he-IL"/>
        </w:rPr>
      </w:pPr>
      <w:r w:rsidRPr="00946102">
        <w:rPr>
          <w:b/>
          <w:bCs/>
          <w:lang w:val="en-AU" w:bidi="he-IL"/>
        </w:rPr>
        <w:t>Pelvic radiation</w:t>
      </w:r>
      <w:r w:rsidR="001F7C7E">
        <w:rPr>
          <w:b/>
          <w:bCs/>
          <w:lang w:val="en-AU" w:bidi="he-IL"/>
        </w:rPr>
        <w:t xml:space="preserve"> - </w:t>
      </w:r>
      <w:r>
        <w:rPr>
          <w:b/>
          <w:bCs/>
          <w:lang w:val="en-AU" w:bidi="he-IL"/>
        </w:rPr>
        <w:t xml:space="preserve"> </w:t>
      </w:r>
      <w:r w:rsidRPr="00B07EB9">
        <w:rPr>
          <w:lang w:val="en-AU" w:bidi="he-IL"/>
        </w:rPr>
        <w:t>patients at least 1 year from radiation therapy to the pelvis</w:t>
      </w:r>
      <w:r>
        <w:rPr>
          <w:lang w:val="en-AU" w:bidi="he-IL"/>
        </w:rPr>
        <w:t xml:space="preserve"> for the treatment of the following: </w:t>
      </w:r>
      <w:r w:rsidRPr="00B07EB9">
        <w:rPr>
          <w:lang w:val="en-AU" w:bidi="he-IL"/>
        </w:rPr>
        <w:t xml:space="preserve"> cervical/uterus cancer, ovarian cancer or prostate cancer.</w:t>
      </w:r>
      <w:r>
        <w:rPr>
          <w:lang w:val="en-AU" w:bidi="he-IL"/>
        </w:rPr>
        <w:t xml:space="preserve"> Patients with rectal cancer were excluded. </w:t>
      </w:r>
    </w:p>
    <w:p w14:paraId="3A711CA4" w14:textId="77777777" w:rsidR="000E0649" w:rsidRPr="00946102" w:rsidRDefault="000E0649" w:rsidP="000E0649">
      <w:pPr>
        <w:spacing w:line="480" w:lineRule="auto"/>
        <w:rPr>
          <w:b/>
          <w:bCs/>
          <w:lang w:val="en-AU" w:bidi="he-IL"/>
        </w:rPr>
      </w:pPr>
    </w:p>
    <w:p w14:paraId="20648AE2" w14:textId="30ADD625" w:rsidR="000E0649" w:rsidRPr="00D120B9" w:rsidRDefault="000E0649" w:rsidP="000E0649">
      <w:pPr>
        <w:spacing w:line="480" w:lineRule="auto"/>
        <w:rPr>
          <w:lang w:val="en-AU" w:bidi="he-IL"/>
        </w:rPr>
      </w:pPr>
      <w:r w:rsidRPr="00946102">
        <w:rPr>
          <w:b/>
          <w:bCs/>
          <w:lang w:val="en-AU" w:bidi="he-IL"/>
        </w:rPr>
        <w:lastRenderedPageBreak/>
        <w:t>O</w:t>
      </w:r>
      <w:r>
        <w:rPr>
          <w:b/>
          <w:bCs/>
          <w:lang w:val="en-AU" w:bidi="he-IL"/>
        </w:rPr>
        <w:t>bstetrics associated anal sphincter injury (O</w:t>
      </w:r>
      <w:r w:rsidRPr="00946102">
        <w:rPr>
          <w:b/>
          <w:bCs/>
          <w:lang w:val="en-AU" w:bidi="he-IL"/>
        </w:rPr>
        <w:t>ASI</w:t>
      </w:r>
      <w:r>
        <w:rPr>
          <w:b/>
          <w:bCs/>
          <w:lang w:val="en-AU" w:bidi="he-IL"/>
        </w:rPr>
        <w:t>)</w:t>
      </w:r>
      <w:r w:rsidR="001F7C7E">
        <w:rPr>
          <w:b/>
          <w:bCs/>
          <w:lang w:val="en-AU" w:bidi="he-IL"/>
        </w:rPr>
        <w:t xml:space="preserve"> - </w:t>
      </w:r>
      <w:r w:rsidRPr="00946102">
        <w:rPr>
          <w:b/>
          <w:bCs/>
          <w:lang w:val="en-AU" w:bidi="he-IL"/>
        </w:rPr>
        <w:t xml:space="preserve"> </w:t>
      </w:r>
      <w:r w:rsidRPr="00D120B9">
        <w:rPr>
          <w:lang w:val="en-AU" w:bidi="he-IL"/>
        </w:rPr>
        <w:t xml:space="preserve">patients with </w:t>
      </w:r>
      <w:r>
        <w:rPr>
          <w:lang w:val="en-AU" w:bidi="he-IL"/>
        </w:rPr>
        <w:t>a history of</w:t>
      </w:r>
      <w:r w:rsidRPr="00D120B9">
        <w:rPr>
          <w:lang w:val="en-AU" w:bidi="he-IL"/>
        </w:rPr>
        <w:t xml:space="preserve"> obstetrics associated perineal tear grade 3a </w:t>
      </w:r>
      <w:r>
        <w:rPr>
          <w:lang w:val="en-AU" w:bidi="he-IL"/>
        </w:rPr>
        <w:t>or</w:t>
      </w:r>
      <w:r w:rsidRPr="00D120B9">
        <w:rPr>
          <w:lang w:val="en-AU" w:bidi="he-IL"/>
        </w:rPr>
        <w:t xml:space="preserve"> above. </w:t>
      </w:r>
    </w:p>
    <w:p w14:paraId="4C30C8A2" w14:textId="77777777" w:rsidR="000E0649" w:rsidRPr="00946102" w:rsidRDefault="000E0649" w:rsidP="000E0649">
      <w:pPr>
        <w:spacing w:line="480" w:lineRule="auto"/>
        <w:rPr>
          <w:b/>
          <w:bCs/>
          <w:lang w:val="en-AU" w:bidi="he-IL"/>
        </w:rPr>
      </w:pPr>
    </w:p>
    <w:p w14:paraId="068DC21A" w14:textId="0ED6E577" w:rsidR="000E0649" w:rsidRPr="00D120B9" w:rsidRDefault="000E0649" w:rsidP="000E0649">
      <w:pPr>
        <w:spacing w:line="480" w:lineRule="auto"/>
        <w:rPr>
          <w:lang w:val="en-AU" w:bidi="he-IL"/>
        </w:rPr>
      </w:pPr>
      <w:r w:rsidRPr="00946102">
        <w:rPr>
          <w:b/>
          <w:bCs/>
          <w:lang w:val="en-AU" w:bidi="he-IL"/>
        </w:rPr>
        <w:t>Spinal cord injury/surgery</w:t>
      </w:r>
      <w:r w:rsidR="001F7C7E">
        <w:rPr>
          <w:b/>
          <w:bCs/>
          <w:lang w:val="en-AU" w:bidi="he-IL"/>
        </w:rPr>
        <w:t xml:space="preserve"> - </w:t>
      </w:r>
      <w:r>
        <w:rPr>
          <w:b/>
          <w:bCs/>
          <w:lang w:val="en-AU" w:bidi="he-IL"/>
        </w:rPr>
        <w:t xml:space="preserve"> </w:t>
      </w:r>
      <w:r w:rsidRPr="00D120B9">
        <w:rPr>
          <w:lang w:val="en-AU" w:bidi="he-IL"/>
        </w:rPr>
        <w:t xml:space="preserve">patients with a history of </w:t>
      </w:r>
      <w:r>
        <w:rPr>
          <w:lang w:val="en-AU" w:bidi="he-IL"/>
        </w:rPr>
        <w:t xml:space="preserve">spinal cord trauma or surgery (for various </w:t>
      </w:r>
      <w:proofErr w:type="spellStart"/>
      <w:r>
        <w:rPr>
          <w:lang w:val="en-AU" w:bidi="he-IL"/>
        </w:rPr>
        <w:t>etiologies</w:t>
      </w:r>
      <w:proofErr w:type="spellEnd"/>
      <w:r>
        <w:rPr>
          <w:lang w:val="en-AU" w:bidi="he-IL"/>
        </w:rPr>
        <w:t xml:space="preserve"> including lymphoma, solid cancer, paraganglioma, spinal stenosis or sciatica), transverse myelitis or decompression injury, with resulting cauda equina, incomplete or complete injury as per ASIA classification. At least 6 months from insult. </w:t>
      </w:r>
    </w:p>
    <w:p w14:paraId="5223B616" w14:textId="77777777" w:rsidR="00CD4F53" w:rsidRDefault="001F7C7E"/>
    <w:sectPr w:rsidR="00CD4F53" w:rsidSect="00A001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49"/>
    <w:rsid w:val="000023B0"/>
    <w:rsid w:val="00014BDE"/>
    <w:rsid w:val="00035795"/>
    <w:rsid w:val="00046CAD"/>
    <w:rsid w:val="0004757C"/>
    <w:rsid w:val="000509CF"/>
    <w:rsid w:val="000602F5"/>
    <w:rsid w:val="00062316"/>
    <w:rsid w:val="00067331"/>
    <w:rsid w:val="00076288"/>
    <w:rsid w:val="000A4A15"/>
    <w:rsid w:val="000B0EB0"/>
    <w:rsid w:val="000E0649"/>
    <w:rsid w:val="000F1509"/>
    <w:rsid w:val="000F791F"/>
    <w:rsid w:val="00102C73"/>
    <w:rsid w:val="00106A21"/>
    <w:rsid w:val="00133F6E"/>
    <w:rsid w:val="001352C9"/>
    <w:rsid w:val="0014189A"/>
    <w:rsid w:val="00142657"/>
    <w:rsid w:val="0014449F"/>
    <w:rsid w:val="00155217"/>
    <w:rsid w:val="00155C05"/>
    <w:rsid w:val="00160C4E"/>
    <w:rsid w:val="001669C9"/>
    <w:rsid w:val="00173E94"/>
    <w:rsid w:val="0017589C"/>
    <w:rsid w:val="00180A8F"/>
    <w:rsid w:val="00195018"/>
    <w:rsid w:val="0019728A"/>
    <w:rsid w:val="001A5FCB"/>
    <w:rsid w:val="001B14C7"/>
    <w:rsid w:val="001B7DE5"/>
    <w:rsid w:val="001D0CFB"/>
    <w:rsid w:val="001D52D8"/>
    <w:rsid w:val="001E3704"/>
    <w:rsid w:val="001F11A8"/>
    <w:rsid w:val="001F792B"/>
    <w:rsid w:val="001F7C7E"/>
    <w:rsid w:val="001F7FA3"/>
    <w:rsid w:val="00204F28"/>
    <w:rsid w:val="002054C4"/>
    <w:rsid w:val="002074F8"/>
    <w:rsid w:val="00214CC5"/>
    <w:rsid w:val="00227072"/>
    <w:rsid w:val="002271F7"/>
    <w:rsid w:val="00235D71"/>
    <w:rsid w:val="00240478"/>
    <w:rsid w:val="002437D5"/>
    <w:rsid w:val="00251F2D"/>
    <w:rsid w:val="002547AE"/>
    <w:rsid w:val="00261AA7"/>
    <w:rsid w:val="0026452B"/>
    <w:rsid w:val="002711E2"/>
    <w:rsid w:val="0029388C"/>
    <w:rsid w:val="0029540B"/>
    <w:rsid w:val="00296CFD"/>
    <w:rsid w:val="002A1A69"/>
    <w:rsid w:val="002B296B"/>
    <w:rsid w:val="002C16FD"/>
    <w:rsid w:val="002F7A1C"/>
    <w:rsid w:val="003246C2"/>
    <w:rsid w:val="00335A44"/>
    <w:rsid w:val="003648DE"/>
    <w:rsid w:val="0038016B"/>
    <w:rsid w:val="00383046"/>
    <w:rsid w:val="00385EF2"/>
    <w:rsid w:val="003A2B2A"/>
    <w:rsid w:val="003B2089"/>
    <w:rsid w:val="003D137A"/>
    <w:rsid w:val="003F68DA"/>
    <w:rsid w:val="00417FE3"/>
    <w:rsid w:val="00425700"/>
    <w:rsid w:val="0043170A"/>
    <w:rsid w:val="00435FA8"/>
    <w:rsid w:val="0045123C"/>
    <w:rsid w:val="00453872"/>
    <w:rsid w:val="00474029"/>
    <w:rsid w:val="00481C29"/>
    <w:rsid w:val="00490044"/>
    <w:rsid w:val="00491079"/>
    <w:rsid w:val="0049382A"/>
    <w:rsid w:val="00494472"/>
    <w:rsid w:val="004A7634"/>
    <w:rsid w:val="004C0ECB"/>
    <w:rsid w:val="004E7174"/>
    <w:rsid w:val="00505BE6"/>
    <w:rsid w:val="005273C8"/>
    <w:rsid w:val="00533EFB"/>
    <w:rsid w:val="0053493E"/>
    <w:rsid w:val="005464F0"/>
    <w:rsid w:val="005505A7"/>
    <w:rsid w:val="00554518"/>
    <w:rsid w:val="00574CE0"/>
    <w:rsid w:val="005760D3"/>
    <w:rsid w:val="00576662"/>
    <w:rsid w:val="00577F3B"/>
    <w:rsid w:val="00580C79"/>
    <w:rsid w:val="0058114D"/>
    <w:rsid w:val="00590B82"/>
    <w:rsid w:val="00591FAE"/>
    <w:rsid w:val="00592874"/>
    <w:rsid w:val="005A06EB"/>
    <w:rsid w:val="005A3959"/>
    <w:rsid w:val="005B3934"/>
    <w:rsid w:val="005C097D"/>
    <w:rsid w:val="005D2B44"/>
    <w:rsid w:val="005D4D01"/>
    <w:rsid w:val="005E130C"/>
    <w:rsid w:val="005E239F"/>
    <w:rsid w:val="005E3986"/>
    <w:rsid w:val="005F572F"/>
    <w:rsid w:val="006074D3"/>
    <w:rsid w:val="006145B5"/>
    <w:rsid w:val="00625186"/>
    <w:rsid w:val="0066291D"/>
    <w:rsid w:val="006710A3"/>
    <w:rsid w:val="00673934"/>
    <w:rsid w:val="00680992"/>
    <w:rsid w:val="006942AE"/>
    <w:rsid w:val="0069518E"/>
    <w:rsid w:val="006B25C0"/>
    <w:rsid w:val="006B28D8"/>
    <w:rsid w:val="006B4B70"/>
    <w:rsid w:val="006B7946"/>
    <w:rsid w:val="006C4043"/>
    <w:rsid w:val="006E09F6"/>
    <w:rsid w:val="006E2E1D"/>
    <w:rsid w:val="006F2F7F"/>
    <w:rsid w:val="0075376D"/>
    <w:rsid w:val="007666A1"/>
    <w:rsid w:val="007724B6"/>
    <w:rsid w:val="007770D8"/>
    <w:rsid w:val="00785C24"/>
    <w:rsid w:val="007A05CD"/>
    <w:rsid w:val="007A1FF8"/>
    <w:rsid w:val="007B0678"/>
    <w:rsid w:val="007C38F7"/>
    <w:rsid w:val="007D0F9E"/>
    <w:rsid w:val="007D1DF0"/>
    <w:rsid w:val="00816650"/>
    <w:rsid w:val="00830817"/>
    <w:rsid w:val="00831883"/>
    <w:rsid w:val="008375B0"/>
    <w:rsid w:val="0084539F"/>
    <w:rsid w:val="0086637C"/>
    <w:rsid w:val="00877C07"/>
    <w:rsid w:val="00880955"/>
    <w:rsid w:val="008817FA"/>
    <w:rsid w:val="00881E25"/>
    <w:rsid w:val="008825FA"/>
    <w:rsid w:val="00897522"/>
    <w:rsid w:val="00897D1C"/>
    <w:rsid w:val="008A0C1D"/>
    <w:rsid w:val="008A1502"/>
    <w:rsid w:val="008A7348"/>
    <w:rsid w:val="008B5B38"/>
    <w:rsid w:val="008C35EF"/>
    <w:rsid w:val="008F106E"/>
    <w:rsid w:val="00917039"/>
    <w:rsid w:val="009272B2"/>
    <w:rsid w:val="009507FA"/>
    <w:rsid w:val="009616FA"/>
    <w:rsid w:val="00961CF3"/>
    <w:rsid w:val="00997FB6"/>
    <w:rsid w:val="009A5A12"/>
    <w:rsid w:val="009B3C62"/>
    <w:rsid w:val="009C37F3"/>
    <w:rsid w:val="009D05D9"/>
    <w:rsid w:val="009D166E"/>
    <w:rsid w:val="009D2423"/>
    <w:rsid w:val="009D6181"/>
    <w:rsid w:val="009E46B6"/>
    <w:rsid w:val="009F4B83"/>
    <w:rsid w:val="00A001D4"/>
    <w:rsid w:val="00A117B4"/>
    <w:rsid w:val="00A14408"/>
    <w:rsid w:val="00A1499D"/>
    <w:rsid w:val="00A26D38"/>
    <w:rsid w:val="00A35FA6"/>
    <w:rsid w:val="00A36E15"/>
    <w:rsid w:val="00A7442A"/>
    <w:rsid w:val="00A766CB"/>
    <w:rsid w:val="00A7670C"/>
    <w:rsid w:val="00A91CC0"/>
    <w:rsid w:val="00AB115A"/>
    <w:rsid w:val="00AE1412"/>
    <w:rsid w:val="00AF50B6"/>
    <w:rsid w:val="00B014B4"/>
    <w:rsid w:val="00B057CE"/>
    <w:rsid w:val="00B1153B"/>
    <w:rsid w:val="00B26871"/>
    <w:rsid w:val="00B4459A"/>
    <w:rsid w:val="00B53675"/>
    <w:rsid w:val="00B55D3C"/>
    <w:rsid w:val="00B61B7E"/>
    <w:rsid w:val="00B818BA"/>
    <w:rsid w:val="00B97EC8"/>
    <w:rsid w:val="00BB0205"/>
    <w:rsid w:val="00BB1CAE"/>
    <w:rsid w:val="00BC4BD6"/>
    <w:rsid w:val="00BD41B9"/>
    <w:rsid w:val="00BE1C19"/>
    <w:rsid w:val="00BE320D"/>
    <w:rsid w:val="00BF0E52"/>
    <w:rsid w:val="00C03DAD"/>
    <w:rsid w:val="00C0528A"/>
    <w:rsid w:val="00C07D34"/>
    <w:rsid w:val="00C16B88"/>
    <w:rsid w:val="00C47D7A"/>
    <w:rsid w:val="00C63E28"/>
    <w:rsid w:val="00C767CB"/>
    <w:rsid w:val="00C80A82"/>
    <w:rsid w:val="00CB318A"/>
    <w:rsid w:val="00CE7CE8"/>
    <w:rsid w:val="00CF2A22"/>
    <w:rsid w:val="00CF5255"/>
    <w:rsid w:val="00D13AB0"/>
    <w:rsid w:val="00D24600"/>
    <w:rsid w:val="00D420A0"/>
    <w:rsid w:val="00D44A15"/>
    <w:rsid w:val="00D61B3A"/>
    <w:rsid w:val="00D66774"/>
    <w:rsid w:val="00D82838"/>
    <w:rsid w:val="00D935D9"/>
    <w:rsid w:val="00DA6DB7"/>
    <w:rsid w:val="00DB682E"/>
    <w:rsid w:val="00DD32E7"/>
    <w:rsid w:val="00DE42E8"/>
    <w:rsid w:val="00E02258"/>
    <w:rsid w:val="00E05FA6"/>
    <w:rsid w:val="00E15C8D"/>
    <w:rsid w:val="00E21269"/>
    <w:rsid w:val="00E23FDF"/>
    <w:rsid w:val="00E753F0"/>
    <w:rsid w:val="00E92D58"/>
    <w:rsid w:val="00E9696F"/>
    <w:rsid w:val="00ED0D38"/>
    <w:rsid w:val="00ED1C9D"/>
    <w:rsid w:val="00EE298A"/>
    <w:rsid w:val="00EE5D35"/>
    <w:rsid w:val="00EE7152"/>
    <w:rsid w:val="00EF12E8"/>
    <w:rsid w:val="00F026CA"/>
    <w:rsid w:val="00F05DB5"/>
    <w:rsid w:val="00F07BD1"/>
    <w:rsid w:val="00F15447"/>
    <w:rsid w:val="00F234A8"/>
    <w:rsid w:val="00F2356C"/>
    <w:rsid w:val="00F23845"/>
    <w:rsid w:val="00F37D30"/>
    <w:rsid w:val="00F4554E"/>
    <w:rsid w:val="00F74170"/>
    <w:rsid w:val="00F75745"/>
    <w:rsid w:val="00F82034"/>
    <w:rsid w:val="00F86954"/>
    <w:rsid w:val="00F86F34"/>
    <w:rsid w:val="00FA38DE"/>
    <w:rsid w:val="00F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EE561"/>
  <w14:defaultImageDpi w14:val="32767"/>
  <w15:chartTrackingRefBased/>
  <w15:docId w15:val="{6F9A0832-BB02-5244-8BF9-2F608344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E0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1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Mazor</dc:creator>
  <cp:keywords/>
  <dc:description/>
  <cp:lastModifiedBy>Yoav Mazor</cp:lastModifiedBy>
  <cp:revision>2</cp:revision>
  <dcterms:created xsi:type="dcterms:W3CDTF">2021-03-26T13:59:00Z</dcterms:created>
  <dcterms:modified xsi:type="dcterms:W3CDTF">2021-07-06T22:04:00Z</dcterms:modified>
</cp:coreProperties>
</file>