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57A2" w14:textId="5A9D6CF5" w:rsidR="003D63E2" w:rsidRPr="000639E6" w:rsidRDefault="00D744E8" w:rsidP="003D63E2">
      <w:pPr>
        <w:spacing w:line="480" w:lineRule="auto"/>
        <w:rPr>
          <w:rFonts w:ascii="David" w:hAnsi="David" w:cs="David"/>
          <w:b/>
          <w:bCs/>
          <w:sz w:val="18"/>
          <w:szCs w:val="18"/>
          <w:lang w:val="en-AU"/>
        </w:rPr>
      </w:pPr>
      <w:r>
        <w:rPr>
          <w:rFonts w:ascii="David" w:hAnsi="David" w:cs="David"/>
          <w:b/>
          <w:bCs/>
          <w:sz w:val="18"/>
          <w:szCs w:val="18"/>
        </w:rPr>
        <w:t xml:space="preserve">Table. </w:t>
      </w:r>
      <w:r>
        <w:rPr>
          <w:rFonts w:ascii="David" w:hAnsi="David" w:cs="David" w:hint="cs"/>
          <w:b/>
          <w:bCs/>
          <w:sz w:val="18"/>
          <w:szCs w:val="18"/>
        </w:rPr>
        <w:t>S</w:t>
      </w:r>
      <w:proofErr w:type="spellStart"/>
      <w:r>
        <w:rPr>
          <w:rFonts w:ascii="David" w:hAnsi="David" w:cs="David"/>
          <w:b/>
          <w:bCs/>
          <w:sz w:val="18"/>
          <w:szCs w:val="18"/>
          <w:lang w:val="en-AU" w:bidi="he-IL"/>
        </w:rPr>
        <w:t>upplemental</w:t>
      </w:r>
      <w:proofErr w:type="spellEnd"/>
      <w:r>
        <w:rPr>
          <w:rFonts w:ascii="David" w:hAnsi="David" w:cs="David"/>
          <w:b/>
          <w:bCs/>
          <w:sz w:val="18"/>
          <w:szCs w:val="18"/>
          <w:lang w:val="en-AU" w:bidi="he-IL"/>
        </w:rPr>
        <w:t xml:space="preserve"> Digital Content 13</w:t>
      </w:r>
      <w:r w:rsidR="003D63E2" w:rsidRPr="000639E6">
        <w:rPr>
          <w:rFonts w:ascii="David" w:hAnsi="David" w:cs="David" w:hint="cs"/>
          <w:b/>
          <w:bCs/>
          <w:sz w:val="18"/>
          <w:szCs w:val="18"/>
        </w:rPr>
        <w:t xml:space="preserve">. Disease states and association with </w:t>
      </w:r>
      <w:r w:rsidR="003D63E2">
        <w:rPr>
          <w:rFonts w:ascii="David" w:hAnsi="David" w:cs="David"/>
          <w:b/>
          <w:bCs/>
          <w:sz w:val="18"/>
          <w:szCs w:val="18"/>
        </w:rPr>
        <w:t xml:space="preserve">low </w:t>
      </w:r>
      <w:r w:rsidR="003D63E2" w:rsidRPr="000639E6">
        <w:rPr>
          <w:rFonts w:ascii="David" w:hAnsi="David" w:cs="David" w:hint="cs"/>
          <w:b/>
          <w:bCs/>
          <w:sz w:val="18"/>
          <w:szCs w:val="18"/>
        </w:rPr>
        <w:t xml:space="preserve">rectal </w:t>
      </w:r>
      <w:r w:rsidR="003D63E2">
        <w:rPr>
          <w:rFonts w:ascii="David" w:hAnsi="David" w:cs="David"/>
          <w:b/>
          <w:bCs/>
          <w:sz w:val="18"/>
          <w:szCs w:val="18"/>
        </w:rPr>
        <w:t>perception thresholds</w:t>
      </w:r>
      <w:r w:rsidR="003D63E2" w:rsidRPr="000639E6">
        <w:rPr>
          <w:rFonts w:ascii="David" w:hAnsi="David" w:cs="David" w:hint="cs"/>
          <w:b/>
          <w:bCs/>
          <w:sz w:val="18"/>
          <w:szCs w:val="18"/>
        </w:rPr>
        <w:t xml:space="preserve"> </w:t>
      </w:r>
      <w:r w:rsidR="003D63E2" w:rsidRPr="000639E6">
        <w:rPr>
          <w:rFonts w:ascii="David" w:hAnsi="David" w:cs="David"/>
          <w:b/>
          <w:bCs/>
          <w:sz w:val="18"/>
          <w:szCs w:val="18"/>
        </w:rPr>
        <w:t xml:space="preserve">in female patients </w:t>
      </w:r>
      <w:r w:rsidR="003D63E2" w:rsidRPr="000639E6">
        <w:rPr>
          <w:rFonts w:ascii="David" w:hAnsi="David" w:cs="David" w:hint="cs"/>
          <w:b/>
          <w:bCs/>
          <w:sz w:val="18"/>
          <w:szCs w:val="18"/>
        </w:rPr>
        <w:t>(</w:t>
      </w:r>
      <w:r w:rsidR="003D63E2" w:rsidRPr="000639E6">
        <w:rPr>
          <w:rFonts w:ascii="David" w:hAnsi="David" w:cs="David"/>
          <w:b/>
          <w:bCs/>
          <w:sz w:val="18"/>
          <w:szCs w:val="18"/>
        </w:rPr>
        <w:t>n=1481)</w:t>
      </w:r>
      <w:r w:rsidR="003D63E2">
        <w:rPr>
          <w:rFonts w:ascii="David" w:hAnsi="David" w:cs="David"/>
          <w:b/>
          <w:bCs/>
          <w:sz w:val="18"/>
          <w:szCs w:val="18"/>
        </w:rPr>
        <w:t xml:space="preserve">; N (% of disease state; % of low perception threshold) , </w:t>
      </w:r>
      <w:r w:rsidR="003D63E2">
        <w:rPr>
          <w:rFonts w:ascii="David" w:hAnsi="David" w:cs="David"/>
          <w:b/>
          <w:bCs/>
          <w:sz w:val="18"/>
          <w:szCs w:val="18"/>
          <w:lang w:val="en-AU"/>
        </w:rPr>
        <w:t>u</w:t>
      </w:r>
      <w:r w:rsidR="003D63E2" w:rsidRPr="000639E6">
        <w:rPr>
          <w:rFonts w:ascii="David" w:hAnsi="David" w:cs="David"/>
          <w:b/>
          <w:bCs/>
          <w:sz w:val="18"/>
          <w:szCs w:val="18"/>
          <w:lang w:val="en-AU"/>
        </w:rPr>
        <w:t xml:space="preserve">nivariate and multivariate analysis, data presented as odds ratio (95% </w:t>
      </w:r>
      <w:r w:rsidR="008310D7">
        <w:rPr>
          <w:rFonts w:ascii="David" w:hAnsi="David" w:cs="David"/>
          <w:b/>
          <w:bCs/>
          <w:sz w:val="18"/>
          <w:szCs w:val="18"/>
          <w:lang w:val="en-AU"/>
        </w:rPr>
        <w:t>confidence interval</w:t>
      </w:r>
      <w:r w:rsidR="003D63E2" w:rsidRPr="000639E6">
        <w:rPr>
          <w:rFonts w:ascii="David" w:hAnsi="David" w:cs="David"/>
          <w:b/>
          <w:bCs/>
          <w:sz w:val="18"/>
          <w:szCs w:val="18"/>
          <w:lang w:val="en-AU"/>
        </w:rPr>
        <w:t xml:space="preserve">) with </w:t>
      </w:r>
      <w:r w:rsidR="003D63E2">
        <w:rPr>
          <w:rFonts w:ascii="David" w:hAnsi="David" w:cs="David"/>
          <w:b/>
          <w:bCs/>
          <w:sz w:val="18"/>
          <w:szCs w:val="18"/>
          <w:lang w:val="en-AU"/>
        </w:rPr>
        <w:t>indication of p-value (</w:t>
      </w:r>
      <w:r w:rsidR="008310D7">
        <w:rPr>
          <w:rFonts w:ascii="David" w:hAnsi="David" w:cs="David"/>
          <w:b/>
          <w:bCs/>
          <w:sz w:val="18"/>
          <w:szCs w:val="18"/>
          <w:lang w:val="en-AU"/>
        </w:rPr>
        <w:t>no indication if p</w:t>
      </w:r>
      <w:r w:rsidR="008310D7">
        <w:rPr>
          <w:rFonts w:ascii="David" w:hAnsi="David" w:cs="David"/>
          <w:b/>
          <w:bCs/>
          <w:sz w:val="18"/>
          <w:szCs w:val="18"/>
          <w:lang w:val="en-AU"/>
        </w:rPr>
        <w:sym w:font="Symbol" w:char="F0B3"/>
      </w:r>
      <w:r w:rsidR="003D63E2">
        <w:rPr>
          <w:rFonts w:ascii="David" w:hAnsi="David" w:cs="David"/>
          <w:b/>
          <w:bCs/>
          <w:sz w:val="18"/>
          <w:szCs w:val="18"/>
          <w:lang w:val="en-AU"/>
        </w:rPr>
        <w:t>0.05).</w:t>
      </w:r>
    </w:p>
    <w:tbl>
      <w:tblPr>
        <w:tblStyle w:val="TableGrid"/>
        <w:tblW w:w="16302" w:type="dxa"/>
        <w:tblInd w:w="-1291" w:type="dxa"/>
        <w:tblLayout w:type="fixed"/>
        <w:tblLook w:val="04A0" w:firstRow="1" w:lastRow="0" w:firstColumn="1" w:lastColumn="0" w:noHBand="0" w:noVBand="1"/>
      </w:tblPr>
      <w:tblGrid>
        <w:gridCol w:w="1780"/>
        <w:gridCol w:w="1197"/>
        <w:gridCol w:w="1033"/>
        <w:gridCol w:w="1235"/>
        <w:gridCol w:w="1134"/>
        <w:gridCol w:w="1418"/>
        <w:gridCol w:w="1134"/>
        <w:gridCol w:w="1417"/>
        <w:gridCol w:w="1134"/>
        <w:gridCol w:w="1276"/>
        <w:gridCol w:w="1134"/>
        <w:gridCol w:w="1276"/>
        <w:gridCol w:w="1134"/>
      </w:tblGrid>
      <w:tr w:rsidR="003D63E2" w:rsidRPr="00C94854" w14:paraId="32587B9D" w14:textId="77777777" w:rsidTr="007D4F05">
        <w:trPr>
          <w:cantSplit/>
          <w:trHeight w:val="688"/>
          <w:tblHeader/>
        </w:trPr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C9A4FD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  <w:lang w:val="en-AU"/>
              </w:rPr>
            </w:pPr>
          </w:p>
        </w:tc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B4E2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Low threshold 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to first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perception</w:t>
            </w:r>
          </w:p>
          <w:p w14:paraId="3E8242FA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90/1481 (6%)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0409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Low threshold 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to urge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perception</w:t>
            </w:r>
          </w:p>
          <w:p w14:paraId="6FCBD865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106/1481 (7%)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9833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Low threshold 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to maximal tolerated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perception</w:t>
            </w:r>
          </w:p>
          <w:p w14:paraId="0B6BBDCF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557/1481 (38%)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D662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At least 1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low perception threshold 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(London)</w:t>
            </w:r>
          </w:p>
          <w:p w14:paraId="7D2573C2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597/1481 (40%)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6C82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At least 2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low perception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thresholds</w:t>
            </w:r>
          </w:p>
          <w:p w14:paraId="6AC91838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120/1481 (8%)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301F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Low threshold 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to all three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perceptions</w:t>
            </w:r>
          </w:p>
          <w:p w14:paraId="515E8671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36/1481 (2%)</w:t>
            </w:r>
          </w:p>
        </w:tc>
      </w:tr>
      <w:tr w:rsidR="003D63E2" w:rsidRPr="001C4A11" w14:paraId="1B23D7C9" w14:textId="77777777" w:rsidTr="007D4F05">
        <w:trPr>
          <w:trHeight w:val="475"/>
        </w:trPr>
        <w:tc>
          <w:tcPr>
            <w:tcW w:w="1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AF25B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  <w:lang w:val="en-AU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804900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D6AD3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781B2A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6CD22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E87801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09282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115E64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F0203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DD0534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D8D1D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B3056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9F976" w14:textId="77777777" w:rsidR="003D63E2" w:rsidRPr="008577F7" w:rsidRDefault="003D63E2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</w:tr>
      <w:tr w:rsidR="003D63E2" w:rsidRPr="001C4A11" w14:paraId="057AA310" w14:textId="77777777" w:rsidTr="007D4F05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19FFE4" w14:textId="77777777" w:rsidR="003D63E2" w:rsidRPr="007D4F05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Reason for performing perception testing</w:t>
            </w:r>
          </w:p>
        </w:tc>
      </w:tr>
      <w:tr w:rsidR="003D63E2" w:rsidRPr="001C4A11" w14:paraId="7054D751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CE54B5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Symptoms of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constipation</w:t>
            </w:r>
          </w:p>
          <w:p w14:paraId="229490ED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N=568/1481 (38%)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888A08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 w:bidi="he-IL"/>
              </w:rPr>
            </w:pPr>
            <w:r>
              <w:rPr>
                <w:rFonts w:ascii="David" w:hAnsi="David" w:cs="David"/>
                <w:sz w:val="15"/>
                <w:szCs w:val="15"/>
                <w:lang w:val="en-AU" w:bidi="he-IL"/>
              </w:rPr>
              <w:t>N=26 (29%;5%)</w:t>
            </w:r>
          </w:p>
          <w:p w14:paraId="6C83190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0.64</w:t>
            </w:r>
          </w:p>
          <w:p w14:paraId="7C6343E1" w14:textId="77777777" w:rsidR="003D63E2" w:rsidRPr="00540A5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(0.39-1.02)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7300D2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5975086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N=31 (29%;6%)</w:t>
            </w:r>
          </w:p>
          <w:p w14:paraId="79D0279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0.65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418BB35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(0.42-0.99)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6B97E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0.52*</w:t>
            </w:r>
          </w:p>
          <w:p w14:paraId="65AE379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(0.29-0.94)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797F6D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N=166 (30%;29%)</w:t>
            </w:r>
          </w:p>
          <w:p w14:paraId="4BE6A06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0.55</w:t>
            </w:r>
            <w:r>
              <w:rPr>
                <w:rFonts w:ascii="David" w:hAnsi="David" w:cs="David"/>
                <w:sz w:val="15"/>
                <w:szCs w:val="15"/>
              </w:rPr>
              <w:t>***</w:t>
            </w:r>
          </w:p>
          <w:p w14:paraId="69A37B2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(0.44-0.69)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B7B5A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0.65 **</w:t>
            </w:r>
          </w:p>
          <w:p w14:paraId="05C0632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(0.49-0.87)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0A9357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N=183 (31%;32%)</w:t>
            </w:r>
          </w:p>
          <w:p w14:paraId="367630E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0.57</w:t>
            </w:r>
            <w:r>
              <w:rPr>
                <w:rFonts w:ascii="David" w:hAnsi="David" w:cs="David"/>
                <w:sz w:val="15"/>
                <w:szCs w:val="15"/>
              </w:rPr>
              <w:t>***</w:t>
            </w:r>
          </w:p>
          <w:p w14:paraId="6F3F4A6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(0.46-0.71)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A1784D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0.69*</w:t>
            </w:r>
          </w:p>
          <w:p w14:paraId="234F804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(0.52-0.93)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BF8CD4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N=33 (28%;6%)</w:t>
            </w:r>
          </w:p>
          <w:p w14:paraId="52E8F4F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0.59*</w:t>
            </w:r>
          </w:p>
          <w:p w14:paraId="4E097F9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(0.39-0.89)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70ACF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0.45**</w:t>
            </w:r>
          </w:p>
          <w:p w14:paraId="46A8ECF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(0.26-0.78)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997295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 (19%;1%)</w:t>
            </w:r>
          </w:p>
          <w:p w14:paraId="1719497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0.38*</w:t>
            </w:r>
          </w:p>
          <w:p w14:paraId="40234A4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(0.17-0.87)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E5FBB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0.17**</w:t>
            </w:r>
          </w:p>
          <w:p w14:paraId="25F62E2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(0.05-0.52)</w:t>
            </w:r>
          </w:p>
        </w:tc>
      </w:tr>
      <w:tr w:rsidR="003D63E2" w:rsidRPr="001C4A11" w14:paraId="65C62D9F" w14:textId="77777777" w:rsidTr="007D4F05">
        <w:trPr>
          <w:trHeight w:val="808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54021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Symptoms of fecal incontinence</w:t>
            </w:r>
          </w:p>
          <w:p w14:paraId="6D09F5A5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N=781/1481 (53%)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221BBF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N=56 (62%;7%)</w:t>
            </w:r>
          </w:p>
          <w:p w14:paraId="533501C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1.51</w:t>
            </w:r>
          </w:p>
          <w:p w14:paraId="3391B2E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(0.98-2.35</w:t>
            </w:r>
            <w:r>
              <w:rPr>
                <w:rFonts w:ascii="David" w:hAnsi="David" w:cs="David"/>
                <w:sz w:val="15"/>
                <w:szCs w:val="15"/>
              </w:rPr>
              <w:t>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7788A3E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2.05*</w:t>
            </w:r>
          </w:p>
          <w:p w14:paraId="5003BA6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(1.13-3.71)</w:t>
            </w: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3A13600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N=70 (66%;9%)</w:t>
            </w:r>
          </w:p>
          <w:p w14:paraId="1457DF7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1.81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0A2563F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(1.19-2.76)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783B3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A839F7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N=338 (61%;43%)</w:t>
            </w:r>
          </w:p>
          <w:p w14:paraId="6688875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 w:hint="cs"/>
                <w:sz w:val="15"/>
                <w:szCs w:val="15"/>
              </w:rPr>
              <w:t>1.6</w:t>
            </w:r>
            <w:r w:rsidRPr="001C4A11">
              <w:rPr>
                <w:rFonts w:ascii="David" w:hAnsi="David" w:cs="David"/>
                <w:sz w:val="15"/>
                <w:szCs w:val="15"/>
              </w:rPr>
              <w:t>8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1EBC236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(1.35-2.07)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A67B8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1.63**</w:t>
            </w:r>
          </w:p>
          <w:p w14:paraId="37DEFAA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(1.18-2.24)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043EE5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N=360 (60%;46%)</w:t>
            </w:r>
          </w:p>
          <w:p w14:paraId="491AF5C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 w:hint="cs"/>
                <w:sz w:val="15"/>
                <w:szCs w:val="15"/>
              </w:rPr>
              <w:t>1.</w:t>
            </w:r>
            <w:r w:rsidRPr="001C4A11">
              <w:rPr>
                <w:rFonts w:ascii="David" w:hAnsi="David" w:cs="David"/>
                <w:sz w:val="15"/>
                <w:szCs w:val="15"/>
              </w:rPr>
              <w:t>67</w:t>
            </w:r>
            <w:r>
              <w:rPr>
                <w:rFonts w:ascii="David" w:hAnsi="David" w:cs="David"/>
                <w:sz w:val="15"/>
                <w:szCs w:val="15"/>
              </w:rPr>
              <w:t>***</w:t>
            </w:r>
          </w:p>
          <w:p w14:paraId="2A54281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(1.35-2.06)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92DD2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1.74***</w:t>
            </w:r>
          </w:p>
          <w:p w14:paraId="123C445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(1.26-2.39)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D15B52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N=78 (65%;10%)</w:t>
            </w:r>
          </w:p>
          <w:p w14:paraId="34D3C8A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1.74**</w:t>
            </w:r>
          </w:p>
          <w:p w14:paraId="3BC5719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(1.18-2.57)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A31C7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C88226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N=26 (72%;3%)</w:t>
            </w:r>
          </w:p>
          <w:p w14:paraId="7D9C981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2.38*</w:t>
            </w:r>
          </w:p>
          <w:p w14:paraId="7B839FE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(1.14-4.96)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39AD41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39ED0D9E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D1155C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Assessment following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obstetric injury</w:t>
            </w:r>
          </w:p>
          <w:p w14:paraId="362D5A24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N=260/1481 (18%)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04E7EA5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 w:bidi="he-IL"/>
              </w:rPr>
            </w:pPr>
            <w:r>
              <w:rPr>
                <w:rFonts w:ascii="David" w:hAnsi="David" w:cs="David"/>
                <w:sz w:val="15"/>
                <w:szCs w:val="15"/>
                <w:lang w:val="en-AU" w:bidi="he-IL"/>
              </w:rPr>
              <w:t>N=20 (22%;8%)</w:t>
            </w:r>
          </w:p>
          <w:p w14:paraId="5015446C" w14:textId="77777777" w:rsidR="003D63E2" w:rsidRPr="000A151F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1.37</w:t>
            </w:r>
          </w:p>
          <w:p w14:paraId="5AEECE02" w14:textId="77777777" w:rsidR="003D63E2" w:rsidRPr="000A151F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(0.82-2.29)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661F65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734831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 (14%;6%)</w:t>
            </w:r>
          </w:p>
          <w:p w14:paraId="449592C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0.76</w:t>
            </w:r>
          </w:p>
          <w:p w14:paraId="392D719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(0.43-1.34)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6C047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0.15***</w:t>
            </w:r>
          </w:p>
          <w:p w14:paraId="0DF3920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(0.05-0.39)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435359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N=100 (18%;39%)</w:t>
            </w:r>
          </w:p>
          <w:p w14:paraId="185593A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1.04</w:t>
            </w:r>
          </w:p>
          <w:p w14:paraId="260F726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(0.79-1.38)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A4740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503A9C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N=109 (18%;42%)</w:t>
            </w:r>
          </w:p>
          <w:p w14:paraId="2895E9F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1.08</w:t>
            </w:r>
          </w:p>
          <w:p w14:paraId="1A3DE0D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(0.83-1.42)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E70A0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47835F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N=20 (17%;8%)</w:t>
            </w:r>
          </w:p>
          <w:p w14:paraId="12BAF78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 xml:space="preserve">0.93 </w:t>
            </w:r>
          </w:p>
          <w:p w14:paraId="29B6FC1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(0.57-1.54)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F1D67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0.17***</w:t>
            </w:r>
          </w:p>
          <w:p w14:paraId="37BDAAD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(0.06-0.43)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24EB2B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(17%;2%)</w:t>
            </w:r>
          </w:p>
          <w:p w14:paraId="202B2FC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0.94</w:t>
            </w:r>
          </w:p>
          <w:p w14:paraId="33D4FDE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(0.39-2.28)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1E37A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0.23**</w:t>
            </w:r>
          </w:p>
          <w:p w14:paraId="5B49D13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(0.8-0.68)</w:t>
            </w:r>
          </w:p>
        </w:tc>
      </w:tr>
      <w:tr w:rsidR="003D63E2" w:rsidRPr="001C4A11" w14:paraId="126B295D" w14:textId="77777777" w:rsidTr="007D4F05">
        <w:trPr>
          <w:trHeight w:val="54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3034EC" w14:textId="77777777" w:rsidR="003D63E2" w:rsidRPr="007D4F05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Rome diagnosis</w:t>
            </w:r>
          </w:p>
        </w:tc>
      </w:tr>
      <w:tr w:rsidR="003D63E2" w:rsidRPr="001C4A11" w14:paraId="4A9380B1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E9047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I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rritable bowel syndrome</w:t>
            </w:r>
          </w:p>
          <w:p w14:paraId="1391D62D" w14:textId="77777777" w:rsidR="003D63E2" w:rsidRPr="000A220F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  <w:lang w:val="en-AU" w:bidi="he-IL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N=504/1481 (34%)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5CD242C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 (36%;6%)</w:t>
            </w:r>
          </w:p>
          <w:p w14:paraId="0958C29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1.07</w:t>
            </w:r>
          </w:p>
          <w:p w14:paraId="2D2E86E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(0.68-1.67)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6CF9460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3200175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N=37 (35%;7%)</w:t>
            </w:r>
          </w:p>
          <w:p w14:paraId="488B4EA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1.04</w:t>
            </w:r>
          </w:p>
          <w:p w14:paraId="23560AE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(0.68-1.57)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EE1C4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7BEFAF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N=208 (37%;41%)</w:t>
            </w:r>
          </w:p>
          <w:p w14:paraId="24AF0AF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 w:hint="cs"/>
                <w:sz w:val="15"/>
                <w:szCs w:val="15"/>
              </w:rPr>
              <w:t>1.</w:t>
            </w:r>
            <w:r w:rsidRPr="001C4A11">
              <w:rPr>
                <w:rFonts w:ascii="David" w:hAnsi="David" w:cs="David"/>
                <w:sz w:val="15"/>
                <w:szCs w:val="15"/>
              </w:rPr>
              <w:t>26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6A4527E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(1.00-1.57</w:t>
            </w:r>
            <w:r>
              <w:rPr>
                <w:rFonts w:ascii="David" w:hAnsi="David" w:cs="David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19D31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1.54***</w:t>
            </w:r>
          </w:p>
          <w:p w14:paraId="4BC4F0D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(1.18-2.01)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D57C11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N=224 (38%;44%)</w:t>
            </w:r>
          </w:p>
          <w:p w14:paraId="0A96910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 w:hint="cs"/>
                <w:sz w:val="15"/>
                <w:szCs w:val="15"/>
              </w:rPr>
              <w:t>1.</w:t>
            </w:r>
            <w:r w:rsidRPr="001C4A11">
              <w:rPr>
                <w:rFonts w:ascii="David" w:hAnsi="David" w:cs="David"/>
                <w:sz w:val="15"/>
                <w:szCs w:val="15"/>
              </w:rPr>
              <w:t>29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4D4689F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(1.04-1.60)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626B89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1.54***</w:t>
            </w:r>
          </w:p>
          <w:p w14:paraId="3683809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(1.18-2.01)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DE932F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N=42 (35%;8%)</w:t>
            </w:r>
          </w:p>
          <w:p w14:paraId="26550F3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1.04</w:t>
            </w:r>
          </w:p>
          <w:p w14:paraId="2835709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(0.70-1.54)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2D593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7C4D00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 (31%-2%)</w:t>
            </w:r>
          </w:p>
          <w:p w14:paraId="346D5AB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0.84</w:t>
            </w:r>
          </w:p>
          <w:p w14:paraId="623EAEF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(0.41-1.73)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CC382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5B033D7C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CF38D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C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hronic constipation</w:t>
            </w:r>
          </w:p>
          <w:p w14:paraId="46D81541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N=351/1481  (24%)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6AB43ED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N=17 (19%;5%)</w:t>
            </w:r>
          </w:p>
          <w:p w14:paraId="1FDAE0D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0.74</w:t>
            </w:r>
          </w:p>
          <w:p w14:paraId="2AEFACA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(0.43-1.28)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7BF971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1C1493C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 (24%;7%)</w:t>
            </w:r>
          </w:p>
          <w:p w14:paraId="5C759F7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0.98</w:t>
            </w:r>
          </w:p>
          <w:p w14:paraId="277298B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(0.62-1.57)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59056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C30723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N=114 (21%;33%)</w:t>
            </w:r>
          </w:p>
          <w:p w14:paraId="4999A9B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0.74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27111BF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(0.58-0.96)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69981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BFC4BE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N=120 (20%;34%)</w:t>
            </w:r>
          </w:p>
          <w:p w14:paraId="08F984F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0.71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676E9E3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(0.55-0.91)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B9984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0148B6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N=29 (24%;8%)</w:t>
            </w:r>
          </w:p>
          <w:p w14:paraId="2F34C88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1.02</w:t>
            </w:r>
          </w:p>
          <w:p w14:paraId="16FEDD2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(0.66-1.57)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7637E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44B1E2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 (19%;2%)</w:t>
            </w:r>
          </w:p>
          <w:p w14:paraId="40D1002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0.78</w:t>
            </w:r>
          </w:p>
          <w:p w14:paraId="2CFFE2A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(0.34-1.81)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A6547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62FE6988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5A9963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Functional defecation disorder (symptoms)</w:t>
            </w:r>
          </w:p>
          <w:p w14:paraId="7CBB2E8C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N=745/1481 (50%)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3F5AAE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N=40 (44%;5%)</w:t>
            </w:r>
          </w:p>
          <w:p w14:paraId="72AACF2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0.76</w:t>
            </w:r>
          </w:p>
          <w:p w14:paraId="1DDA574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rtl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(0.49-1.17)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C52EA2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73EEA0B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N=48 (45%;6%)</w:t>
            </w:r>
          </w:p>
          <w:p w14:paraId="249809D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0.79</w:t>
            </w:r>
          </w:p>
          <w:p w14:paraId="77BF091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(0.53-1.17)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CDE00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3191AE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N=272 (49%;37%)</w:t>
            </w:r>
          </w:p>
          <w:p w14:paraId="0529009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0.91</w:t>
            </w:r>
          </w:p>
          <w:p w14:paraId="11081B9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(0.74-1.13</w:t>
            </w:r>
            <w:r>
              <w:rPr>
                <w:rFonts w:ascii="David" w:hAnsi="David" w:cs="David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18147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9D5656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N=292 (49%;39%)</w:t>
            </w:r>
          </w:p>
          <w:p w14:paraId="6A9F1FC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0.91</w:t>
            </w:r>
          </w:p>
          <w:p w14:paraId="759280C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(0.74-1.12)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629B8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1F51FB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N=55 (46%;7%)</w:t>
            </w:r>
          </w:p>
          <w:p w14:paraId="23CDDC7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0.81</w:t>
            </w:r>
          </w:p>
          <w:p w14:paraId="2B8F6AD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(0.56-1.18)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01A67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25D366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(36%;2%)</w:t>
            </w:r>
          </w:p>
          <w:p w14:paraId="3CFD905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0.54</w:t>
            </w:r>
          </w:p>
          <w:p w14:paraId="66985CC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(0.27-1.08)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2B6CE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276F75EF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3717A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Fecal incontinence</w:t>
            </w:r>
          </w:p>
          <w:p w14:paraId="4BC544D0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N=727/1481 (49%)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69EDC43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N=47 (52%;7%)</w:t>
            </w:r>
          </w:p>
          <w:p w14:paraId="618C637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1.14</w:t>
            </w:r>
          </w:p>
          <w:p w14:paraId="61D0BA0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lastRenderedPageBreak/>
              <w:t>(0.74-1.75)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F7C6FD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03DA41E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N=63 (59%;9%)</w:t>
            </w:r>
          </w:p>
          <w:p w14:paraId="671FDFE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1.60</w:t>
            </w:r>
            <w:r>
              <w:rPr>
                <w:rFonts w:ascii="David" w:hAnsi="David" w:cs="David"/>
                <w:sz w:val="15"/>
                <w:szCs w:val="15"/>
              </w:rPr>
              <w:t>***</w:t>
            </w:r>
          </w:p>
          <w:p w14:paraId="4CDCE98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lastRenderedPageBreak/>
              <w:t>(1.06-2.41)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F870C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30B891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N=306 (55%;42%)</w:t>
            </w:r>
          </w:p>
          <w:p w14:paraId="2C97086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1.49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392B2BF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lastRenderedPageBreak/>
              <w:t>(1.20-1.86)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4291E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CE4F9D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N=324 (54%;45%)</w:t>
            </w:r>
          </w:p>
          <w:p w14:paraId="3752085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1.44</w:t>
            </w:r>
            <w:r>
              <w:rPr>
                <w:rFonts w:ascii="David" w:hAnsi="David" w:cs="David"/>
                <w:sz w:val="15"/>
                <w:szCs w:val="15"/>
              </w:rPr>
              <w:t>***</w:t>
            </w:r>
          </w:p>
          <w:p w14:paraId="6117043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lastRenderedPageBreak/>
              <w:t>(1.17-1.78)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0A840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D78FC8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N=68 (57%;9%)</w:t>
            </w:r>
          </w:p>
          <w:p w14:paraId="557BBE8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1.47</w:t>
            </w:r>
          </w:p>
          <w:p w14:paraId="0748F69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(0.99-2.16)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29E05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2914F3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N=24 (67%;3%)</w:t>
            </w:r>
          </w:p>
          <w:p w14:paraId="1B99AFE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2.00</w:t>
            </w:r>
          </w:p>
          <w:p w14:paraId="71FD009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(0.99-4.04)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0D688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3B6D7E8C" w14:textId="77777777" w:rsidTr="007D4F05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0C0D77" w14:textId="77777777" w:rsidR="003D63E2" w:rsidRPr="007D4F05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Background medical condition/ medications</w:t>
            </w:r>
          </w:p>
        </w:tc>
      </w:tr>
      <w:tr w:rsidR="003D63E2" w:rsidRPr="001C4A11" w14:paraId="5C625D61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CA57C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I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nflammatory bowel disease (quiescent)</w:t>
            </w:r>
          </w:p>
          <w:p w14:paraId="7E858413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N=18/1481 (1%)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6328BAD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(4%;22%)</w:t>
            </w:r>
          </w:p>
          <w:p w14:paraId="2C93F61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4.57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4355789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(1.47-14.19)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1014D8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5.14*</w:t>
            </w:r>
          </w:p>
          <w:p w14:paraId="6A08A8E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(1.25-21.18)</w:t>
            </w: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6944BD3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(4%;22%)</w:t>
            </w:r>
          </w:p>
          <w:p w14:paraId="0D1B1D1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3.81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6438448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(1.23-11.79)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AA30A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51984A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(1%;28%)</w:t>
            </w:r>
          </w:p>
          <w:p w14:paraId="1F0302E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0.63</w:t>
            </w:r>
          </w:p>
          <w:p w14:paraId="5192A0D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 xml:space="preserve"> (0.23-1.79</w:t>
            </w:r>
            <w:r>
              <w:rPr>
                <w:rFonts w:ascii="David" w:hAnsi="David" w:cs="David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316B4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FECDFA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 (1%;44%)</w:t>
            </w:r>
          </w:p>
          <w:p w14:paraId="1D4CDC3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1.19</w:t>
            </w:r>
          </w:p>
          <w:p w14:paraId="28A9FBE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(0.47-3.03)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31D4C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EBC22B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(3%;17%)</w:t>
            </w:r>
          </w:p>
          <w:p w14:paraId="528DAE0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2.30</w:t>
            </w:r>
          </w:p>
          <w:p w14:paraId="205B69E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(0.66-8.06)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FA0DA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CEA472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(6%;11%)</w:t>
            </w:r>
          </w:p>
          <w:p w14:paraId="32B8D00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5.25*</w:t>
            </w:r>
          </w:p>
          <w:p w14:paraId="7711781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(1.16-23.75)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397C4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43718468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A53020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Connective tissue disease</w:t>
            </w:r>
          </w:p>
          <w:p w14:paraId="103405F5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N=28/1481 (2%)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6D542A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(5%;14%)</w:t>
            </w:r>
          </w:p>
          <w:p w14:paraId="2E6BA2F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2.65</w:t>
            </w:r>
          </w:p>
          <w:p w14:paraId="7256C4F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(0.89-7.8)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5CE907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60891E8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 (7%;25%)</w:t>
            </w:r>
          </w:p>
          <w:p w14:paraId="076570E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4.56</w:t>
            </w:r>
            <w:r>
              <w:rPr>
                <w:rFonts w:ascii="David" w:hAnsi="David" w:cs="David"/>
                <w:sz w:val="15"/>
                <w:szCs w:val="15"/>
              </w:rPr>
              <w:t>***</w:t>
            </w:r>
          </w:p>
          <w:p w14:paraId="59A8D61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(1.89-10.98)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29DC1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5.13***</w:t>
            </w:r>
          </w:p>
          <w:p w14:paraId="09EE216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(1.91-13.73)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F83156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N=14 (3%;50%)</w:t>
            </w:r>
          </w:p>
          <w:p w14:paraId="32D7D1E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1.68</w:t>
            </w:r>
          </w:p>
          <w:p w14:paraId="1C9B5B9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(0.79-3.54)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1561D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257082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 (3%;64%)</w:t>
            </w:r>
          </w:p>
          <w:p w14:paraId="1FE005C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2.72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704B503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(1.25-5.93)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0C6B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9E41CA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(5%;21%)</w:t>
            </w:r>
          </w:p>
          <w:p w14:paraId="3F2BA85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3.20*</w:t>
            </w:r>
          </w:p>
          <w:p w14:paraId="08E575F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(1.27-8.06)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EB10D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3.82**</w:t>
            </w:r>
          </w:p>
          <w:p w14:paraId="05F2FED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(1.39-10.54)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626A6E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(3%;4%)</w:t>
            </w:r>
          </w:p>
          <w:p w14:paraId="23DD422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1.50</w:t>
            </w:r>
          </w:p>
          <w:p w14:paraId="7A40D83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(0.19-11.36)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B4B43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33589F58" w14:textId="77777777" w:rsidTr="007D4F05">
        <w:trPr>
          <w:trHeight w:val="48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163FE" w14:textId="77F15075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D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iabetes m</w:t>
            </w:r>
            <w:proofErr w:type="spellStart"/>
            <w:r w:rsidR="008310D7">
              <w:rPr>
                <w:rFonts w:ascii="David" w:hAnsi="David" w:cs="David"/>
                <w:b/>
                <w:bCs/>
                <w:sz w:val="15"/>
                <w:szCs w:val="15"/>
                <w:lang w:val="en-AU"/>
              </w:rPr>
              <w:t>ellitu</w:t>
            </w:r>
            <w:proofErr w:type="spellEnd"/>
            <w:r>
              <w:rPr>
                <w:rFonts w:ascii="David" w:hAnsi="David" w:cs="David"/>
                <w:b/>
                <w:bCs/>
                <w:sz w:val="15"/>
                <w:szCs w:val="15"/>
              </w:rPr>
              <w:t>s</w:t>
            </w:r>
          </w:p>
          <w:p w14:paraId="6B95FBC9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N=32/1481 (2%)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73E9393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5545D6A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73491B2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56A4DBB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0D8D452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A2F54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9A8BE9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 (2%;38%)</w:t>
            </w:r>
          </w:p>
          <w:p w14:paraId="49A5B02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0.99</w:t>
            </w:r>
          </w:p>
          <w:p w14:paraId="7463B29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(0.48-2.05)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C63BD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2F1A45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 (2%;38%)</w:t>
            </w:r>
          </w:p>
          <w:p w14:paraId="6B3B125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0.89</w:t>
            </w:r>
          </w:p>
          <w:p w14:paraId="543AB6C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(0.43-1.83)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827B7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7C713D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7B500A5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AAC95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AFBA92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0395627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EF172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1CFEA4A8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E5BAD3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Neurological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disorder</w:t>
            </w:r>
          </w:p>
          <w:p w14:paraId="2D3D11E9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N=13/1481 (1%)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AE4E8A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5ABDC2F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  <w:p w14:paraId="3CEDE42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D55DB1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31C3136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(1%;8%)</w:t>
            </w:r>
          </w:p>
          <w:p w14:paraId="23CBBDD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1.08</w:t>
            </w:r>
          </w:p>
          <w:p w14:paraId="5A3ECB2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(0.14-8.39)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038BA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111574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(1%;47%)</w:t>
            </w:r>
          </w:p>
          <w:p w14:paraId="514D9E2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1.43</w:t>
            </w:r>
          </w:p>
          <w:p w14:paraId="29B803F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(0.48-4.27)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7D32D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5140B3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(1%;46%)</w:t>
            </w:r>
          </w:p>
          <w:p w14:paraId="2D0018A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1.28</w:t>
            </w:r>
          </w:p>
          <w:p w14:paraId="77BE6AF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(0.43-3.80</w:t>
            </w:r>
            <w:r>
              <w:rPr>
                <w:rFonts w:ascii="David" w:hAnsi="David" w:cs="David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19D38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CD4C79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(1%;8%)</w:t>
            </w:r>
          </w:p>
          <w:p w14:paraId="09F90A9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0.94</w:t>
            </w:r>
          </w:p>
          <w:p w14:paraId="3218726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(0.12-7.33)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EA166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569B18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62CD431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94A80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356EC333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F769A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ultiple sclerosis</w:t>
            </w:r>
          </w:p>
          <w:p w14:paraId="3675ED47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N=8/1481 (1%)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651C960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14B4979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  <w:p w14:paraId="6F271CF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A8E3B2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D7FBC0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385C49B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855CD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2471F4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(0.2%;13%)</w:t>
            </w:r>
          </w:p>
          <w:p w14:paraId="5D8901E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0.24</w:t>
            </w:r>
          </w:p>
          <w:p w14:paraId="6C1BADF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(0.29-1.92)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EE113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417F44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(0.2%;13%)</w:t>
            </w:r>
          </w:p>
          <w:p w14:paraId="36040F2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0.21</w:t>
            </w:r>
          </w:p>
          <w:p w14:paraId="54C63B8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(0.03-1.71)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E7C87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E02968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4455D1A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598D7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5953A9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68F49DD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5776A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63D8AC21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344A8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Psychiatric Medications</w:t>
            </w:r>
          </w:p>
          <w:p w14:paraId="30ADC5A9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N=168/1481 (11%)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584BC2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(14%;8%)</w:t>
            </w:r>
          </w:p>
          <w:p w14:paraId="2032591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1.35</w:t>
            </w:r>
          </w:p>
          <w:p w14:paraId="4690A10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(0.73-2.48)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357F0D1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6626335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(12%;8%)</w:t>
            </w:r>
          </w:p>
          <w:p w14:paraId="628CD12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1.10</w:t>
            </w:r>
          </w:p>
          <w:p w14:paraId="4F4157C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(0.60-2.01)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D1627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3BBE5D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N=59 (11%;35%)</w:t>
            </w:r>
          </w:p>
          <w:p w14:paraId="4A6C7AA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0.89</w:t>
            </w:r>
          </w:p>
          <w:p w14:paraId="3EAA894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(0.63-1.23)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61212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C412C5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N=67 (11%;40%)</w:t>
            </w:r>
          </w:p>
          <w:p w14:paraId="2B4E92F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0.98</w:t>
            </w:r>
          </w:p>
          <w:p w14:paraId="00680E2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(0.71-1.36)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F2D50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8E2C9C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N=14 (12%;8%)</w:t>
            </w:r>
          </w:p>
          <w:p w14:paraId="1F64B36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 xml:space="preserve">1.03 </w:t>
            </w:r>
          </w:p>
          <w:p w14:paraId="7543993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(0.58-1.85)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5A87A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5142C3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(11%;2%)</w:t>
            </w:r>
          </w:p>
          <w:p w14:paraId="01F0826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0.98</w:t>
            </w:r>
          </w:p>
          <w:p w14:paraId="02C6CBF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(0.34-2.79)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8C48F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688CCCDA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05638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Gut-specific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neuro-modulatory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medication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s</w:t>
            </w:r>
          </w:p>
          <w:p w14:paraId="470848DB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N=132/1481 (9%)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23DFE15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(3%;2%)</w:t>
            </w:r>
          </w:p>
          <w:p w14:paraId="5ED469A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0.33</w:t>
            </w:r>
          </w:p>
          <w:p w14:paraId="15E6C5A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(0.11-1.08)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138524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78BA699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(6%;5%)</w:t>
            </w:r>
          </w:p>
          <w:p w14:paraId="22722F0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0.59</w:t>
            </w:r>
          </w:p>
          <w:p w14:paraId="118329F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(0.26-1.38)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ECA27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421BDF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N=55 (10%;42%)</w:t>
            </w:r>
          </w:p>
          <w:p w14:paraId="7D81ADF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1.21</w:t>
            </w:r>
          </w:p>
          <w:p w14:paraId="72FC5CA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(0.84-1.73</w:t>
            </w:r>
            <w:r>
              <w:rPr>
                <w:rFonts w:ascii="David" w:hAnsi="David" w:cs="David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7C91F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3F9B73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N=58 (10%;44%)</w:t>
            </w:r>
          </w:p>
          <w:p w14:paraId="1DF54DD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1.18</w:t>
            </w:r>
          </w:p>
          <w:p w14:paraId="66B8A4D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(0.82-1.69)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98EDF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9ED6A4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(5%;5%)</w:t>
            </w:r>
          </w:p>
          <w:p w14:paraId="741402C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0.52</w:t>
            </w:r>
          </w:p>
          <w:p w14:paraId="3EBC9C3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(0.22-1.19)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C0A0F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CEB570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7B759B33" w14:textId="77777777" w:rsidR="003D63E2" w:rsidRPr="007648C0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9CFEB8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79D6C3EE" w14:textId="77777777" w:rsidTr="007D4F05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9BA35B" w14:textId="4DFECD84" w:rsidR="003D63E2" w:rsidRPr="007D4F05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Previous procedures</w:t>
            </w:r>
          </w:p>
        </w:tc>
      </w:tr>
      <w:tr w:rsidR="003D63E2" w:rsidRPr="001C4A11" w14:paraId="49AF549B" w14:textId="77777777" w:rsidTr="007D4F05">
        <w:trPr>
          <w:trHeight w:val="411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774A0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lastRenderedPageBreak/>
              <w:t>Multipara</w:t>
            </w:r>
          </w:p>
          <w:p w14:paraId="67B1FF01" w14:textId="77777777" w:rsidR="003D63E2" w:rsidRPr="00377B74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  <w:lang w:val="en-AU" w:bidi="he-IL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N=1207/1481 (82%)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90C43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N=74 (82%;6%)</w:t>
            </w:r>
          </w:p>
          <w:p w14:paraId="76C57A8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10FA7E7D" w14:textId="77777777" w:rsidR="003D63E2" w:rsidRPr="00DF495A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(0.6-1.8)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74D3352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AC399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N=84 (79%;7%)</w:t>
            </w:r>
          </w:p>
          <w:p w14:paraId="1B2B51D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67EE9C9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(0.5-1.4)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7FA024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364B3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N=465 (84%;39%)</w:t>
            </w:r>
          </w:p>
          <w:p w14:paraId="06EF51C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2620CA8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(0.9-1.6)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306A6A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57B4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N=498 (83%;41%)</w:t>
            </w:r>
          </w:p>
          <w:p w14:paraId="3BC6A49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4EA3FF6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(0.9-1.6)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48908A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1CBA8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N=97 (81%;8%)</w:t>
            </w:r>
          </w:p>
          <w:p w14:paraId="212D26D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5C38A0E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(0.6-1.5)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380EB9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DA285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N=28 (78%;2%)</w:t>
            </w:r>
          </w:p>
          <w:p w14:paraId="634A657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3822D06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(0.4-1.8)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2AA2FC2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1370BD2D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4D973F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Obstetrics associated anal sphincter injury</w:t>
            </w:r>
          </w:p>
          <w:p w14:paraId="49B03D07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N=290/1481 (20%)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09221A0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N=27 (30%;9%)</w:t>
            </w:r>
          </w:p>
          <w:p w14:paraId="7C4D21E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1.84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361AB74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(1.15-2.94)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39F6956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3CDA1F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N=24 (23%;8%)</w:t>
            </w:r>
          </w:p>
          <w:p w14:paraId="42CBB15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1.22</w:t>
            </w:r>
          </w:p>
          <w:p w14:paraId="1B5F0EF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(0.76-1.96)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D70E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3.36**</w:t>
            </w:r>
          </w:p>
          <w:p w14:paraId="6C70DB4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(1.36-8.33)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098333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N=116(21%;40%)</w:t>
            </w:r>
          </w:p>
          <w:p w14:paraId="29F0ABE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1.13</w:t>
            </w:r>
          </w:p>
          <w:p w14:paraId="10FF933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(0.87-1.47)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C0483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69FB45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N=129 (22%;45%)</w:t>
            </w:r>
          </w:p>
          <w:p w14:paraId="17D603D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1.24</w:t>
            </w:r>
          </w:p>
          <w:p w14:paraId="085EE6B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(0.96-1.60)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C6B60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14119E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N=29 (24%;10%)</w:t>
            </w:r>
          </w:p>
          <w:p w14:paraId="498CA9E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1.34</w:t>
            </w:r>
          </w:p>
          <w:p w14:paraId="346013E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(0.87-2.08)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E9970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2.91*</w:t>
            </w:r>
          </w:p>
          <w:p w14:paraId="7054EF1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(1.21-7.01)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566357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(25%;3%)</w:t>
            </w:r>
          </w:p>
          <w:p w14:paraId="3D1E729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1.38</w:t>
            </w:r>
          </w:p>
          <w:p w14:paraId="541F12E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 xml:space="preserve">(0.64-2.97)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25E28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53629E65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16102E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Anal surgery</w:t>
            </w:r>
          </w:p>
          <w:p w14:paraId="5477B4B0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N=95/1481 (6%)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0F5BA71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(10%;10%)</w:t>
            </w:r>
          </w:p>
          <w:p w14:paraId="4A251CE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1.69</w:t>
            </w:r>
          </w:p>
          <w:p w14:paraId="0CD3A39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(0.82-3.47)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E36A1A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00E380E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N=11(10%;12%)</w:t>
            </w:r>
          </w:p>
          <w:p w14:paraId="32D592A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1.78</w:t>
            </w:r>
          </w:p>
          <w:p w14:paraId="466733D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(0.92-3.45)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03C55B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5B0719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N=48 (9%;51%)</w:t>
            </w:r>
          </w:p>
          <w:p w14:paraId="7D03A01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1.76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0F20F3C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(1.16-2.67)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353BA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B3EB3D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N=49 (8%;52%)</w:t>
            </w:r>
          </w:p>
          <w:p w14:paraId="0F85F2E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1.63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20C38F4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(1.07-2.47)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5CAC6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34FA15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N=14 (12%;15%)</w:t>
            </w:r>
          </w:p>
          <w:p w14:paraId="60ECAAD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2.09*</w:t>
            </w:r>
          </w:p>
          <w:p w14:paraId="7262009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(1.14-3.81)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BCC96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987C26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(14%;5%)</w:t>
            </w:r>
          </w:p>
          <w:p w14:paraId="7839833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2.43</w:t>
            </w:r>
          </w:p>
          <w:p w14:paraId="516ADB3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(0.92-6.39)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68ED4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2CFED118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362FC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Spinal cord injury/surge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y</w:t>
            </w:r>
          </w:p>
          <w:p w14:paraId="44D90C4D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N=49/1481 (3%)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55B9CD0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(2%;4%)</w:t>
            </w:r>
          </w:p>
          <w:p w14:paraId="53FA497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0.65</w:t>
            </w:r>
          </w:p>
          <w:p w14:paraId="43E183F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(0.16-2.72)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3D8F9E5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9BAA87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(3%;6%)</w:t>
            </w:r>
          </w:p>
          <w:p w14:paraId="18DD481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0.84</w:t>
            </w:r>
          </w:p>
          <w:p w14:paraId="7C23DEB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(0.26-2.75)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24FBF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0E1E2A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(2%;18%)</w:t>
            </w:r>
          </w:p>
          <w:p w14:paraId="64C110E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0.36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5DB2983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(0.17-0.75)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86E44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CEF5CC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 (2%;20%)</w:t>
            </w:r>
          </w:p>
          <w:p w14:paraId="05C6AC2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0.37</w:t>
            </w:r>
            <w:r>
              <w:rPr>
                <w:rFonts w:ascii="David" w:hAnsi="David" w:cs="David"/>
                <w:sz w:val="15"/>
                <w:szCs w:val="15"/>
              </w:rPr>
              <w:t>**</w:t>
            </w:r>
          </w:p>
          <w:p w14:paraId="31C77C8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(0.18-0.75)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014CD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0.45*</w:t>
            </w:r>
          </w:p>
          <w:p w14:paraId="45EEA3D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(0.21-0.95)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F11062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(3%;6%)</w:t>
            </w:r>
          </w:p>
          <w:p w14:paraId="7B25570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0.73</w:t>
            </w:r>
          </w:p>
          <w:p w14:paraId="6288EAE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(0.22-2.39)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A7A84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FEEC2B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(3%;2%)</w:t>
            </w:r>
          </w:p>
          <w:p w14:paraId="35B1D9E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 xml:space="preserve">0.83 </w:t>
            </w:r>
          </w:p>
          <w:p w14:paraId="0301358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(0.11-6.19)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6F683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636E9C7F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84389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Rectal surgery</w:t>
            </w:r>
          </w:p>
          <w:p w14:paraId="4033B2FD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N=58/1481 (4%)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A66740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(4%;7%)</w:t>
            </w:r>
          </w:p>
          <w:p w14:paraId="677EA58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1.15</w:t>
            </w:r>
          </w:p>
          <w:p w14:paraId="00A2377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(0.41-3.25)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6A35B16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28E2D37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(3%;5%)</w:t>
            </w:r>
          </w:p>
          <w:p w14:paraId="20D68F5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0.70</w:t>
            </w:r>
          </w:p>
          <w:p w14:paraId="6246992E" w14:textId="77777777" w:rsidR="003D63E2" w:rsidRPr="00AE55B3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(0.21-2.27)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6F74F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3E7203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 (3%;31%)</w:t>
            </w:r>
          </w:p>
          <w:p w14:paraId="64CBBAD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0.74</w:t>
            </w:r>
          </w:p>
          <w:p w14:paraId="76CABFC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(0.42-1.30)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2C766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3C66AE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N=20 (3%;35%)</w:t>
            </w:r>
          </w:p>
          <w:p w14:paraId="7DFF65C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 xml:space="preserve">0.77 </w:t>
            </w:r>
          </w:p>
          <w:p w14:paraId="49F0389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(0.44-1.33)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B6F23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876CBC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(3%;5%)</w:t>
            </w:r>
          </w:p>
          <w:p w14:paraId="1075243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0.61</w:t>
            </w:r>
          </w:p>
          <w:p w14:paraId="78FAC99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(0.19-1.98)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14728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379B82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(6%;3%)</w:t>
            </w:r>
          </w:p>
          <w:p w14:paraId="7F9B4CB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1.46</w:t>
            </w:r>
          </w:p>
          <w:p w14:paraId="03DC104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(0.34-6.23)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696C5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678D7F23" w14:textId="77777777" w:rsidTr="007D4F05">
        <w:trPr>
          <w:trHeight w:val="58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76B23E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Colon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(non-rectal)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surgery</w:t>
            </w:r>
          </w:p>
          <w:p w14:paraId="55A0C2E6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N=27/1481 (2%)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361CB3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(1%;4%)</w:t>
            </w:r>
          </w:p>
          <w:p w14:paraId="29BEF3A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 xml:space="preserve">0.59 </w:t>
            </w:r>
          </w:p>
          <w:p w14:paraId="1D94FC6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(0.08-4.39)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77A37C2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55DF506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(4%;15%)</w:t>
            </w:r>
          </w:p>
          <w:p w14:paraId="731CE7C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2.31</w:t>
            </w:r>
          </w:p>
          <w:p w14:paraId="36F454A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(0.78-6.79)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6117B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5D86B8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(2%;33%)</w:t>
            </w:r>
          </w:p>
          <w:p w14:paraId="3AA2DB6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0.83</w:t>
            </w:r>
          </w:p>
          <w:p w14:paraId="14C8272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(0.37-1.85)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93057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C45A18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 (2%;37%)</w:t>
            </w:r>
          </w:p>
          <w:p w14:paraId="4653EA6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0.87</w:t>
            </w:r>
          </w:p>
          <w:p w14:paraId="1C544A3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(0.39-1.91)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AFB67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7F7933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(3%;15%)</w:t>
            </w:r>
          </w:p>
          <w:p w14:paraId="2FD7E10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2.01</w:t>
            </w:r>
          </w:p>
          <w:p w14:paraId="07E1866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(0.68-5.89)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E706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35B7F8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483842F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6E17A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333BA3B9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34106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Hysterectomy</w:t>
            </w:r>
          </w:p>
          <w:p w14:paraId="26F25ED2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N=297/1481 (20%)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B2C576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(14%;4%)</w:t>
            </w:r>
          </w:p>
          <w:p w14:paraId="2F21342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0.66</w:t>
            </w:r>
          </w:p>
          <w:p w14:paraId="27DB799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(0.36-1.19)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9D373A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3008046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 (24%;8%)</w:t>
            </w:r>
          </w:p>
          <w:p w14:paraId="3E9D317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1.25</w:t>
            </w:r>
          </w:p>
          <w:p w14:paraId="2F7E8FF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(0.78-1.99)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6607B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1.99*</w:t>
            </w:r>
          </w:p>
          <w:p w14:paraId="5642E38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(1.09-3.64)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F1F890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N=113 (20%;38%)</w:t>
            </w:r>
          </w:p>
          <w:p w14:paraId="57D8F3B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1.02</w:t>
            </w:r>
          </w:p>
          <w:p w14:paraId="3909837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(0.79-1.33)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59F4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BBD783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N=116 (19%;39%)</w:t>
            </w:r>
          </w:p>
          <w:p w14:paraId="4EB87EC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0.93</w:t>
            </w:r>
          </w:p>
          <w:p w14:paraId="16E4CB7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(0.72-1.21)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5DB9D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0B0513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N=27 (23%;9%)</w:t>
            </w:r>
          </w:p>
          <w:p w14:paraId="472977F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1.17</w:t>
            </w:r>
          </w:p>
          <w:p w14:paraId="1CEBFA4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(0.75-1.83)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EE1EF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2.06*</w:t>
            </w:r>
          </w:p>
          <w:p w14:paraId="012685A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(1.16-3.67)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DE3348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 (22%;3%)</w:t>
            </w:r>
          </w:p>
          <w:p w14:paraId="50633AD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1.14</w:t>
            </w:r>
          </w:p>
          <w:p w14:paraId="09D4616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(0.51-2.53)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AA9C5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7296C947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04B0F3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Pelvic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(non-rectal) 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surgery</w:t>
            </w:r>
          </w:p>
          <w:p w14:paraId="59050B5B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N=231/1481 (16%)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1917AE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(10%;4%)</w:t>
            </w:r>
          </w:p>
          <w:p w14:paraId="352599E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0.59</w:t>
            </w:r>
          </w:p>
          <w:p w14:paraId="7E8E41E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(0.29-1.18)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3282447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A890FC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 (11%;5%)</w:t>
            </w:r>
          </w:p>
          <w:p w14:paraId="072E0B0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0.67</w:t>
            </w:r>
          </w:p>
          <w:p w14:paraId="0C69A99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(0.36-1.25)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9BD97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1F2EC1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N=95 (17%;41%)</w:t>
            </w:r>
          </w:p>
          <w:p w14:paraId="2F5744B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1.19</w:t>
            </w:r>
          </w:p>
          <w:p w14:paraId="41F3A93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(0.89-1.59)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B0B96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05C5139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N=98 (16%;42%)</w:t>
            </w:r>
          </w:p>
          <w:p w14:paraId="748C33C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1.11</w:t>
            </w:r>
          </w:p>
          <w:p w14:paraId="41AC646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(0.83-1.47)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94223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6F1D30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(11%;6%)</w:t>
            </w:r>
          </w:p>
          <w:p w14:paraId="06388F3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0.64</w:t>
            </w:r>
          </w:p>
          <w:p w14:paraId="42DB70F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(0.35-1.15)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88DBB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860DEB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(14%;2%)</w:t>
            </w:r>
          </w:p>
          <w:p w14:paraId="174D861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0.87</w:t>
            </w:r>
          </w:p>
          <w:p w14:paraId="141D4E1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(0.33-2.26)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496AE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26BB7D71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48CD3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lastRenderedPageBreak/>
              <w:t>Pelvic radiation</w:t>
            </w:r>
          </w:p>
          <w:p w14:paraId="328B4103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N=12/1481 (1%)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2349D91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(1%;8%)</w:t>
            </w:r>
          </w:p>
          <w:p w14:paraId="63195E3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1.41</w:t>
            </w:r>
          </w:p>
          <w:p w14:paraId="5F40DD5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(0.18-11.04)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6783FA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5E2DC1F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(2%;17%)</w:t>
            </w:r>
          </w:p>
          <w:p w14:paraId="1C77806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2.63</w:t>
            </w:r>
          </w:p>
          <w:p w14:paraId="2F855DB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(0.57-12.12)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69D43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8FFBA9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(2%;75%)</w:t>
            </w:r>
          </w:p>
          <w:p w14:paraId="45A626E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5.04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122FED1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(1.36-18.70)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A6B45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4.09*</w:t>
            </w:r>
          </w:p>
          <w:p w14:paraId="3D62320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(1.06-15.78)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7B26BD2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(2%;75%)</w:t>
            </w:r>
          </w:p>
          <w:p w14:paraId="1833E70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4.49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1A339BB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(1.21-16.67)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E8911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D131D9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(2%;17%)</w:t>
            </w:r>
          </w:p>
          <w:p w14:paraId="0163C5F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2.29</w:t>
            </w:r>
          </w:p>
          <w:p w14:paraId="6BAF25F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(0.49-10.57)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516C2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3ADC76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(3%;8%)</w:t>
            </w:r>
          </w:p>
          <w:p w14:paraId="3CC710E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3.72</w:t>
            </w:r>
          </w:p>
          <w:p w14:paraId="3BE07C5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(0.47-29.64)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0F945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7648C0" w14:paraId="759C871D" w14:textId="77777777" w:rsidTr="007D4F05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C820BC" w14:textId="3853834F" w:rsidR="003D63E2" w:rsidRPr="007D4F05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Mood disorder</w:t>
            </w:r>
            <w:r w:rsidR="007D4F05" w:rsidRPr="007D4F05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– hospital anxiety and depression (HAD)</w:t>
            </w:r>
          </w:p>
        </w:tc>
      </w:tr>
      <w:tr w:rsidR="003D63E2" w:rsidRPr="001C4A11" w14:paraId="49B7EB27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853EF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HAD depression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abnormal (&gt;7)</w:t>
            </w:r>
          </w:p>
          <w:p w14:paraId="21B8ADB3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N=235/1481 (16%)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44EC768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(10%;4%)</w:t>
            </w:r>
          </w:p>
          <w:p w14:paraId="3E8B21D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 xml:space="preserve">0.56 </w:t>
            </w:r>
          </w:p>
          <w:p w14:paraId="7A9DC29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(0.28-1.15)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13F0F5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0.19**</w:t>
            </w:r>
          </w:p>
          <w:p w14:paraId="3B3D745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(0.06-0.59)</w:t>
            </w: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3FA6379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N=14 (13%;6%)</w:t>
            </w:r>
          </w:p>
          <w:p w14:paraId="66AF052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0.81</w:t>
            </w:r>
          </w:p>
          <w:p w14:paraId="6365819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(0.45-1.45)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2917D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B85078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N=92 (17%;39%)</w:t>
            </w:r>
          </w:p>
          <w:p w14:paraId="697E66C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1.08</w:t>
            </w:r>
          </w:p>
          <w:p w14:paraId="313A156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(0.81-1.44)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539E8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EF49A6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N=98 (16%;42%)</w:t>
            </w:r>
          </w:p>
          <w:p w14:paraId="18D4053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1.06</w:t>
            </w:r>
          </w:p>
          <w:p w14:paraId="18D9A1E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(0.80-1.41)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24928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61611B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 (13%;6%)</w:t>
            </w:r>
          </w:p>
          <w:p w14:paraId="57B1AC9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0.75</w:t>
            </w:r>
          </w:p>
          <w:p w14:paraId="5637B96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(0.43-1.31)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D1AC3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0C8B27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(6%;1%)</w:t>
            </w:r>
          </w:p>
          <w:p w14:paraId="1E735C1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0.31</w:t>
            </w:r>
          </w:p>
          <w:p w14:paraId="4A9FD40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(0.07-1.30)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9651A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0.21*</w:t>
            </w:r>
          </w:p>
          <w:p w14:paraId="51C6911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(0.04-0.98)</w:t>
            </w:r>
          </w:p>
        </w:tc>
      </w:tr>
      <w:tr w:rsidR="003D63E2" w:rsidRPr="001C4A11" w14:paraId="70236631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C516ED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HAD- anxiety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abnormal (&gt;7)</w:t>
            </w:r>
          </w:p>
          <w:p w14:paraId="370D612F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N=501/1481 (34%)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7560EC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N=34 (38%;7%)</w:t>
            </w:r>
          </w:p>
          <w:p w14:paraId="5B82E0A8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1.19</w:t>
            </w:r>
          </w:p>
          <w:p w14:paraId="46F1757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rtl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(0.77-1.87)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3834D17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5D549DA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N=40 (38%;8%)</w:t>
            </w:r>
          </w:p>
          <w:p w14:paraId="12308D8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1.20</w:t>
            </w:r>
          </w:p>
          <w:p w14:paraId="6BB110B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(0.79-1.82)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DAEC3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3A4A23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N=195 (35%;39%)</w:t>
            </w:r>
          </w:p>
          <w:p w14:paraId="7DF0069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1.10</w:t>
            </w:r>
          </w:p>
          <w:p w14:paraId="7C392A2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(0.88-1.38)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1280E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8E8891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N=207 (35%;41%)</w:t>
            </w:r>
          </w:p>
          <w:p w14:paraId="4BE1244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1.08</w:t>
            </w:r>
          </w:p>
          <w:p w14:paraId="1738C21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(0.86-1.34)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7A6BC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E84B9E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N=70 (58%;8%)</w:t>
            </w:r>
          </w:p>
          <w:p w14:paraId="34DDD22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1.23</w:t>
            </w:r>
          </w:p>
          <w:p w14:paraId="3CD4E5B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(0.83-1.82)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D370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4B5056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 (50%;2%)</w:t>
            </w:r>
          </w:p>
          <w:p w14:paraId="1F9DE01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1.66</w:t>
            </w:r>
          </w:p>
          <w:p w14:paraId="06A9D23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(0.84-3.28)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F2E40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3A83B52F" w14:textId="77777777" w:rsidTr="007D4F05">
        <w:trPr>
          <w:trHeight w:val="54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144ABB" w14:textId="77777777" w:rsidR="003D63E2" w:rsidRPr="007D4F05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Anorectal manometry physiology testing</w:t>
            </w:r>
          </w:p>
        </w:tc>
      </w:tr>
      <w:tr w:rsidR="003D63E2" w:rsidRPr="001C4A11" w14:paraId="4DB35A5C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CAB053" w14:textId="77777777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Paradoxical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anal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contraction on push</w:t>
            </w:r>
          </w:p>
          <w:p w14:paraId="1FDB61B5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N=977/1481 (66%)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3E40126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N=65 (72%;7%)</w:t>
            </w:r>
          </w:p>
          <w:p w14:paraId="3B0ED55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1.36</w:t>
            </w:r>
          </w:p>
          <w:p w14:paraId="431BD90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(0.85-2.19)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E61BAA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1.81*</w:t>
            </w:r>
          </w:p>
          <w:p w14:paraId="2641B19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(1.05-3.10)</w:t>
            </w: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145E3E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N=66 (62%;7%)</w:t>
            </w:r>
          </w:p>
          <w:p w14:paraId="3145527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0.84</w:t>
            </w:r>
          </w:p>
          <w:p w14:paraId="4B7A4E0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(0.56-1.26)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0FC9AB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EB8734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N=364 (66%;37%)</w:t>
            </w:r>
          </w:p>
          <w:p w14:paraId="752B093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0.95</w:t>
            </w:r>
          </w:p>
          <w:p w14:paraId="0F0D531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(0.76-1.19)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3906DA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FC891D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N=397 (67%;41%)</w:t>
            </w:r>
          </w:p>
          <w:p w14:paraId="2C8FCB3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1.04</w:t>
            </w:r>
          </w:p>
          <w:p w14:paraId="2374866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(0.83-1.29)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53F8F3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882679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N=73 (61%;8%)</w:t>
            </w:r>
          </w:p>
          <w:p w14:paraId="1DCC88C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0.78</w:t>
            </w:r>
          </w:p>
          <w:p w14:paraId="4AA84FB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(0.53-1.15)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06673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EB24CA6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 (69%;3%)</w:t>
            </w:r>
          </w:p>
          <w:p w14:paraId="0933417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1.17</w:t>
            </w:r>
          </w:p>
          <w:p w14:paraId="0E633EC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(0.57-2.41)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6D571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237652E8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9E540F" w14:textId="0D33CAD2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Unable to expel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rectal balloon (&gt;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 20 sec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)</w:t>
            </w:r>
          </w:p>
          <w:p w14:paraId="790BBF14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N=481/1481 (33%)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52AE576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 (36%;7%)</w:t>
            </w:r>
          </w:p>
          <w:p w14:paraId="055AFA7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1.15</w:t>
            </w:r>
          </w:p>
          <w:p w14:paraId="0E481D2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(0.74-1.81)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7F92F3D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43A0C84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N=26 (25%;5%)</w:t>
            </w:r>
          </w:p>
          <w:p w14:paraId="0A2F6751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0.67</w:t>
            </w:r>
          </w:p>
          <w:p w14:paraId="579B5203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(0.42-1.06)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A610C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0.54*</w:t>
            </w:r>
          </w:p>
          <w:p w14:paraId="09DEC4B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(0.31-0.93)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22E58B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N=161 (29%;34%)</w:t>
            </w:r>
          </w:p>
          <w:p w14:paraId="070DEDA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0.76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3C61CCB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(0.61-0.96)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F88904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0.73*</w:t>
            </w:r>
          </w:p>
          <w:p w14:paraId="6FAD18D2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(0.56-0.95)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E9E1D3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N=177 (30%;37%)</w:t>
            </w:r>
          </w:p>
          <w:p w14:paraId="72D464D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0.80</w:t>
            </w:r>
          </w:p>
          <w:p w14:paraId="592D17A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(0.64-1.00)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F0EDE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2E2C1E2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N=34 (28%;7%)</w:t>
            </w:r>
          </w:p>
          <w:p w14:paraId="5034B937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0.82</w:t>
            </w:r>
          </w:p>
          <w:p w14:paraId="11B26314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(0.54-1.24)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38FB68F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B5B399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 (22%;2%)</w:t>
            </w:r>
          </w:p>
          <w:p w14:paraId="35BCD45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0.58</w:t>
            </w:r>
          </w:p>
          <w:p w14:paraId="282B8EFC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(0.26-1.27)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1930EA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D63E2" w:rsidRPr="001C4A11" w14:paraId="701A9DB7" w14:textId="77777777" w:rsidTr="007D4F05">
        <w:trPr>
          <w:trHeight w:val="309"/>
        </w:trPr>
        <w:tc>
          <w:tcPr>
            <w:tcW w:w="1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75637" w14:textId="7719C8CE" w:rsidR="003D63E2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Unable to expel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rectal balloon (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&gt;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60 sec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)</w:t>
            </w:r>
          </w:p>
          <w:p w14:paraId="6A933DD7" w14:textId="77777777" w:rsidR="003D63E2" w:rsidRPr="008577F7" w:rsidRDefault="003D63E2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N=228/1481 (15%)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B8545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 (17%;7%)</w:t>
            </w:r>
          </w:p>
          <w:p w14:paraId="13889BB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1.11</w:t>
            </w:r>
          </w:p>
          <w:p w14:paraId="7ACBB7D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(0.62-1.97)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7457A71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B0FE6E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N=14 (13%;6%)</w:t>
            </w:r>
          </w:p>
          <w:p w14:paraId="5E1DB84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0.85</w:t>
            </w:r>
          </w:p>
          <w:p w14:paraId="35332800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(0.47-1.51)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6926849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B77BA8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N=72 (13%;32%)</w:t>
            </w:r>
          </w:p>
          <w:p w14:paraId="4F0FAC4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0.73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27510E3D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(0.54-0.99)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9C09F5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36E70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N=78 (13%;34%)</w:t>
            </w:r>
          </w:p>
          <w:p w14:paraId="4148D386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0.74</w:t>
            </w:r>
            <w:r>
              <w:rPr>
                <w:rFonts w:ascii="David" w:hAnsi="David" w:cs="David"/>
                <w:sz w:val="15"/>
                <w:szCs w:val="15"/>
              </w:rPr>
              <w:t>*</w:t>
            </w:r>
          </w:p>
          <w:p w14:paraId="21E7A46E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 w:rsidRPr="001C4A11">
              <w:rPr>
                <w:rFonts w:ascii="David" w:hAnsi="David" w:cs="David"/>
                <w:sz w:val="15"/>
                <w:szCs w:val="15"/>
              </w:rPr>
              <w:t>(0.55-0.99)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4E9BE740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03738B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 (15%;8%)</w:t>
            </w:r>
          </w:p>
          <w:p w14:paraId="7574678C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0.99</w:t>
            </w:r>
          </w:p>
          <w:p w14:paraId="0DB54DB7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(0.58-1.67)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F730FA9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2CD0B5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(14%;2%)</w:t>
            </w:r>
          </w:p>
          <w:p w14:paraId="5E4FBBF1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0.87</w:t>
            </w:r>
          </w:p>
          <w:p w14:paraId="33EA070F" w14:textId="77777777" w:rsidR="003D63E2" w:rsidRPr="001C4A11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(0.34-2.27)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41DA39D" w14:textId="77777777" w:rsidR="003D63E2" w:rsidRDefault="003D63E2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</w:tbl>
    <w:p w14:paraId="32B491BE" w14:textId="77777777" w:rsidR="00C06AA1" w:rsidRDefault="00C06AA1" w:rsidP="00B75CDC">
      <w:pPr>
        <w:pStyle w:val="PlainText"/>
        <w:spacing w:line="480" w:lineRule="auto"/>
        <w:rPr>
          <w:rFonts w:ascii="David" w:hAnsi="David" w:cs="David"/>
          <w:sz w:val="20"/>
          <w:szCs w:val="20"/>
          <w:lang w:val="en-AU"/>
        </w:rPr>
      </w:pPr>
    </w:p>
    <w:p w14:paraId="56EB7228" w14:textId="1A15002E" w:rsidR="003D63E2" w:rsidRPr="007646D5" w:rsidRDefault="003D63E2" w:rsidP="00B75CDC">
      <w:pPr>
        <w:pStyle w:val="PlainText"/>
        <w:spacing w:line="480" w:lineRule="auto"/>
        <w:rPr>
          <w:rFonts w:ascii="David" w:hAnsi="David" w:cs="David"/>
          <w:sz w:val="20"/>
          <w:szCs w:val="20"/>
          <w:lang w:val="en-AU"/>
        </w:rPr>
      </w:pPr>
      <w:r w:rsidRPr="007646D5">
        <w:rPr>
          <w:rFonts w:ascii="David" w:hAnsi="David" w:cs="David"/>
          <w:sz w:val="20"/>
          <w:szCs w:val="20"/>
          <w:lang w:val="en-AU"/>
        </w:rPr>
        <w:t>*0.01&lt;p&lt;0.05</w:t>
      </w:r>
      <w:r w:rsidR="00B75CDC" w:rsidRPr="007646D5">
        <w:rPr>
          <w:rFonts w:ascii="David" w:hAnsi="David" w:cs="David"/>
          <w:sz w:val="20"/>
          <w:szCs w:val="20"/>
          <w:lang w:val="en-AU"/>
        </w:rPr>
        <w:t>;</w:t>
      </w:r>
      <w:r w:rsidR="00B75CDC" w:rsidRPr="007646D5">
        <w:rPr>
          <w:rFonts w:ascii="David" w:hAnsi="David" w:cs="David" w:hint="cs"/>
          <w:sz w:val="20"/>
          <w:szCs w:val="20"/>
          <w:rtl/>
          <w:lang w:val="en-AU"/>
        </w:rPr>
        <w:t xml:space="preserve">  </w:t>
      </w:r>
      <w:r w:rsidRPr="007646D5">
        <w:rPr>
          <w:rFonts w:ascii="David" w:hAnsi="David" w:cs="David"/>
          <w:sz w:val="20"/>
          <w:szCs w:val="20"/>
          <w:lang w:val="en-AU"/>
        </w:rPr>
        <w:t>**0.001&lt;p&lt;0.01</w:t>
      </w:r>
      <w:r w:rsidR="00B75CDC" w:rsidRPr="007646D5">
        <w:rPr>
          <w:rFonts w:ascii="David" w:hAnsi="David" w:cs="David"/>
          <w:sz w:val="20"/>
          <w:szCs w:val="20"/>
          <w:lang w:val="en-AU"/>
        </w:rPr>
        <w:t>;</w:t>
      </w:r>
      <w:r w:rsidR="00B75CDC" w:rsidRPr="007646D5">
        <w:rPr>
          <w:rFonts w:ascii="David" w:hAnsi="David" w:cs="David" w:hint="cs"/>
          <w:sz w:val="20"/>
          <w:szCs w:val="20"/>
          <w:rtl/>
          <w:lang w:val="en-AU"/>
        </w:rPr>
        <w:t xml:space="preserve">  </w:t>
      </w:r>
      <w:r w:rsidRPr="007646D5">
        <w:rPr>
          <w:rFonts w:ascii="David" w:hAnsi="David" w:cs="David"/>
          <w:sz w:val="20"/>
          <w:szCs w:val="20"/>
          <w:lang w:val="en-AU"/>
        </w:rPr>
        <w:t>***p&lt;0.001</w:t>
      </w:r>
    </w:p>
    <w:p w14:paraId="5104F7B0" w14:textId="5679D41A" w:rsidR="007646D5" w:rsidRPr="00C06AA1" w:rsidRDefault="007646D5" w:rsidP="00C06AA1">
      <w:pPr>
        <w:pStyle w:val="PlainText"/>
        <w:spacing w:line="480" w:lineRule="auto"/>
        <w:rPr>
          <w:rFonts w:ascii="David" w:hAnsi="David" w:cs="David"/>
          <w:b/>
          <w:bCs/>
          <w:sz w:val="22"/>
          <w:szCs w:val="22"/>
        </w:rPr>
      </w:pPr>
      <w:r w:rsidRPr="007646D5">
        <w:rPr>
          <w:rFonts w:ascii="David" w:eastAsia="Calibri Light" w:hAnsi="David" w:cs="David"/>
          <w:sz w:val="20"/>
          <w:szCs w:val="20"/>
        </w:rPr>
        <w:t>HAD – hospital anxiety and depression</w:t>
      </w:r>
      <w:r w:rsidR="008310D7">
        <w:rPr>
          <w:rFonts w:ascii="David" w:eastAsia="Calibri Light" w:hAnsi="David" w:cs="David"/>
          <w:sz w:val="20"/>
          <w:szCs w:val="20"/>
        </w:rPr>
        <w:t xml:space="preserve"> </w:t>
      </w:r>
      <w:r w:rsidR="008310D7">
        <w:rPr>
          <w:rFonts w:ascii="David" w:eastAsia="Calibri Light" w:hAnsi="David" w:cs="David"/>
          <w:sz w:val="20"/>
          <w:szCs w:val="20"/>
        </w:rPr>
        <w:t>questionnaire</w:t>
      </w:r>
      <w:r w:rsidRPr="007646D5">
        <w:rPr>
          <w:rFonts w:ascii="David" w:eastAsia="Calibri Light" w:hAnsi="David" w:cs="David"/>
          <w:sz w:val="20"/>
          <w:szCs w:val="20"/>
        </w:rPr>
        <w:t xml:space="preserve">; </w:t>
      </w:r>
      <w:r w:rsidR="00C06AA1" w:rsidRPr="007646D5">
        <w:rPr>
          <w:rFonts w:ascii="David" w:hAnsi="David" w:cs="David"/>
          <w:sz w:val="20"/>
          <w:szCs w:val="20"/>
        </w:rPr>
        <w:t>NA- no patients in this subgrou</w:t>
      </w:r>
      <w:r w:rsidR="00C06AA1">
        <w:rPr>
          <w:rFonts w:ascii="David" w:hAnsi="David" w:cs="David"/>
          <w:sz w:val="20"/>
          <w:szCs w:val="20"/>
        </w:rPr>
        <w:t>p.</w:t>
      </w:r>
    </w:p>
    <w:p w14:paraId="11A70F5C" w14:textId="77777777" w:rsidR="007646D5" w:rsidRPr="007646D5" w:rsidRDefault="007646D5" w:rsidP="00B75CDC">
      <w:pPr>
        <w:pStyle w:val="PlainText"/>
        <w:spacing w:line="480" w:lineRule="auto"/>
        <w:rPr>
          <w:rFonts w:ascii="David" w:hAnsi="David" w:cs="David"/>
          <w:sz w:val="20"/>
          <w:szCs w:val="20"/>
          <w:lang w:val="en-AU"/>
        </w:rPr>
      </w:pPr>
    </w:p>
    <w:p w14:paraId="2187490B" w14:textId="77777777" w:rsidR="00CD4F53" w:rsidRPr="007646D5" w:rsidRDefault="000A46AB">
      <w:pPr>
        <w:rPr>
          <w:sz w:val="21"/>
          <w:szCs w:val="21"/>
        </w:rPr>
      </w:pPr>
    </w:p>
    <w:sectPr w:rsidR="00CD4F53" w:rsidRPr="007646D5" w:rsidSect="003D63E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FAC"/>
    <w:multiLevelType w:val="hybridMultilevel"/>
    <w:tmpl w:val="A4E0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0DB"/>
    <w:multiLevelType w:val="hybridMultilevel"/>
    <w:tmpl w:val="FF3E91CC"/>
    <w:lvl w:ilvl="0" w:tplc="F21A5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7EE9"/>
    <w:multiLevelType w:val="hybridMultilevel"/>
    <w:tmpl w:val="1C54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63D4"/>
    <w:multiLevelType w:val="hybridMultilevel"/>
    <w:tmpl w:val="6464B6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74C9"/>
    <w:multiLevelType w:val="hybridMultilevel"/>
    <w:tmpl w:val="71F0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CB4"/>
    <w:multiLevelType w:val="hybridMultilevel"/>
    <w:tmpl w:val="D0C6F228"/>
    <w:lvl w:ilvl="0" w:tplc="78D052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4C94"/>
    <w:multiLevelType w:val="hybridMultilevel"/>
    <w:tmpl w:val="07C8C09E"/>
    <w:lvl w:ilvl="0" w:tplc="ABBE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0780"/>
    <w:multiLevelType w:val="hybridMultilevel"/>
    <w:tmpl w:val="A38A7C64"/>
    <w:lvl w:ilvl="0" w:tplc="261084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400"/>
    <w:multiLevelType w:val="hybridMultilevel"/>
    <w:tmpl w:val="7D84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2086"/>
    <w:multiLevelType w:val="hybridMultilevel"/>
    <w:tmpl w:val="BF72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E2"/>
    <w:rsid w:val="000023B0"/>
    <w:rsid w:val="00014BDE"/>
    <w:rsid w:val="00035795"/>
    <w:rsid w:val="00046CAD"/>
    <w:rsid w:val="0004757C"/>
    <w:rsid w:val="000509CF"/>
    <w:rsid w:val="000602F5"/>
    <w:rsid w:val="00067331"/>
    <w:rsid w:val="00076288"/>
    <w:rsid w:val="000A46AB"/>
    <w:rsid w:val="000A4A15"/>
    <w:rsid w:val="000F1509"/>
    <w:rsid w:val="000F791F"/>
    <w:rsid w:val="00102C73"/>
    <w:rsid w:val="00106A21"/>
    <w:rsid w:val="00133F6E"/>
    <w:rsid w:val="001352C9"/>
    <w:rsid w:val="0014189A"/>
    <w:rsid w:val="00142657"/>
    <w:rsid w:val="0014449F"/>
    <w:rsid w:val="00155217"/>
    <w:rsid w:val="00155C05"/>
    <w:rsid w:val="00160C4E"/>
    <w:rsid w:val="001669C9"/>
    <w:rsid w:val="00173E94"/>
    <w:rsid w:val="0017589C"/>
    <w:rsid w:val="00180A8F"/>
    <w:rsid w:val="00195018"/>
    <w:rsid w:val="0019728A"/>
    <w:rsid w:val="001A5FCB"/>
    <w:rsid w:val="001B14C7"/>
    <w:rsid w:val="001B7DE5"/>
    <w:rsid w:val="001D0CFB"/>
    <w:rsid w:val="001D52D8"/>
    <w:rsid w:val="001E3704"/>
    <w:rsid w:val="001F11A8"/>
    <w:rsid w:val="001F792B"/>
    <w:rsid w:val="001F7FA3"/>
    <w:rsid w:val="00204F28"/>
    <w:rsid w:val="002054C4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11E2"/>
    <w:rsid w:val="0029388C"/>
    <w:rsid w:val="0029540B"/>
    <w:rsid w:val="00296CFD"/>
    <w:rsid w:val="002A1A69"/>
    <w:rsid w:val="002B296B"/>
    <w:rsid w:val="002F7A1C"/>
    <w:rsid w:val="003246C2"/>
    <w:rsid w:val="00335A44"/>
    <w:rsid w:val="003648DE"/>
    <w:rsid w:val="0038016B"/>
    <w:rsid w:val="00383046"/>
    <w:rsid w:val="00385EF2"/>
    <w:rsid w:val="003A2B2A"/>
    <w:rsid w:val="003B2089"/>
    <w:rsid w:val="003D137A"/>
    <w:rsid w:val="003D63E2"/>
    <w:rsid w:val="003F68DA"/>
    <w:rsid w:val="00417FE3"/>
    <w:rsid w:val="00425700"/>
    <w:rsid w:val="0043170A"/>
    <w:rsid w:val="00435FA8"/>
    <w:rsid w:val="0045123C"/>
    <w:rsid w:val="00453872"/>
    <w:rsid w:val="00474029"/>
    <w:rsid w:val="00481C29"/>
    <w:rsid w:val="00490044"/>
    <w:rsid w:val="00491079"/>
    <w:rsid w:val="0049382A"/>
    <w:rsid w:val="00494472"/>
    <w:rsid w:val="004A7634"/>
    <w:rsid w:val="004C0ECB"/>
    <w:rsid w:val="004E7174"/>
    <w:rsid w:val="00505BE6"/>
    <w:rsid w:val="005273C8"/>
    <w:rsid w:val="00533EFB"/>
    <w:rsid w:val="0053493E"/>
    <w:rsid w:val="005464F0"/>
    <w:rsid w:val="005505A7"/>
    <w:rsid w:val="00554518"/>
    <w:rsid w:val="00574CE0"/>
    <w:rsid w:val="005760D3"/>
    <w:rsid w:val="00577F3B"/>
    <w:rsid w:val="00580C79"/>
    <w:rsid w:val="0058114D"/>
    <w:rsid w:val="00590B82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01A2"/>
    <w:rsid w:val="006145B5"/>
    <w:rsid w:val="00625186"/>
    <w:rsid w:val="0066291D"/>
    <w:rsid w:val="006710A3"/>
    <w:rsid w:val="00673934"/>
    <w:rsid w:val="00680992"/>
    <w:rsid w:val="006942AE"/>
    <w:rsid w:val="0069518E"/>
    <w:rsid w:val="006B25C0"/>
    <w:rsid w:val="006B28D8"/>
    <w:rsid w:val="006B4B70"/>
    <w:rsid w:val="006B7946"/>
    <w:rsid w:val="006C4043"/>
    <w:rsid w:val="006E09F6"/>
    <w:rsid w:val="006E2E1D"/>
    <w:rsid w:val="006F2F7F"/>
    <w:rsid w:val="0075376D"/>
    <w:rsid w:val="007646D5"/>
    <w:rsid w:val="007666A1"/>
    <w:rsid w:val="007724B6"/>
    <w:rsid w:val="007770D8"/>
    <w:rsid w:val="00785C24"/>
    <w:rsid w:val="007A05CD"/>
    <w:rsid w:val="007B0678"/>
    <w:rsid w:val="007C38F7"/>
    <w:rsid w:val="007D0F9E"/>
    <w:rsid w:val="007D1DF0"/>
    <w:rsid w:val="007D4F05"/>
    <w:rsid w:val="00816650"/>
    <w:rsid w:val="00830817"/>
    <w:rsid w:val="008310D7"/>
    <w:rsid w:val="00831883"/>
    <w:rsid w:val="008375B0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A7348"/>
    <w:rsid w:val="008B5B38"/>
    <w:rsid w:val="008C35EF"/>
    <w:rsid w:val="008F106E"/>
    <w:rsid w:val="00917039"/>
    <w:rsid w:val="009272B2"/>
    <w:rsid w:val="009507FA"/>
    <w:rsid w:val="009616FA"/>
    <w:rsid w:val="00961CF3"/>
    <w:rsid w:val="009A5A12"/>
    <w:rsid w:val="009B3C62"/>
    <w:rsid w:val="009C37F3"/>
    <w:rsid w:val="009D05D9"/>
    <w:rsid w:val="009D166E"/>
    <w:rsid w:val="009D2423"/>
    <w:rsid w:val="009D6181"/>
    <w:rsid w:val="009E46B6"/>
    <w:rsid w:val="009F4B83"/>
    <w:rsid w:val="00A001D4"/>
    <w:rsid w:val="00A117B4"/>
    <w:rsid w:val="00A14408"/>
    <w:rsid w:val="00A1499D"/>
    <w:rsid w:val="00A26D38"/>
    <w:rsid w:val="00A35FA6"/>
    <w:rsid w:val="00A36E15"/>
    <w:rsid w:val="00A7442A"/>
    <w:rsid w:val="00A766CB"/>
    <w:rsid w:val="00A7670C"/>
    <w:rsid w:val="00A91CC0"/>
    <w:rsid w:val="00AE1412"/>
    <w:rsid w:val="00AF50B6"/>
    <w:rsid w:val="00B014B4"/>
    <w:rsid w:val="00B057CE"/>
    <w:rsid w:val="00B1153B"/>
    <w:rsid w:val="00B26871"/>
    <w:rsid w:val="00B4459A"/>
    <w:rsid w:val="00B53675"/>
    <w:rsid w:val="00B55D3C"/>
    <w:rsid w:val="00B61B7E"/>
    <w:rsid w:val="00B75CDC"/>
    <w:rsid w:val="00B818BA"/>
    <w:rsid w:val="00B97EC8"/>
    <w:rsid w:val="00BB0205"/>
    <w:rsid w:val="00BB1CAE"/>
    <w:rsid w:val="00BC4BD6"/>
    <w:rsid w:val="00BD41B9"/>
    <w:rsid w:val="00BE1C19"/>
    <w:rsid w:val="00BE320D"/>
    <w:rsid w:val="00BF0E52"/>
    <w:rsid w:val="00C03DAD"/>
    <w:rsid w:val="00C0528A"/>
    <w:rsid w:val="00C06AA1"/>
    <w:rsid w:val="00C07D34"/>
    <w:rsid w:val="00C16B88"/>
    <w:rsid w:val="00C47D7A"/>
    <w:rsid w:val="00C63E28"/>
    <w:rsid w:val="00C767CB"/>
    <w:rsid w:val="00C80A82"/>
    <w:rsid w:val="00CB318A"/>
    <w:rsid w:val="00CE7CE8"/>
    <w:rsid w:val="00CF5255"/>
    <w:rsid w:val="00D13AB0"/>
    <w:rsid w:val="00D420A0"/>
    <w:rsid w:val="00D44A15"/>
    <w:rsid w:val="00D61B3A"/>
    <w:rsid w:val="00D66774"/>
    <w:rsid w:val="00D744E8"/>
    <w:rsid w:val="00D82838"/>
    <w:rsid w:val="00D935D9"/>
    <w:rsid w:val="00DA6DB7"/>
    <w:rsid w:val="00DB682E"/>
    <w:rsid w:val="00DD32E7"/>
    <w:rsid w:val="00DE42E8"/>
    <w:rsid w:val="00E02258"/>
    <w:rsid w:val="00E05FA6"/>
    <w:rsid w:val="00E15C8D"/>
    <w:rsid w:val="00E21269"/>
    <w:rsid w:val="00E23FDF"/>
    <w:rsid w:val="00E753F0"/>
    <w:rsid w:val="00E92D58"/>
    <w:rsid w:val="00E9696F"/>
    <w:rsid w:val="00ED0D38"/>
    <w:rsid w:val="00ED1C9D"/>
    <w:rsid w:val="00EE298A"/>
    <w:rsid w:val="00EE5D35"/>
    <w:rsid w:val="00EE7152"/>
    <w:rsid w:val="00EF12E8"/>
    <w:rsid w:val="00F026CA"/>
    <w:rsid w:val="00F05DB5"/>
    <w:rsid w:val="00F07BD1"/>
    <w:rsid w:val="00F15447"/>
    <w:rsid w:val="00F234A8"/>
    <w:rsid w:val="00F2356C"/>
    <w:rsid w:val="00F23845"/>
    <w:rsid w:val="00F37D30"/>
    <w:rsid w:val="00F4554E"/>
    <w:rsid w:val="00F74170"/>
    <w:rsid w:val="00F75745"/>
    <w:rsid w:val="00F82034"/>
    <w:rsid w:val="00F86954"/>
    <w:rsid w:val="00FA38DE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8A2AB"/>
  <w14:defaultImageDpi w14:val="32767"/>
  <w15:chartTrackingRefBased/>
  <w15:docId w15:val="{892DA5CF-9269-3F4E-B951-26B48C9F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6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3D63E2"/>
    <w:rPr>
      <w:u w:val="single"/>
    </w:rPr>
  </w:style>
  <w:style w:type="paragraph" w:customStyle="1" w:styleId="HeaderFooter">
    <w:name w:val="Header &amp; Footer"/>
    <w:rsid w:val="003D63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AU" w:bidi="he-IL"/>
    </w:rPr>
  </w:style>
  <w:style w:type="paragraph" w:styleId="PlainText">
    <w:name w:val="Plain Text"/>
    <w:link w:val="PlainTextChar"/>
    <w:uiPriority w:val="99"/>
    <w:rsid w:val="003D6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3D63E2"/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paragraph" w:customStyle="1" w:styleId="Default">
    <w:name w:val="Default"/>
    <w:rsid w:val="003D6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AU" w:bidi="he-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3E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D63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E2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Body">
    <w:name w:val="Body"/>
    <w:link w:val="BodyChar"/>
    <w:rsid w:val="003D63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3D63E2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D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table" w:styleId="TableGrid">
    <w:name w:val="Table Grid"/>
    <w:basedOn w:val="TableNormal"/>
    <w:uiPriority w:val="39"/>
    <w:rsid w:val="003D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D63E2"/>
    <w:pPr>
      <w:jc w:val="center"/>
    </w:pPr>
    <w:rPr>
      <w:rFonts w:ascii="Consolas" w:hAnsi="Consolas" w:cs="Consolas"/>
      <w:color w:val="000000"/>
      <w:sz w:val="20"/>
      <w:szCs w:val="21"/>
      <w:u w:color="000000"/>
      <w:lang w:bidi="he-IL"/>
    </w:rPr>
  </w:style>
  <w:style w:type="character" w:customStyle="1" w:styleId="EndNoteBibliographyTitleChar">
    <w:name w:val="EndNote Bibliography Title Char"/>
    <w:basedOn w:val="PlainTextChar"/>
    <w:link w:val="EndNoteBibliographyTitle"/>
    <w:rsid w:val="003D63E2"/>
    <w:rPr>
      <w:rFonts w:ascii="Consolas" w:eastAsia="Arial Unicode MS" w:hAnsi="Consolas" w:cs="Consolas"/>
      <w:color w:val="000000"/>
      <w:sz w:val="20"/>
      <w:szCs w:val="21"/>
      <w:u w:color="000000"/>
      <w:bdr w:val="nil"/>
      <w:lang w:bidi="he-IL"/>
    </w:rPr>
  </w:style>
  <w:style w:type="paragraph" w:customStyle="1" w:styleId="EndNoteBibliography">
    <w:name w:val="EndNote Bibliography"/>
    <w:basedOn w:val="Normal"/>
    <w:link w:val="EndNoteBibliographyChar"/>
    <w:rsid w:val="003D63E2"/>
    <w:rPr>
      <w:rFonts w:ascii="Consolas" w:hAnsi="Consolas" w:cs="Consolas"/>
      <w:color w:val="000000"/>
      <w:sz w:val="20"/>
      <w:szCs w:val="21"/>
      <w:u w:color="000000"/>
      <w:lang w:bidi="he-IL"/>
    </w:rPr>
  </w:style>
  <w:style w:type="character" w:customStyle="1" w:styleId="EndNoteBibliographyChar">
    <w:name w:val="EndNote Bibliography Char"/>
    <w:basedOn w:val="PlainTextChar"/>
    <w:link w:val="EndNoteBibliography"/>
    <w:rsid w:val="003D63E2"/>
    <w:rPr>
      <w:rFonts w:ascii="Consolas" w:eastAsia="Arial Unicode MS" w:hAnsi="Consolas" w:cs="Consolas"/>
      <w:color w:val="000000"/>
      <w:sz w:val="20"/>
      <w:szCs w:val="21"/>
      <w:u w:color="000000"/>
      <w:bdr w:val="nil"/>
      <w:lang w:bidi="he-IL"/>
    </w:rPr>
  </w:style>
  <w:style w:type="character" w:styleId="UnresolvedMention">
    <w:name w:val="Unresolved Mention"/>
    <w:basedOn w:val="DefaultParagraphFont"/>
    <w:uiPriority w:val="99"/>
    <w:rsid w:val="003D63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E2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3D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E2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3</cp:revision>
  <dcterms:created xsi:type="dcterms:W3CDTF">2021-08-16T04:11:00Z</dcterms:created>
  <dcterms:modified xsi:type="dcterms:W3CDTF">2021-08-19T03:25:00Z</dcterms:modified>
</cp:coreProperties>
</file>