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32B8" w14:textId="77777777" w:rsidR="00445EE3" w:rsidRPr="00EB5D9B" w:rsidRDefault="00445EE3" w:rsidP="00445EE3">
      <w:pPr>
        <w:spacing w:after="120"/>
        <w:rPr>
          <w:b/>
          <w:bCs/>
          <w:color w:val="000000"/>
          <w:sz w:val="21"/>
          <w:szCs w:val="21"/>
        </w:rPr>
      </w:pPr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EB5D9B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5</w:t>
      </w:r>
      <w:r w:rsidRPr="00EB5D9B">
        <w:rPr>
          <w:b/>
          <w:bCs/>
          <w:color w:val="000000"/>
          <w:sz w:val="21"/>
          <w:szCs w:val="21"/>
        </w:rPr>
        <w:t xml:space="preserve">. Age-standardized participant characteristics according to </w:t>
      </w:r>
      <w:r w:rsidRPr="009F5DA3">
        <w:rPr>
          <w:b/>
          <w:bCs/>
          <w:color w:val="000000"/>
          <w:sz w:val="21"/>
          <w:szCs w:val="21"/>
        </w:rPr>
        <w:t>total cholesterol level</w:t>
      </w:r>
      <w:r w:rsidRPr="00EB5D9B">
        <w:rPr>
          <w:b/>
          <w:bCs/>
          <w:color w:val="000000"/>
          <w:sz w:val="21"/>
          <w:szCs w:val="21"/>
        </w:rPr>
        <w:t xml:space="preserve"> in the pooled NHS and HPFS</w:t>
      </w:r>
      <w:r w:rsidRPr="00EB5D9B">
        <w:rPr>
          <w:b/>
          <w:bCs/>
          <w:color w:val="000000"/>
          <w:sz w:val="21"/>
          <w:szCs w:val="21"/>
          <w:vertAlign w:val="superscript"/>
        </w:rPr>
        <w:t xml:space="preserve"> </w:t>
      </w:r>
      <w:r w:rsidRPr="00EB5D9B">
        <w:rPr>
          <w:color w:val="000000"/>
          <w:sz w:val="21"/>
          <w:szCs w:val="21"/>
          <w:vertAlign w:val="superscript"/>
        </w:rPr>
        <w:t>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890"/>
        <w:gridCol w:w="1980"/>
        <w:gridCol w:w="1811"/>
        <w:gridCol w:w="15"/>
      </w:tblGrid>
      <w:tr w:rsidR="00445EE3" w:rsidRPr="000E3CF5" w14:paraId="6057DECF" w14:textId="77777777" w:rsidTr="003733F1">
        <w:trPr>
          <w:gridAfter w:val="1"/>
          <w:wAfter w:w="7" w:type="pct"/>
          <w:cantSplit/>
          <w:tblHeader/>
          <w:jc w:val="center"/>
        </w:trPr>
        <w:tc>
          <w:tcPr>
            <w:tcW w:w="227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09A49F" w14:textId="77777777" w:rsidR="00445EE3" w:rsidRPr="000E3CF5" w:rsidRDefault="00445EE3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0E3CF5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71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FD3144" w14:textId="77777777" w:rsidR="00445EE3" w:rsidRPr="000E3CF5" w:rsidRDefault="00445EE3" w:rsidP="003733F1">
            <w:pPr>
              <w:spacing w:after="1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E3CF5">
              <w:rPr>
                <w:b/>
                <w:bCs/>
                <w:color w:val="000000"/>
                <w:sz w:val="21"/>
                <w:szCs w:val="21"/>
              </w:rPr>
              <w:t>Total cholesterol level</w:t>
            </w:r>
          </w:p>
        </w:tc>
      </w:tr>
      <w:tr w:rsidR="00445EE3" w:rsidRPr="000E3CF5" w14:paraId="4B31EE9D" w14:textId="77777777" w:rsidTr="003733F1">
        <w:trPr>
          <w:cantSplit/>
          <w:tblHeader/>
          <w:jc w:val="center"/>
        </w:trPr>
        <w:tc>
          <w:tcPr>
            <w:tcW w:w="2279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0B94A0" w14:textId="77777777" w:rsidR="00445EE3" w:rsidRPr="000E3CF5" w:rsidRDefault="00445EE3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518768" w14:textId="77777777" w:rsidR="00445EE3" w:rsidRPr="00D2045B" w:rsidRDefault="00445EE3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BC6B95">
              <w:rPr>
                <w:b/>
                <w:color w:val="000000"/>
                <w:sz w:val="20"/>
                <w:szCs w:val="20"/>
              </w:rPr>
              <w:t>&lt;200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E7439">
              <w:rPr>
                <w:b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46CFC" w14:textId="77777777" w:rsidR="00445EE3" w:rsidRPr="00D2045B" w:rsidRDefault="00445EE3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BC6B95">
              <w:rPr>
                <w:b/>
                <w:color w:val="000000"/>
                <w:sz w:val="20"/>
                <w:szCs w:val="20"/>
              </w:rPr>
              <w:t>≥200 to &lt;240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E7439">
              <w:rPr>
                <w:b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8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95CEF8" w14:textId="77777777" w:rsidR="00445EE3" w:rsidRPr="00D2045B" w:rsidRDefault="00445EE3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BC6B95">
              <w:rPr>
                <w:b/>
                <w:color w:val="000000"/>
                <w:sz w:val="20"/>
                <w:szCs w:val="20"/>
              </w:rPr>
              <w:t>≥240</w:t>
            </w:r>
            <w:r>
              <w:t xml:space="preserve"> </w:t>
            </w:r>
            <w:r w:rsidRPr="00EE7439">
              <w:rPr>
                <w:b/>
                <w:color w:val="000000"/>
                <w:sz w:val="20"/>
                <w:szCs w:val="20"/>
              </w:rPr>
              <w:t>mg/dL</w:t>
            </w:r>
          </w:p>
        </w:tc>
      </w:tr>
      <w:tr w:rsidR="00445EE3" w:rsidRPr="000E3CF5" w14:paraId="74405D71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9BD3CD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Age, years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9465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69.3 (10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CAD3C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67.8 (9.4)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7E95A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67.3 (9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</w:tr>
      <w:tr w:rsidR="00445EE3" w:rsidRPr="000E3CF5" w14:paraId="0B83D0C4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4DAB37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White,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E3DDE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97.0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81BCE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97.1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9F837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97.0</w:t>
            </w:r>
          </w:p>
        </w:tc>
      </w:tr>
      <w:tr w:rsidR="00445EE3" w:rsidRPr="000E3CF5" w14:paraId="1AFACF7E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ECA2D4" w14:textId="77777777" w:rsidR="00445EE3" w:rsidRPr="000E3CF5" w:rsidRDefault="00445EE3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 xml:space="preserve">Body mass index </w:t>
            </w:r>
            <w:r w:rsidRPr="000E3CF5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0E3CF5">
              <w:rPr>
                <w:color w:val="000000"/>
                <w:sz w:val="21"/>
                <w:szCs w:val="21"/>
              </w:rPr>
              <w:t>, kg/m²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2F7EA0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26.3 (4.9)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9914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26.3 (4.8)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E6F968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26.5 (4.8)</w:t>
            </w:r>
          </w:p>
        </w:tc>
      </w:tr>
      <w:tr w:rsidR="00445EE3" w:rsidRPr="000E3CF5" w14:paraId="19F86C55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F6DDE8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 xml:space="preserve">Physical activity </w:t>
            </w:r>
            <w:r w:rsidRPr="000E3CF5">
              <w:rPr>
                <w:color w:val="000000"/>
                <w:sz w:val="21"/>
                <w:szCs w:val="21"/>
                <w:vertAlign w:val="superscript"/>
              </w:rPr>
              <w:t>c</w:t>
            </w:r>
            <w:r w:rsidRPr="000E3CF5">
              <w:rPr>
                <w:color w:val="000000"/>
                <w:sz w:val="21"/>
                <w:szCs w:val="21"/>
              </w:rPr>
              <w:t>, METs-hours/week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BCB8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24.2 (28.5)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C918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22.2 (26.2)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57AF9A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20.1 (24.8)</w:t>
            </w:r>
          </w:p>
        </w:tc>
      </w:tr>
      <w:tr w:rsidR="00445EE3" w:rsidRPr="000E3CF5" w14:paraId="438F71A1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60B3FF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Past smoking,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6238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45.4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E402D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46.8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0A610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47.1</w:t>
            </w:r>
          </w:p>
        </w:tc>
      </w:tr>
      <w:tr w:rsidR="00445EE3" w:rsidRPr="000E3CF5" w14:paraId="2CAB677E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0701B4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Current smoking,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D95CE3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6.1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D4C1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6.5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ED60E8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7.3</w:t>
            </w:r>
          </w:p>
        </w:tc>
      </w:tr>
      <w:tr w:rsidR="00445EE3" w:rsidRPr="000E3CF5" w14:paraId="582D8DF5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AE23FD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 xml:space="preserve">Pack-years of smoking </w:t>
            </w:r>
            <w:r w:rsidRPr="000E3CF5">
              <w:rPr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78B3C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13.9 (32.3)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54CF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12.9 (24.7)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6AD93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13.6 (24.2)</w:t>
            </w:r>
          </w:p>
        </w:tc>
      </w:tr>
      <w:tr w:rsidR="00445EE3" w:rsidRPr="000E3CF5" w14:paraId="390AA0F2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ABDAA1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Type 2 diabetes,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F2F2C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9.2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F19F4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6.3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7816AC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6.6</w:t>
            </w:r>
          </w:p>
        </w:tc>
      </w:tr>
      <w:tr w:rsidR="00445EE3" w:rsidRPr="000E3CF5" w14:paraId="0DDAA193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CD434C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Ever use statins,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9B9D3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36.4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EB2252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30.0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06760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40.4</w:t>
            </w:r>
          </w:p>
        </w:tc>
      </w:tr>
      <w:tr w:rsidR="00445EE3" w:rsidRPr="000E3CF5" w14:paraId="08942F19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7533C3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Total duration of statin use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4F6B8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2.9 (4.9)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DCC98C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1.8 (3.6)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2CDFD8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1.9 (3.1)</w:t>
            </w:r>
          </w:p>
        </w:tc>
      </w:tr>
      <w:tr w:rsidR="00445EE3" w:rsidRPr="000E3CF5" w14:paraId="6FBA4764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F8C74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Family history of colorectal cancer,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C04BA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E0B1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2C620D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17.5</w:t>
            </w:r>
          </w:p>
        </w:tc>
      </w:tr>
      <w:tr w:rsidR="00445EE3" w:rsidRPr="000E3CF5" w14:paraId="568A8FA4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51A9C8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rFonts w:eastAsiaTheme="minorEastAsia"/>
                <w:color w:val="000000" w:themeColor="text1"/>
                <w:sz w:val="21"/>
                <w:szCs w:val="21"/>
              </w:rPr>
              <w:t>Screening colonoscopy or sigmoidoscopy</w:t>
            </w:r>
            <w:r w:rsidRPr="000E3CF5">
              <w:rPr>
                <w:color w:val="000000"/>
                <w:sz w:val="21"/>
                <w:szCs w:val="21"/>
              </w:rPr>
              <w:t>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B5192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55.2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A527CE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49.8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F4D48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43.6</w:t>
            </w:r>
          </w:p>
        </w:tc>
      </w:tr>
      <w:tr w:rsidR="00445EE3" w:rsidRPr="000E3CF5" w14:paraId="723E14E2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B57ACB" w14:textId="77777777" w:rsidR="00445EE3" w:rsidRPr="000E3CF5" w:rsidRDefault="00445EE3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Polyps,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48D04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9.5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12D965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9.7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AFD24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10.0</w:t>
            </w:r>
          </w:p>
        </w:tc>
      </w:tr>
      <w:tr w:rsidR="00445EE3" w:rsidRPr="000E3CF5" w14:paraId="3D7B1B54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B414E4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 xml:space="preserve">Cumulative average dose of aspirin </w:t>
            </w:r>
            <w:proofErr w:type="gramStart"/>
            <w:r w:rsidRPr="000E3CF5">
              <w:rPr>
                <w:color w:val="000000"/>
                <w:sz w:val="21"/>
                <w:szCs w:val="21"/>
              </w:rPr>
              <w:t>use,</w:t>
            </w:r>
            <w:proofErr w:type="gramEnd"/>
            <w:r w:rsidRPr="000E3CF5">
              <w:rPr>
                <w:color w:val="000000"/>
                <w:sz w:val="21"/>
                <w:szCs w:val="21"/>
              </w:rPr>
              <w:t xml:space="preserve"> </w:t>
            </w:r>
            <w:r w:rsidRPr="000E3CF5">
              <w:rPr>
                <w:rFonts w:eastAsiaTheme="minorEastAsia"/>
                <w:color w:val="000000"/>
                <w:sz w:val="21"/>
                <w:szCs w:val="21"/>
              </w:rPr>
              <w:t>tablets/week</w:t>
            </w:r>
            <w:r w:rsidRPr="000E3CF5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925328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2.6 (2.9)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8D07B0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2.7 (3)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6CC2D4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2.9 (3.1)</w:t>
            </w:r>
          </w:p>
        </w:tc>
      </w:tr>
      <w:tr w:rsidR="00445EE3" w:rsidRPr="000E3CF5" w14:paraId="039B6BAB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D436F7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Multivitamin use, %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4D6638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59.5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572691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57.8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F79A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54.0</w:t>
            </w:r>
          </w:p>
        </w:tc>
      </w:tr>
      <w:tr w:rsidR="00445EE3" w:rsidRPr="000E3CF5" w14:paraId="37A540C1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7E2ABA" w14:textId="77777777" w:rsidR="00445EE3" w:rsidRPr="000E3CF5" w:rsidRDefault="00445EE3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Total folate intake, ug/day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A16D6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700 (340)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ACD8F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60</w:t>
            </w:r>
            <w:r w:rsidRPr="000E3CF5">
              <w:rPr>
                <w:color w:val="000000"/>
                <w:sz w:val="21"/>
                <w:szCs w:val="21"/>
              </w:rPr>
              <w:t xml:space="preserve"> (32</w:t>
            </w:r>
            <w:r>
              <w:rPr>
                <w:color w:val="000000"/>
                <w:sz w:val="21"/>
                <w:szCs w:val="21"/>
              </w:rPr>
              <w:t>4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CBB2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620 (315)</w:t>
            </w:r>
          </w:p>
        </w:tc>
      </w:tr>
      <w:tr w:rsidR="00445EE3" w:rsidRPr="000E3CF5" w14:paraId="2C03B064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B207AD" w14:textId="77777777" w:rsidR="00445EE3" w:rsidRPr="000E3CF5" w:rsidRDefault="00445EE3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Total vitamin D, IU/day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D505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598 (466)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5FE0F0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55</w:t>
            </w:r>
            <w:r>
              <w:rPr>
                <w:color w:val="000000"/>
                <w:sz w:val="21"/>
                <w:szCs w:val="21"/>
              </w:rPr>
              <w:t>9</w:t>
            </w:r>
            <w:r w:rsidRPr="000E3CF5">
              <w:rPr>
                <w:color w:val="000000"/>
                <w:sz w:val="21"/>
                <w:szCs w:val="21"/>
              </w:rPr>
              <w:t xml:space="preserve"> (43</w:t>
            </w:r>
            <w:r>
              <w:rPr>
                <w:color w:val="000000"/>
                <w:sz w:val="21"/>
                <w:szCs w:val="21"/>
              </w:rPr>
              <w:t>1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452E0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514 (39</w:t>
            </w:r>
            <w:r>
              <w:rPr>
                <w:color w:val="000000"/>
                <w:sz w:val="21"/>
                <w:szCs w:val="21"/>
              </w:rPr>
              <w:t>7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</w:tr>
      <w:tr w:rsidR="00445EE3" w:rsidRPr="000E3CF5" w14:paraId="72CF7BE6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92AABF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Total calcium intake, mg/day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AD20A1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  <w:r w:rsidRPr="000E3CF5">
              <w:rPr>
                <w:color w:val="000000"/>
                <w:sz w:val="21"/>
                <w:szCs w:val="21"/>
              </w:rPr>
              <w:t xml:space="preserve"> (621)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C97FA6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1270 (613)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3083A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120</w:t>
            </w:r>
            <w:r>
              <w:rPr>
                <w:color w:val="000000"/>
                <w:sz w:val="21"/>
                <w:szCs w:val="21"/>
              </w:rPr>
              <w:t>9</w:t>
            </w:r>
            <w:r w:rsidRPr="000E3CF5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color w:val="000000"/>
                <w:sz w:val="21"/>
                <w:szCs w:val="21"/>
              </w:rPr>
              <w:t>600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</w:tr>
      <w:tr w:rsidR="00445EE3" w:rsidRPr="000E3CF5" w14:paraId="39B26FE4" w14:textId="77777777" w:rsidTr="003733F1">
        <w:trPr>
          <w:cantSplit/>
          <w:jc w:val="center"/>
        </w:trPr>
        <w:tc>
          <w:tcPr>
            <w:tcW w:w="2279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D116CD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AHEI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46DD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52.9 (11.4)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D6DA3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52 (11.1)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EA5FA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51.1 (10.8)</w:t>
            </w:r>
          </w:p>
        </w:tc>
      </w:tr>
      <w:tr w:rsidR="00445EE3" w:rsidRPr="000E3CF5" w14:paraId="37F01BBD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7B5247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Alcohol, g/day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0161B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7.1 (11.6)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CD902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7.3 (12.1)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8DFB57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7.1 (12.4)</w:t>
            </w:r>
          </w:p>
        </w:tc>
      </w:tr>
      <w:tr w:rsidR="00445EE3" w:rsidRPr="000E3CF5" w14:paraId="012D28F2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64E10D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Red or processed meat, servings/week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1A7CD2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4.9 (3.9)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3380F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4.7 (3.7)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78D86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4.6 (3.7)</w:t>
            </w:r>
          </w:p>
        </w:tc>
      </w:tr>
      <w:tr w:rsidR="00445EE3" w:rsidRPr="000E3CF5" w14:paraId="064177A2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888888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Total fiber, g/day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EAA139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21.8 (6.9)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7E884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20.9 (6.4)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DFDD80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20.4 (6.2)</w:t>
            </w:r>
          </w:p>
        </w:tc>
      </w:tr>
      <w:tr w:rsidR="00445EE3" w:rsidRPr="000E3CF5" w14:paraId="1116425A" w14:textId="77777777" w:rsidTr="003733F1">
        <w:trPr>
          <w:cantSplit/>
          <w:jc w:val="center"/>
        </w:trPr>
        <w:tc>
          <w:tcPr>
            <w:tcW w:w="22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972658" w14:textId="77777777" w:rsidR="00445EE3" w:rsidRPr="000E3CF5" w:rsidRDefault="00445EE3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Total calorie intake, kcal/day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6C30D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179</w:t>
            </w:r>
            <w:r>
              <w:rPr>
                <w:color w:val="000000"/>
                <w:sz w:val="21"/>
                <w:szCs w:val="21"/>
              </w:rPr>
              <w:t>1</w:t>
            </w:r>
            <w:r w:rsidRPr="000E3CF5">
              <w:rPr>
                <w:color w:val="000000"/>
                <w:sz w:val="21"/>
                <w:szCs w:val="21"/>
              </w:rPr>
              <w:t xml:space="preserve"> (59</w:t>
            </w:r>
            <w:r>
              <w:rPr>
                <w:color w:val="000000"/>
                <w:sz w:val="21"/>
                <w:szCs w:val="21"/>
              </w:rPr>
              <w:t>5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95B5B3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1770 (572)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83DC3" w14:textId="77777777" w:rsidR="00445EE3" w:rsidRPr="000E3CF5" w:rsidRDefault="00445EE3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E3CF5">
              <w:rPr>
                <w:color w:val="000000"/>
                <w:sz w:val="21"/>
                <w:szCs w:val="21"/>
              </w:rPr>
              <w:t>175</w:t>
            </w:r>
            <w:r>
              <w:rPr>
                <w:color w:val="000000"/>
                <w:sz w:val="21"/>
                <w:szCs w:val="21"/>
              </w:rPr>
              <w:t>4</w:t>
            </w:r>
            <w:r w:rsidRPr="000E3CF5">
              <w:rPr>
                <w:color w:val="000000"/>
                <w:sz w:val="21"/>
                <w:szCs w:val="21"/>
              </w:rPr>
              <w:t xml:space="preserve"> (56</w:t>
            </w:r>
            <w:r>
              <w:rPr>
                <w:color w:val="000000"/>
                <w:sz w:val="21"/>
                <w:szCs w:val="21"/>
              </w:rPr>
              <w:t>5</w:t>
            </w:r>
            <w:r w:rsidRPr="000E3CF5">
              <w:rPr>
                <w:color w:val="000000"/>
                <w:sz w:val="21"/>
                <w:szCs w:val="21"/>
              </w:rPr>
              <w:t>)</w:t>
            </w:r>
          </w:p>
        </w:tc>
      </w:tr>
    </w:tbl>
    <w:p w14:paraId="1DFC2860" w14:textId="77777777" w:rsidR="00445EE3" w:rsidRPr="00EB5D9B" w:rsidRDefault="00445EE3" w:rsidP="00445EE3">
      <w:pPr>
        <w:adjustRightInd w:val="0"/>
        <w:spacing w:before="12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t>Abbreviations: NHS, Nurses’ Health Study; HPFS, Health Professionals Follow-up Study; kg, kilogram; m, meter; METs, metabolic equivalent tasks; ug, microgram; IU, international unit; mg, milligram; AHEI, Alternate Healthy Eating Index score; g, gram; kcal, kilocalorie.</w:t>
      </w:r>
    </w:p>
    <w:p w14:paraId="6DA5AEC2" w14:textId="77777777" w:rsidR="00445EE3" w:rsidRPr="00EB5D9B" w:rsidRDefault="00445EE3" w:rsidP="00445EE3">
      <w:pPr>
        <w:adjustRightInd w:val="0"/>
        <w:rPr>
          <w:color w:val="000000"/>
          <w:sz w:val="21"/>
          <w:szCs w:val="21"/>
        </w:rPr>
      </w:pPr>
      <w:proofErr w:type="spellStart"/>
      <w:proofErr w:type="gramStart"/>
      <w:r w:rsidRPr="00EB5D9B">
        <w:rPr>
          <w:color w:val="000000"/>
          <w:sz w:val="21"/>
          <w:szCs w:val="21"/>
          <w:vertAlign w:val="superscript"/>
        </w:rPr>
        <w:t>a</w:t>
      </w:r>
      <w:proofErr w:type="spellEnd"/>
      <w:proofErr w:type="gramEnd"/>
      <w:r w:rsidRPr="00EB5D9B">
        <w:rPr>
          <w:color w:val="000000"/>
          <w:sz w:val="21"/>
          <w:szCs w:val="21"/>
          <w:vertAlign w:val="superscript"/>
        </w:rPr>
        <w:t xml:space="preserve"> </w:t>
      </w:r>
      <w:r w:rsidRPr="00EB5D9B">
        <w:rPr>
          <w:color w:val="000000"/>
          <w:sz w:val="21"/>
          <w:szCs w:val="21"/>
        </w:rPr>
        <w:t>Updated information throughout follow-up (NHS: 199</w:t>
      </w:r>
      <w:r>
        <w:rPr>
          <w:color w:val="000000"/>
          <w:sz w:val="21"/>
          <w:szCs w:val="21"/>
        </w:rPr>
        <w:t>4</w:t>
      </w:r>
      <w:r w:rsidRPr="00EB5D9B">
        <w:rPr>
          <w:color w:val="000000"/>
          <w:sz w:val="21"/>
          <w:szCs w:val="21"/>
        </w:rPr>
        <w:t>-2016; HPFS: 1990-</w:t>
      </w:r>
      <w:r>
        <w:rPr>
          <w:color w:val="000000"/>
          <w:sz w:val="21"/>
          <w:szCs w:val="21"/>
        </w:rPr>
        <w:t>2014</w:t>
      </w:r>
      <w:r w:rsidRPr="00EB5D9B">
        <w:rPr>
          <w:color w:val="000000"/>
          <w:sz w:val="21"/>
          <w:szCs w:val="21"/>
        </w:rPr>
        <w:t>) was used to calculate the mean (SD) for continuous variables and percentage for categorical variables. All variables are age-standardized except age.</w:t>
      </w:r>
    </w:p>
    <w:p w14:paraId="082E380C" w14:textId="77777777" w:rsidR="00445EE3" w:rsidRPr="00EB5D9B" w:rsidRDefault="00445EE3" w:rsidP="00445EE3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Body mass index was calculated as weight in kilograms divided by the square of height in meters.</w:t>
      </w:r>
    </w:p>
    <w:p w14:paraId="7028E9AA" w14:textId="77777777" w:rsidR="00445EE3" w:rsidRPr="00EB5D9B" w:rsidRDefault="00445EE3" w:rsidP="00445EE3">
      <w:pPr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c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rFonts w:eastAsiaTheme="minorEastAsia"/>
          <w:color w:val="000000" w:themeColor="text1"/>
          <w:sz w:val="21"/>
          <w:szCs w:val="21"/>
        </w:rPr>
        <w:t>Weekly energy expenditure in MET-hours/week from recreational and leisure time physical activity.</w:t>
      </w:r>
    </w:p>
    <w:p w14:paraId="281B4236" w14:textId="6C991FA2" w:rsidR="00F57414" w:rsidRPr="00D624B7" w:rsidRDefault="00445EE3" w:rsidP="00445EE3">
      <w:r w:rsidRPr="00EB5D9B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 Cumulative among smokers.</w:t>
      </w:r>
    </w:p>
    <w:sectPr w:rsidR="00F57414" w:rsidRPr="00D624B7" w:rsidSect="00445EE3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3CA5" w14:textId="77777777" w:rsidR="009E3A23" w:rsidRDefault="009E3A23" w:rsidP="00577CBD">
      <w:r>
        <w:separator/>
      </w:r>
    </w:p>
  </w:endnote>
  <w:endnote w:type="continuationSeparator" w:id="0">
    <w:p w14:paraId="47577D08" w14:textId="77777777" w:rsidR="009E3A23" w:rsidRDefault="009E3A23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8637" w14:textId="77777777" w:rsidR="009E3A23" w:rsidRDefault="009E3A23" w:rsidP="00577CBD">
      <w:r>
        <w:separator/>
      </w:r>
    </w:p>
  </w:footnote>
  <w:footnote w:type="continuationSeparator" w:id="0">
    <w:p w14:paraId="1696F6E6" w14:textId="77777777" w:rsidR="009E3A23" w:rsidRDefault="009E3A23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45EE3"/>
    <w:rsid w:val="004C6416"/>
    <w:rsid w:val="00577CBD"/>
    <w:rsid w:val="00896C9D"/>
    <w:rsid w:val="009E3A23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2021-07-29T17:13:00Z</dcterms:modified>
</cp:coreProperties>
</file>