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61A2" w14:textId="77777777" w:rsidR="00251ED0" w:rsidRPr="00FB56A5" w:rsidRDefault="00251ED0" w:rsidP="00251ED0">
      <w:pPr>
        <w:rPr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FB56A5">
        <w:rPr>
          <w:b/>
          <w:color w:val="000000" w:themeColor="text1"/>
          <w:sz w:val="21"/>
          <w:szCs w:val="21"/>
        </w:rPr>
        <w:t>Table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13</w:t>
      </w:r>
      <w:r w:rsidRPr="00FB56A5">
        <w:rPr>
          <w:b/>
          <w:color w:val="000000" w:themeColor="text1"/>
          <w:sz w:val="21"/>
          <w:szCs w:val="21"/>
        </w:rPr>
        <w:t xml:space="preserve">. 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Total duration of statin use and </w:t>
      </w:r>
      <w:r w:rsidRPr="00FB56A5">
        <w:rPr>
          <w:b/>
          <w:color w:val="000000" w:themeColor="text1"/>
          <w:sz w:val="21"/>
          <w:szCs w:val="21"/>
        </w:rPr>
        <w:t>colorectal cancer incidence in the pooled NHS and HPFS (sensitivity analyses, among participants with hypercholesterolemia)</w:t>
      </w:r>
    </w:p>
    <w:p w14:paraId="0D86335C" w14:textId="77777777" w:rsidR="00251ED0" w:rsidRPr="00FB56A5" w:rsidRDefault="00251ED0" w:rsidP="00251ED0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438"/>
        <w:gridCol w:w="1601"/>
        <w:gridCol w:w="1583"/>
        <w:gridCol w:w="1623"/>
        <w:gridCol w:w="1620"/>
        <w:gridCol w:w="1170"/>
        <w:gridCol w:w="1620"/>
        <w:gridCol w:w="1087"/>
      </w:tblGrid>
      <w:tr w:rsidR="00251ED0" w:rsidRPr="00FB56A5" w14:paraId="74C6D65E" w14:textId="77777777" w:rsidTr="003733F1">
        <w:trPr>
          <w:trHeight w:val="410"/>
          <w:jc w:val="center"/>
        </w:trPr>
        <w:tc>
          <w:tcPr>
            <w:tcW w:w="1187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6D0A0A" w14:textId="77777777" w:rsidR="00251ED0" w:rsidRPr="00FB56A5" w:rsidRDefault="00251ED0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554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22715A0" w14:textId="77777777" w:rsidR="00251ED0" w:rsidRPr="00FB56A5" w:rsidRDefault="00251ED0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Total Duration of Statin</w:t>
            </w:r>
            <w:r w:rsidRPr="00FB56A5" w:rsidDel="00AD0D3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Use (Years)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75557E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FB56A5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e</w:t>
            </w:r>
            <w:r w:rsidRPr="00FB56A5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05DAFB8" w14:textId="77777777" w:rsidR="00251ED0" w:rsidRPr="00FB56A5" w:rsidRDefault="00251ED0" w:rsidP="003733F1">
            <w:pPr>
              <w:adjustRightInd w:val="0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Per 5-year increment</w:t>
            </w:r>
          </w:p>
          <w:p w14:paraId="652B03BA" w14:textId="77777777" w:rsidR="00251ED0" w:rsidRPr="00FB56A5" w:rsidRDefault="00251ED0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 xml:space="preserve">HR (95% CI) 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3AE743" w14:textId="77777777" w:rsidR="00251ED0" w:rsidRPr="00FB56A5" w:rsidRDefault="00251ED0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FB56A5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f</w:t>
            </w:r>
          </w:p>
        </w:tc>
      </w:tr>
      <w:tr w:rsidR="00251ED0" w:rsidRPr="00FB56A5" w14:paraId="4224FAC3" w14:textId="77777777" w:rsidTr="003733F1">
        <w:trPr>
          <w:trHeight w:val="410"/>
          <w:jc w:val="center"/>
        </w:trPr>
        <w:tc>
          <w:tcPr>
            <w:tcW w:w="118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ADCF9" w14:textId="77777777" w:rsidR="00251ED0" w:rsidRPr="00FB56A5" w:rsidRDefault="00251ED0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9BE3A6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790AB5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9C8C76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6 to 10</w:t>
            </w:r>
            <w:r w:rsidRPr="00FB56A5">
              <w:rPr>
                <w:bCs/>
                <w:color w:val="000000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52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C54204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11 to 15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82614E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&gt;15</w:t>
            </w:r>
          </w:p>
        </w:tc>
        <w:tc>
          <w:tcPr>
            <w:tcW w:w="380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DBBC9B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DF8D41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3AD5B2" w14:textId="77777777" w:rsidR="00251ED0" w:rsidRPr="00FB56A5" w:rsidRDefault="00251ED0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0A10DC6D" w14:textId="77777777" w:rsidTr="003733F1">
        <w:trPr>
          <w:trHeight w:val="290"/>
          <w:jc w:val="center"/>
        </w:trPr>
        <w:tc>
          <w:tcPr>
            <w:tcW w:w="118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FB4D04D" w14:textId="77777777" w:rsidR="00251ED0" w:rsidRPr="00FB56A5" w:rsidRDefault="00251ED0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6A7DC0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  <w:vAlign w:val="center"/>
          </w:tcPr>
          <w:p w14:paraId="20B20D3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B26BE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14:paraId="7CE30E4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2DA6C56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14:paraId="71F0E38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41549DD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14:paraId="6637E9C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25080592" w14:textId="77777777" w:rsidTr="003733F1">
        <w:trPr>
          <w:trHeight w:val="290"/>
          <w:jc w:val="center"/>
        </w:trPr>
        <w:tc>
          <w:tcPr>
            <w:tcW w:w="1187" w:type="pct"/>
            <w:shd w:val="clear" w:color="auto" w:fill="auto"/>
            <w:noWrap/>
            <w:vAlign w:val="center"/>
          </w:tcPr>
          <w:p w14:paraId="43E5069B" w14:textId="77777777" w:rsidR="00251ED0" w:rsidRPr="00FB56A5" w:rsidRDefault="00251ED0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1495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443B4D5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700</w:t>
            </w:r>
          </w:p>
        </w:tc>
        <w:tc>
          <w:tcPr>
            <w:tcW w:w="520" w:type="pct"/>
            <w:vAlign w:val="center"/>
          </w:tcPr>
          <w:p w14:paraId="3211CA3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395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F872C6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283</w:t>
            </w:r>
          </w:p>
        </w:tc>
        <w:tc>
          <w:tcPr>
            <w:tcW w:w="527" w:type="pct"/>
            <w:vAlign w:val="center"/>
          </w:tcPr>
          <w:p w14:paraId="2FBFE48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526" w:type="pct"/>
            <w:vAlign w:val="center"/>
          </w:tcPr>
          <w:p w14:paraId="6FAFF3C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380" w:type="pct"/>
            <w:vAlign w:val="center"/>
          </w:tcPr>
          <w:p w14:paraId="4C27EB1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2739ED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Align w:val="center"/>
          </w:tcPr>
          <w:p w14:paraId="18A24A4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78841AFD" w14:textId="77777777" w:rsidTr="003733F1">
        <w:trPr>
          <w:trHeight w:val="290"/>
          <w:jc w:val="center"/>
        </w:trPr>
        <w:tc>
          <w:tcPr>
            <w:tcW w:w="1187" w:type="pct"/>
            <w:shd w:val="clear" w:color="auto" w:fill="auto"/>
            <w:noWrap/>
            <w:vAlign w:val="center"/>
          </w:tcPr>
          <w:p w14:paraId="3FCA76F9" w14:textId="77777777" w:rsidR="00251ED0" w:rsidRPr="00FB56A5" w:rsidRDefault="00251ED0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5430C7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 [Ref]</w:t>
            </w:r>
          </w:p>
        </w:tc>
        <w:tc>
          <w:tcPr>
            <w:tcW w:w="520" w:type="pct"/>
            <w:vAlign w:val="center"/>
          </w:tcPr>
          <w:p w14:paraId="0843160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6A686E">
              <w:rPr>
                <w:color w:val="000000" w:themeColor="text1"/>
                <w:sz w:val="21"/>
                <w:szCs w:val="21"/>
              </w:rPr>
              <w:t xml:space="preserve"> (0.97-1.25)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0B1566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1.05 (0.91-1.22)</w:t>
            </w:r>
          </w:p>
        </w:tc>
        <w:tc>
          <w:tcPr>
            <w:tcW w:w="527" w:type="pct"/>
            <w:vAlign w:val="center"/>
          </w:tcPr>
          <w:p w14:paraId="7E4D507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1.04 (0.80-1.34)</w:t>
            </w:r>
          </w:p>
        </w:tc>
        <w:tc>
          <w:tcPr>
            <w:tcW w:w="526" w:type="pct"/>
            <w:vAlign w:val="center"/>
          </w:tcPr>
          <w:p w14:paraId="7713C56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1.44 (1.04-2.02)</w:t>
            </w:r>
          </w:p>
        </w:tc>
        <w:tc>
          <w:tcPr>
            <w:tcW w:w="380" w:type="pct"/>
            <w:vAlign w:val="center"/>
          </w:tcPr>
          <w:p w14:paraId="4C89163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.19</w:t>
            </w:r>
          </w:p>
        </w:tc>
        <w:tc>
          <w:tcPr>
            <w:tcW w:w="526" w:type="pct"/>
            <w:vAlign w:val="center"/>
          </w:tcPr>
          <w:p w14:paraId="4225804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1.03 (0.97-1.11)</w:t>
            </w:r>
          </w:p>
        </w:tc>
        <w:tc>
          <w:tcPr>
            <w:tcW w:w="353" w:type="pct"/>
            <w:vAlign w:val="center"/>
          </w:tcPr>
          <w:p w14:paraId="33B66D1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.31</w:t>
            </w:r>
          </w:p>
        </w:tc>
      </w:tr>
      <w:tr w:rsidR="00251ED0" w:rsidRPr="00FB56A5" w14:paraId="0E0E11AE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0C63FA" w14:textId="77777777" w:rsidR="00251ED0" w:rsidRPr="00FB56A5" w:rsidRDefault="00251ED0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6468A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3C0EB73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1.09 (0.96-1.24)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98755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1.04 (0.90-1.22)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42D9ED0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1.03 (0.79-1.33)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D66493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1.44 (1.03-2.02)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18143EA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.22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BB4DE9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1.03 (0.96-1.10)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4CD2B9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.36</w:t>
            </w:r>
          </w:p>
        </w:tc>
      </w:tr>
      <w:tr w:rsidR="00251ED0" w:rsidRPr="00FB56A5" w14:paraId="20099744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C9012C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3EE15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4557466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1.10 (0.97-1.25)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33E28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1.05 (0.90-1.22)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21867FC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1.04 (0.80-1.34)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E1DA1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1.46 (1.04-2.04)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5678F03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8A5110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1.04 (0.97-1.11)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F8A19B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.31</w:t>
            </w:r>
          </w:p>
        </w:tc>
      </w:tr>
      <w:tr w:rsidR="00251ED0" w:rsidRPr="00FB56A5" w14:paraId="5D2A86DB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FCC314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D492A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1F0B204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E3320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0F03A47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9C851B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34F41BC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3DA2E2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342A7DD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42FB6D63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847306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3D837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11EA829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9FCFF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49F90D2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27B028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741C37E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9996A5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D925CB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5E4B66D1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A03C71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1115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3B8DD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495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3FBD8CA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301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C9E62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225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0D8FD0F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55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151842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0F47AAE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B7343F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004415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60048A66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B45352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ED19C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7802A87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1.18 (1.02-1.37)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06519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1.17 (0.99-1.39)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2274349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1.09 (0.81-1.46)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F135E6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1.88 (1.32-2.69)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051A4AF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CBA0D7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1.09 (1.01-1.17)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8A3691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.03</w:t>
            </w:r>
          </w:p>
        </w:tc>
      </w:tr>
      <w:tr w:rsidR="00251ED0" w:rsidRPr="00FB56A5" w14:paraId="1E8EF56B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3E577A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AEB6C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64A74A8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1.18 (1.02-1.37)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E42E5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1.16 (0.98-1.39)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4CD3542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1.08 (0.80-1.45)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250B9C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1.86 (1.29-2.67)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4DF5046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BB5D05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1.08 (1.00-1.17)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906379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.04</w:t>
            </w:r>
          </w:p>
        </w:tc>
      </w:tr>
      <w:tr w:rsidR="00251ED0" w:rsidRPr="00FB56A5" w14:paraId="5C2799A8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69DCBD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463AD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4E4B3D0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1.18 (1.02-1.37)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709B2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1.17 (0.99-1.40)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75FD9CD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1.09 (0.81-1.47)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D776E6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1.88 (1.31-2.71)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09D32E2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59F362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1.09 (1.01-1.18)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7ECA29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.03</w:t>
            </w:r>
          </w:p>
        </w:tc>
      </w:tr>
      <w:tr w:rsidR="00251ED0" w:rsidRPr="00FB56A5" w14:paraId="45773B54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3EB172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2A667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1BA8B2A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D9791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7F0766C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9FFEBE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4A0A4C3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81BD75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F21F9C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3860D1F2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2BD3AB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Proximal c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640BE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6F29936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07D0B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2BE0076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C89CAD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5D37B00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C6934D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B1DFC3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18C53EC5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630B33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702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B19F0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287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002DF6C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194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601AA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47EBA95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6CCAF6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8659F"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65719D6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2AFEE2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2502C6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3BE090D2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05D7FE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3C0F9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3C2F691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1.26 (1.05-1.52)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DFE25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1.23 (0.99-1.52)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04FAD98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1.27 (0.90-1.80)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678EE0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2.27 (1.51-3.43)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0850AAC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.002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9B34A07" w14:textId="77777777" w:rsidR="00251ED0" w:rsidRPr="00D44FE1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1.14 (1.04-1.25)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E2BA83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.005</w:t>
            </w:r>
          </w:p>
        </w:tc>
      </w:tr>
      <w:tr w:rsidR="00251ED0" w:rsidRPr="00FB56A5" w14:paraId="55622ED9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2093C8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D2266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1E178FC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1.25 (1.03-1.51)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F3FA7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1.2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6A686E">
              <w:rPr>
                <w:color w:val="000000" w:themeColor="text1"/>
                <w:sz w:val="21"/>
                <w:szCs w:val="21"/>
              </w:rPr>
              <w:t xml:space="preserve"> (0.97-1.50)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12DCAF6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1.24 (0.87-1.76)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740D14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2.2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6A686E">
              <w:rPr>
                <w:color w:val="000000" w:themeColor="text1"/>
                <w:sz w:val="21"/>
                <w:szCs w:val="21"/>
              </w:rPr>
              <w:t xml:space="preserve"> (1.45-3.34)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4CA9CE7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.005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9616E4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1.13 (1.03-1.24)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9CFD66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.01</w:t>
            </w:r>
          </w:p>
        </w:tc>
      </w:tr>
      <w:tr w:rsidR="00251ED0" w:rsidRPr="00FB56A5" w14:paraId="0EC98437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AC2276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B2C45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3523DFC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1.26 (1.04-1.52)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4DA84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1.22 (0.98-1.51)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0A3D2F0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1.26 (0.88-1.78)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8417F0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2.25 (1.48-3.41)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33B2E97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1B33D5D" w14:textId="77777777" w:rsidR="00251ED0" w:rsidRPr="00D44FE1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1.13 (1.03-1.24)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4460F6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.008</w:t>
            </w:r>
          </w:p>
        </w:tc>
      </w:tr>
      <w:tr w:rsidR="00251ED0" w:rsidRPr="00FB56A5" w14:paraId="563C1750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E1E262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B6B07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5A9D213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10469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6070381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C24972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32C7BA5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344692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282FD4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253EAAB6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573592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Distal 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AF164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7DF58AE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DE070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13C1367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6527A2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5524C94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F49F7D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3B6C20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52EE6C0C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27E0FB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367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EEE75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189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1C2E76B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8DDA9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0608D4D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BD8FB3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6E2B3E8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C0ACC6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550AC4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1DAB5CAA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B3E80C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D9C61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6492116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1.06 (0.83-1.37)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B1EE6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1.05 (0.79-1.40)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0F141E1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1D434E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14FF1B47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.77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9C62898" w14:textId="77777777" w:rsidR="00251ED0" w:rsidRPr="00D44FE1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0.98 (0.85-1.14)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21012B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.82</w:t>
            </w:r>
          </w:p>
        </w:tc>
      </w:tr>
      <w:tr w:rsidR="00251ED0" w:rsidRPr="00FB56A5" w14:paraId="2BFF51FF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0E993C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19647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0A3028F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1.07 (0.83-1.39)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A119C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1.08 (0.81-1.45)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63668CA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02FE1A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77EF9EF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.64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EB2AD5E" w14:textId="77777777" w:rsidR="00251ED0" w:rsidRPr="00D44FE1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.00</w:t>
            </w:r>
            <w:r w:rsidRPr="006A686E">
              <w:rPr>
                <w:color w:val="000000" w:themeColor="text1"/>
                <w:sz w:val="21"/>
                <w:szCs w:val="21"/>
              </w:rPr>
              <w:t xml:space="preserve"> (0.86-1.16)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7B1D32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.96</w:t>
            </w:r>
          </w:p>
        </w:tc>
      </w:tr>
      <w:tr w:rsidR="00251ED0" w:rsidRPr="00FB56A5" w14:paraId="75270A10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F965A5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BD6C1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2BE99A6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1.07 (0.83-1.39)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D65E8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1.09 (0.81-1.46)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29F44DF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C5F9AB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1ABEB80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.61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1A750DE" w14:textId="77777777" w:rsidR="00251ED0" w:rsidRPr="00D44FE1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1.00 (0.86-1.16)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AD62A7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.99</w:t>
            </w:r>
          </w:p>
        </w:tc>
      </w:tr>
      <w:tr w:rsidR="00251ED0" w:rsidRPr="00FB56A5" w14:paraId="1BA9AE2A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B9FFEB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9BE12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2619FFC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75F79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1EA9341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C3FA84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11276A7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02AF87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B8AECC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1AE06BC7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8B3316" w14:textId="77777777" w:rsidR="00251ED0" w:rsidRPr="00FB56A5" w:rsidRDefault="00251ED0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B56A5">
              <w:rPr>
                <w:b/>
                <w:bCs/>
                <w:color w:val="000000" w:themeColor="text1"/>
                <w:sz w:val="21"/>
                <w:szCs w:val="21"/>
              </w:rPr>
              <w:t>Rectal cancer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33A4D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6246A6E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7D3ED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1EDF7E1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EF4171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75276B3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448A89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278AF0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368FDBBE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93740E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303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D810D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169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210B7E3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F704D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2F8075C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E343C4C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64FA0EF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81E08F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34A5AF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51ED0" w:rsidRPr="00FB56A5" w14:paraId="16877166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EDDC18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2156E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191032D1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0.89 (0.67-1.18)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7A2D4E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0.76 (0.55-1.05)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7328D7B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0E83ACF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6824DB0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.10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8F2C45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0.86 (0.73-1.02)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4629F5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.08</w:t>
            </w:r>
          </w:p>
        </w:tc>
      </w:tr>
      <w:tr w:rsidR="00251ED0" w:rsidRPr="00FB56A5" w14:paraId="55A6C448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1610A6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46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898BC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14:paraId="29C4BC45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0.9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6A686E">
              <w:rPr>
                <w:color w:val="000000" w:themeColor="text1"/>
                <w:sz w:val="21"/>
                <w:szCs w:val="21"/>
              </w:rPr>
              <w:t xml:space="preserve"> (0.68-1.20)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776E84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0.76 (0.55-1.06)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14:paraId="2FD7BAC9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2257C2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14:paraId="731984F0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50DED0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A686E">
              <w:rPr>
                <w:color w:val="000000" w:themeColor="text1"/>
                <w:sz w:val="21"/>
                <w:szCs w:val="21"/>
              </w:rPr>
              <w:t>0.87 (0.73-1.03)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24B8128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.10</w:t>
            </w:r>
          </w:p>
        </w:tc>
      </w:tr>
      <w:tr w:rsidR="00251ED0" w:rsidRPr="00FB56A5" w14:paraId="2C55FED2" w14:textId="77777777" w:rsidTr="003733F1">
        <w:trPr>
          <w:trHeight w:val="201"/>
          <w:jc w:val="center"/>
        </w:trPr>
        <w:tc>
          <w:tcPr>
            <w:tcW w:w="118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C4D598" w14:textId="77777777" w:rsidR="00251ED0" w:rsidRPr="00FB56A5" w:rsidRDefault="00251ED0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screening</w:t>
            </w:r>
            <w:r w:rsidRPr="00FB56A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56A5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46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432773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0" w:type="pct"/>
            <w:tcBorders>
              <w:top w:val="nil"/>
              <w:bottom w:val="single" w:sz="12" w:space="0" w:color="auto"/>
            </w:tcBorders>
            <w:vAlign w:val="center"/>
          </w:tcPr>
          <w:p w14:paraId="1E4D2ABD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0.91 (0.68-1.21)</w:t>
            </w:r>
          </w:p>
        </w:tc>
        <w:tc>
          <w:tcPr>
            <w:tcW w:w="51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6D64D6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0.77 (0.55-1.07)</w:t>
            </w:r>
          </w:p>
        </w:tc>
        <w:tc>
          <w:tcPr>
            <w:tcW w:w="527" w:type="pct"/>
            <w:tcBorders>
              <w:top w:val="nil"/>
              <w:bottom w:val="single" w:sz="12" w:space="0" w:color="auto"/>
            </w:tcBorders>
            <w:vAlign w:val="center"/>
          </w:tcPr>
          <w:p w14:paraId="2CC226D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2F59737B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B56A5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80" w:type="pct"/>
            <w:tcBorders>
              <w:top w:val="nil"/>
              <w:bottom w:val="single" w:sz="12" w:space="0" w:color="auto"/>
            </w:tcBorders>
            <w:vAlign w:val="center"/>
          </w:tcPr>
          <w:p w14:paraId="15AFF9F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.12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1B147E9A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B3BDD">
              <w:rPr>
                <w:color w:val="000000" w:themeColor="text1"/>
                <w:sz w:val="21"/>
                <w:szCs w:val="21"/>
              </w:rPr>
              <w:t>0.87 (0.73-1.03)</w:t>
            </w:r>
          </w:p>
        </w:tc>
        <w:tc>
          <w:tcPr>
            <w:tcW w:w="353" w:type="pct"/>
            <w:tcBorders>
              <w:top w:val="nil"/>
              <w:bottom w:val="single" w:sz="12" w:space="0" w:color="auto"/>
            </w:tcBorders>
            <w:vAlign w:val="center"/>
          </w:tcPr>
          <w:p w14:paraId="7C498A92" w14:textId="77777777" w:rsidR="00251ED0" w:rsidRPr="00FB56A5" w:rsidRDefault="00251ED0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.11</w:t>
            </w:r>
          </w:p>
        </w:tc>
      </w:tr>
    </w:tbl>
    <w:p w14:paraId="7A1D9AD3" w14:textId="77777777" w:rsidR="00251ED0" w:rsidRPr="00FB56A5" w:rsidRDefault="00251ED0" w:rsidP="00251ED0">
      <w:pPr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NHS, Nurses’ Health Study; HPFS, Health Professionals Follow-up Study; MV, multivariate; HR, hazard ratio; CI, confidence interval.</w:t>
      </w:r>
    </w:p>
    <w:p w14:paraId="5CC97701" w14:textId="77777777" w:rsidR="00251ED0" w:rsidRPr="00FB56A5" w:rsidRDefault="00251ED0" w:rsidP="00251ED0">
      <w:pPr>
        <w:rPr>
          <w:color w:val="000000"/>
          <w:sz w:val="21"/>
          <w:szCs w:val="21"/>
        </w:rPr>
      </w:pPr>
      <w:proofErr w:type="spellStart"/>
      <w:r w:rsidRPr="00FB56A5">
        <w:rPr>
          <w:color w:val="000000" w:themeColor="text1"/>
          <w:sz w:val="21"/>
          <w:szCs w:val="21"/>
          <w:vertAlign w:val="superscript"/>
        </w:rPr>
        <w:t>a</w:t>
      </w:r>
      <w:proofErr w:type="spellEnd"/>
      <w:r w:rsidRPr="00FB56A5">
        <w:rPr>
          <w:color w:val="000000" w:themeColor="text1"/>
          <w:sz w:val="21"/>
          <w:szCs w:val="21"/>
        </w:rPr>
        <w:t xml:space="preserve"> </w:t>
      </w:r>
      <w:proofErr w:type="gramStart"/>
      <w:r w:rsidRPr="00FB56A5">
        <w:rPr>
          <w:color w:val="000000" w:themeColor="text1"/>
          <w:sz w:val="21"/>
          <w:szCs w:val="21"/>
        </w:rPr>
        <w:t>The</w:t>
      </w:r>
      <w:proofErr w:type="gramEnd"/>
      <w:r w:rsidRPr="00FB56A5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FB56A5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37E74000" w14:textId="77777777" w:rsidR="00251ED0" w:rsidRPr="00FB56A5" w:rsidRDefault="00251ED0" w:rsidP="00251ED0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FB56A5">
        <w:rPr>
          <w:color w:val="000000"/>
          <w:sz w:val="21"/>
          <w:szCs w:val="21"/>
        </w:rPr>
        <w:t>.</w:t>
      </w:r>
    </w:p>
    <w:p w14:paraId="3D8F0349" w14:textId="77777777" w:rsidR="00251ED0" w:rsidRPr="00FB56A5" w:rsidRDefault="00251ED0" w:rsidP="00251ED0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lastRenderedPageBreak/>
        <w:t>c</w:t>
      </w:r>
      <w:r w:rsidRPr="00FB56A5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FB56A5">
        <w:rPr>
          <w:color w:val="000000"/>
          <w:sz w:val="21"/>
          <w:szCs w:val="21"/>
        </w:rPr>
        <w:t xml:space="preserve"> sex, race, pack-years of smoking, physical activity, BMI, alcohol consumption, AHEI, regular use of aspirin, family history of colorectal cancer, </w:t>
      </w:r>
      <w:r w:rsidRPr="00FB56A5">
        <w:rPr>
          <w:rFonts w:eastAsiaTheme="minorEastAsia"/>
          <w:color w:val="000000" w:themeColor="text1"/>
          <w:sz w:val="21"/>
          <w:szCs w:val="21"/>
        </w:rPr>
        <w:t>history of diabetes mellitus</w:t>
      </w:r>
      <w:r w:rsidRPr="00FB56A5">
        <w:rPr>
          <w:color w:val="000000"/>
          <w:sz w:val="21"/>
          <w:szCs w:val="21"/>
        </w:rPr>
        <w:t>, multivitamin use, total calorie intake, red or processed meat intake, fiber intake, folate intake, calcium intake, and vitamin D intake.</w:t>
      </w:r>
    </w:p>
    <w:p w14:paraId="327DE5B5" w14:textId="77777777" w:rsidR="00251ED0" w:rsidRPr="00FB56A5" w:rsidRDefault="00251ED0" w:rsidP="00251ED0">
      <w:pPr>
        <w:autoSpaceDE w:val="0"/>
        <w:autoSpaceDN w:val="0"/>
        <w:adjustRightInd w:val="0"/>
        <w:rPr>
          <w:rFonts w:eastAsiaTheme="minorEastAsia"/>
          <w:color w:val="000000" w:themeColor="text1"/>
          <w:sz w:val="21"/>
          <w:szCs w:val="21"/>
        </w:rPr>
      </w:pPr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FB56A5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FB56A5">
        <w:rPr>
          <w:color w:val="000000" w:themeColor="text1"/>
          <w:sz w:val="21"/>
          <w:szCs w:val="21"/>
        </w:rPr>
        <w:t xml:space="preserve"> for 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>screening colonoscopy or sigmoidoscopy</w:t>
      </w:r>
      <w:r w:rsidRPr="00FB56A5">
        <w:rPr>
          <w:rFonts w:eastAsiaTheme="minorEastAsia"/>
          <w:color w:val="000000" w:themeColor="text1"/>
          <w:sz w:val="21"/>
          <w:szCs w:val="21"/>
        </w:rPr>
        <w:t>.</w:t>
      </w:r>
    </w:p>
    <w:p w14:paraId="22E21098" w14:textId="77777777" w:rsidR="00251ED0" w:rsidRPr="00FB56A5" w:rsidRDefault="00251ED0" w:rsidP="00251ED0">
      <w:pPr>
        <w:keepNext/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e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>-value for trend was calculated using the mid-point of each category of statin</w:t>
      </w:r>
      <w:r w:rsidRPr="00FB56A5" w:rsidDel="00C21887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in years.</w:t>
      </w:r>
    </w:p>
    <w:p w14:paraId="55A367C4" w14:textId="77777777" w:rsidR="00251ED0" w:rsidRPr="00FB56A5" w:rsidRDefault="00251ED0" w:rsidP="00251ED0">
      <w:pPr>
        <w:rPr>
          <w:color w:val="000000"/>
          <w:sz w:val="21"/>
          <w:szCs w:val="21"/>
        </w:rPr>
      </w:pPr>
      <w:r w:rsidRPr="00FB56A5">
        <w:rPr>
          <w:bCs/>
          <w:color w:val="000000"/>
          <w:sz w:val="21"/>
          <w:szCs w:val="21"/>
          <w:vertAlign w:val="superscript"/>
          <w:lang w:val="en-GB"/>
        </w:rPr>
        <w:t>f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 xml:space="preserve">-value for trend was the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 xml:space="preserve"> value for variables modeled as continuous.</w:t>
      </w:r>
    </w:p>
    <w:p w14:paraId="281B4236" w14:textId="034FB617" w:rsidR="00F57414" w:rsidRPr="00D624B7" w:rsidRDefault="00251ED0" w:rsidP="00D624B7">
      <w:r w:rsidRPr="00FB56A5">
        <w:rPr>
          <w:color w:val="000000"/>
          <w:sz w:val="21"/>
          <w:szCs w:val="21"/>
        </w:rPr>
        <w:t xml:space="preserve">* </w:t>
      </w:r>
      <w:r w:rsidRPr="000B35A7">
        <w:rPr>
          <w:color w:val="000000"/>
          <w:sz w:val="21"/>
          <w:szCs w:val="21"/>
        </w:rPr>
        <w:t>6 to 10 for colorectal cancer, colon cancer, and proximal colon cancer, ≥ 6 for distal colon cancer and rectal cancer</w:t>
      </w:r>
      <w:r w:rsidRPr="00FB56A5">
        <w:rPr>
          <w:color w:val="000000"/>
          <w:sz w:val="21"/>
          <w:szCs w:val="21"/>
        </w:rPr>
        <w:t>.</w:t>
      </w:r>
    </w:p>
    <w:sectPr w:rsidR="00F57414" w:rsidRPr="00D624B7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B79A" w14:textId="77777777" w:rsidR="00161149" w:rsidRDefault="00161149" w:rsidP="00577CBD">
      <w:r>
        <w:separator/>
      </w:r>
    </w:p>
  </w:endnote>
  <w:endnote w:type="continuationSeparator" w:id="0">
    <w:p w14:paraId="5FFAB384" w14:textId="77777777" w:rsidR="00161149" w:rsidRDefault="00161149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B0E4" w14:textId="77777777" w:rsidR="00161149" w:rsidRDefault="00161149" w:rsidP="00577CBD">
      <w:r>
        <w:separator/>
      </w:r>
    </w:p>
  </w:footnote>
  <w:footnote w:type="continuationSeparator" w:id="0">
    <w:p w14:paraId="1B777C64" w14:textId="77777777" w:rsidR="00161149" w:rsidRDefault="00161149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149"/>
    <w:rsid w:val="00161A50"/>
    <w:rsid w:val="00251ED0"/>
    <w:rsid w:val="004C6416"/>
    <w:rsid w:val="00577CBD"/>
    <w:rsid w:val="00896C9D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2021-07-29T17:19:00Z</dcterms:modified>
</cp:coreProperties>
</file>