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32CE" w14:textId="77777777" w:rsidR="00AD65B2" w:rsidRPr="00EB5D9B" w:rsidRDefault="00AD65B2" w:rsidP="00AD65B2">
      <w:pPr>
        <w:rPr>
          <w:rFonts w:eastAsiaTheme="minorEastAsia"/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EB5D9B">
        <w:rPr>
          <w:b/>
          <w:color w:val="000000" w:themeColor="text1"/>
          <w:sz w:val="21"/>
          <w:szCs w:val="21"/>
        </w:rPr>
        <w:t>Table</w:t>
      </w:r>
      <w:r w:rsidRPr="00EB5D9B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16</w:t>
      </w:r>
      <w:r w:rsidRPr="00EB5D9B">
        <w:rPr>
          <w:b/>
          <w:color w:val="000000" w:themeColor="text1"/>
          <w:sz w:val="21"/>
          <w:szCs w:val="21"/>
        </w:rPr>
        <w:t xml:space="preserve">. 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Total duration of statin use and </w:t>
      </w:r>
      <w:r w:rsidRPr="00FB56A5">
        <w:rPr>
          <w:b/>
          <w:color w:val="000000" w:themeColor="text1"/>
          <w:sz w:val="21"/>
          <w:szCs w:val="21"/>
        </w:rPr>
        <w:t xml:space="preserve">colorectal cancer </w:t>
      </w:r>
      <w:r>
        <w:rPr>
          <w:b/>
          <w:color w:val="000000" w:themeColor="text1"/>
          <w:sz w:val="21"/>
          <w:szCs w:val="21"/>
        </w:rPr>
        <w:t>mortality</w:t>
      </w:r>
      <w:r w:rsidRPr="00FB56A5">
        <w:rPr>
          <w:b/>
          <w:color w:val="000000" w:themeColor="text1"/>
          <w:sz w:val="21"/>
          <w:szCs w:val="21"/>
        </w:rPr>
        <w:t xml:space="preserve"> in the pooled NHS and HPFS</w:t>
      </w:r>
    </w:p>
    <w:p w14:paraId="4389EA78" w14:textId="77777777" w:rsidR="00AD65B2" w:rsidRPr="00EB5D9B" w:rsidRDefault="00AD65B2" w:rsidP="00AD65B2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1081"/>
        <w:gridCol w:w="1620"/>
        <w:gridCol w:w="1620"/>
        <w:gridCol w:w="1620"/>
        <w:gridCol w:w="1620"/>
        <w:gridCol w:w="1081"/>
        <w:gridCol w:w="1620"/>
        <w:gridCol w:w="1087"/>
      </w:tblGrid>
      <w:tr w:rsidR="00AD65B2" w:rsidRPr="00EB5D9B" w14:paraId="7B116899" w14:textId="77777777" w:rsidTr="003733F1">
        <w:trPr>
          <w:trHeight w:val="410"/>
          <w:jc w:val="center"/>
        </w:trPr>
        <w:tc>
          <w:tcPr>
            <w:tcW w:w="131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CF4CB12" w14:textId="77777777" w:rsidR="00AD65B2" w:rsidRPr="00EB5D9B" w:rsidRDefault="00AD65B2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1F4455" w14:textId="77777777" w:rsidR="00AD65B2" w:rsidRPr="00EB5D9B" w:rsidRDefault="00AD65B2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Total Duration of Statin</w:t>
            </w:r>
            <w:r w:rsidRPr="00EB5D9B" w:rsidDel="00AD0D3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Use (Years)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8D6612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EB5D9B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color w:val="000000"/>
                <w:sz w:val="21"/>
                <w:szCs w:val="21"/>
                <w:vertAlign w:val="superscript"/>
                <w:lang w:val="en-GB"/>
              </w:rPr>
              <w:t>e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3917750" w14:textId="77777777" w:rsidR="00AD65B2" w:rsidRPr="00EB5D9B" w:rsidRDefault="00AD65B2" w:rsidP="003733F1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Per 5-year increment</w:t>
            </w:r>
          </w:p>
          <w:p w14:paraId="0E9B0970" w14:textId="77777777" w:rsidR="00AD65B2" w:rsidRPr="00EB5D9B" w:rsidRDefault="00AD65B2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 xml:space="preserve">HR (95% CI) 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C5CB34" w14:textId="77777777" w:rsidR="00AD65B2" w:rsidRPr="00EB5D9B" w:rsidRDefault="00AD65B2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EB5D9B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color w:val="000000"/>
                <w:sz w:val="21"/>
                <w:szCs w:val="21"/>
                <w:vertAlign w:val="superscript"/>
                <w:lang w:val="en-GB"/>
              </w:rPr>
              <w:t>f</w:t>
            </w:r>
          </w:p>
        </w:tc>
      </w:tr>
      <w:tr w:rsidR="00AD65B2" w:rsidRPr="00EB5D9B" w14:paraId="256DE676" w14:textId="77777777" w:rsidTr="003733F1">
        <w:trPr>
          <w:trHeight w:val="410"/>
          <w:jc w:val="center"/>
        </w:trPr>
        <w:tc>
          <w:tcPr>
            <w:tcW w:w="13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6A633" w14:textId="77777777" w:rsidR="00AD65B2" w:rsidRPr="00EB5D9B" w:rsidRDefault="00AD65B2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C82CCAA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F2834E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A4103F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6 to 10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0FEA3F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11 to 15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9A56EA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&gt;15</w:t>
            </w:r>
          </w:p>
        </w:tc>
        <w:tc>
          <w:tcPr>
            <w:tcW w:w="35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053BA7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CE5E31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0066A0" w14:textId="77777777" w:rsidR="00AD65B2" w:rsidRPr="00EB5D9B" w:rsidRDefault="00AD65B2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D65B2" w:rsidRPr="00EB5D9B" w14:paraId="62CB5089" w14:textId="77777777" w:rsidTr="003733F1">
        <w:trPr>
          <w:trHeight w:val="290"/>
          <w:jc w:val="center"/>
        </w:trPr>
        <w:tc>
          <w:tcPr>
            <w:tcW w:w="13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42F0AA6" w14:textId="77777777" w:rsidR="00AD65B2" w:rsidRPr="00EB5D9B" w:rsidRDefault="00AD65B2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mortality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BB82440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02536998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06A47D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7AE1390F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2D56E9A3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14:paraId="7A4DEF59" w14:textId="77777777" w:rsidR="00AD65B2" w:rsidRPr="000A0D50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1AE42112" w14:textId="77777777" w:rsidR="00AD65B2" w:rsidRPr="000A0D50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3CD56D35" w14:textId="77777777" w:rsidR="00AD65B2" w:rsidRPr="000A0D50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65B2" w:rsidRPr="00EB5D9B" w14:paraId="09DD1109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2CDD8025" w14:textId="77777777" w:rsidR="00AD65B2" w:rsidRPr="00EB5D9B" w:rsidRDefault="00AD65B2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562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889E641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526" w:type="pct"/>
            <w:vAlign w:val="center"/>
          </w:tcPr>
          <w:p w14:paraId="6D532B25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AAB1AFC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26" w:type="pct"/>
            <w:vAlign w:val="center"/>
          </w:tcPr>
          <w:p w14:paraId="013708CC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6" w:type="pct"/>
            <w:vAlign w:val="center"/>
          </w:tcPr>
          <w:p w14:paraId="37592605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" w:type="pct"/>
            <w:vAlign w:val="center"/>
          </w:tcPr>
          <w:p w14:paraId="72145239" w14:textId="77777777" w:rsidR="00AD65B2" w:rsidRPr="000A0D50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0A35A28" w14:textId="77777777" w:rsidR="00AD65B2" w:rsidRPr="000A0D50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65C67756" w14:textId="77777777" w:rsidR="00AD65B2" w:rsidRPr="000A0D50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65B2" w:rsidRPr="00EB5D9B" w14:paraId="1DC1D7C1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00E3443D" w14:textId="77777777" w:rsidR="00AD65B2" w:rsidRPr="00EB5D9B" w:rsidRDefault="00AD65B2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9BD93F4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A530E1">
              <w:rPr>
                <w:color w:val="000000" w:themeColor="text1"/>
                <w:sz w:val="20"/>
                <w:szCs w:val="20"/>
              </w:rPr>
              <w:t>[Ref]</w:t>
            </w:r>
          </w:p>
        </w:tc>
        <w:tc>
          <w:tcPr>
            <w:tcW w:w="526" w:type="pct"/>
            <w:vAlign w:val="center"/>
          </w:tcPr>
          <w:p w14:paraId="68E1CF88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0.83 (0.65-1.06)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9E37C38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0.65 (0.48-0.87)</w:t>
            </w:r>
          </w:p>
        </w:tc>
        <w:tc>
          <w:tcPr>
            <w:tcW w:w="526" w:type="pct"/>
            <w:vAlign w:val="center"/>
          </w:tcPr>
          <w:p w14:paraId="67215066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0.57 (0.34-0.96)</w:t>
            </w:r>
          </w:p>
        </w:tc>
        <w:tc>
          <w:tcPr>
            <w:tcW w:w="526" w:type="pct"/>
            <w:vAlign w:val="center"/>
          </w:tcPr>
          <w:p w14:paraId="04165404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1.06 (0.64-1.76)</w:t>
            </w:r>
          </w:p>
        </w:tc>
        <w:tc>
          <w:tcPr>
            <w:tcW w:w="351" w:type="pct"/>
            <w:vAlign w:val="center"/>
          </w:tcPr>
          <w:p w14:paraId="67A1D3B3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526" w:type="pct"/>
            <w:vAlign w:val="center"/>
          </w:tcPr>
          <w:p w14:paraId="46436759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0.89 (0.79-0.99)</w:t>
            </w:r>
          </w:p>
        </w:tc>
        <w:tc>
          <w:tcPr>
            <w:tcW w:w="353" w:type="pct"/>
            <w:vAlign w:val="center"/>
          </w:tcPr>
          <w:p w14:paraId="22E09BB3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.04</w:t>
            </w:r>
          </w:p>
        </w:tc>
      </w:tr>
      <w:tr w:rsidR="00AD65B2" w:rsidRPr="00EB5D9B" w14:paraId="2269BDEF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7EC3A8" w14:textId="77777777" w:rsidR="00AD65B2" w:rsidRPr="00EB5D9B" w:rsidRDefault="00AD65B2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24D4E2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2079534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0.9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0A0D50">
              <w:rPr>
                <w:color w:val="000000" w:themeColor="text1"/>
                <w:sz w:val="20"/>
                <w:szCs w:val="20"/>
              </w:rPr>
              <w:t xml:space="preserve"> (0.70-1.15)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F3C116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0.74 (0.55-1.01)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D4330A0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0.67 (0.40-1.13)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5AD367A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1.29 (0.78-2.16)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10FC3AE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4D2D07C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D50">
              <w:rPr>
                <w:color w:val="000000" w:themeColor="text1"/>
                <w:sz w:val="20"/>
                <w:szCs w:val="20"/>
              </w:rPr>
              <w:t>0.96 (0.85-1.07)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69522EE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.45</w:t>
            </w:r>
          </w:p>
        </w:tc>
      </w:tr>
      <w:tr w:rsidR="00AD65B2" w:rsidRPr="00EB5D9B" w14:paraId="29234014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A83983" w14:textId="77777777" w:rsidR="00AD65B2" w:rsidRPr="00EB5D9B" w:rsidRDefault="00AD65B2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B33F90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C9A6381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0.90 (0.70-1.16)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E85728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0.75 (0.55-1.02)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16466C8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0.68 (0.41-1.15)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3C7EAE9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1.31 (0.78-2.18)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78BC7FC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883D221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0.96 (0.85-1.08)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421360C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.50</w:t>
            </w:r>
          </w:p>
        </w:tc>
      </w:tr>
      <w:tr w:rsidR="00AD65B2" w:rsidRPr="00EB5D9B" w14:paraId="2B5CF74F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5E1150" w14:textId="77777777" w:rsidR="00AD65B2" w:rsidRPr="00EB5D9B" w:rsidRDefault="00AD65B2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CAFFEE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15C92D72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1.01 (0.77-1.32)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E13C0A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0.85 (0.61-1.17)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18C92C5E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0.77 (0.45-1.32)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78B7D8BA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1.49 (0.88-2.52)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vAlign w:val="center"/>
          </w:tcPr>
          <w:p w14:paraId="40025BD2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.98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358951B2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EA6">
              <w:rPr>
                <w:color w:val="000000" w:themeColor="text1"/>
                <w:sz w:val="20"/>
                <w:szCs w:val="20"/>
              </w:rPr>
              <w:t>1.02 (0.90-1.15)</w:t>
            </w:r>
          </w:p>
        </w:tc>
        <w:tc>
          <w:tcPr>
            <w:tcW w:w="353" w:type="pct"/>
            <w:tcBorders>
              <w:top w:val="nil"/>
              <w:bottom w:val="single" w:sz="12" w:space="0" w:color="auto"/>
            </w:tcBorders>
            <w:vAlign w:val="center"/>
          </w:tcPr>
          <w:p w14:paraId="700FDB4C" w14:textId="77777777" w:rsidR="00AD65B2" w:rsidRPr="005A49F3" w:rsidRDefault="00AD65B2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.76</w:t>
            </w:r>
          </w:p>
        </w:tc>
      </w:tr>
    </w:tbl>
    <w:p w14:paraId="28885F8D" w14:textId="77777777" w:rsidR="00AD65B2" w:rsidRPr="00EB5D9B" w:rsidRDefault="00AD65B2" w:rsidP="00AD65B2">
      <w:pPr>
        <w:rPr>
          <w:color w:val="000000"/>
          <w:sz w:val="21"/>
          <w:szCs w:val="21"/>
        </w:rPr>
      </w:pPr>
    </w:p>
    <w:p w14:paraId="12C67380" w14:textId="77777777" w:rsidR="00AD65B2" w:rsidRPr="00EB5D9B" w:rsidRDefault="00AD65B2" w:rsidP="00AD65B2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t>Abbreviations: NHS, Nurses’ Health Study; HPFS, Health Professionals Follow-up Study; MV, multivariate; HR, hazard ratio; CI, confidence interval.</w:t>
      </w:r>
    </w:p>
    <w:p w14:paraId="6249AFB8" w14:textId="77777777" w:rsidR="00AD65B2" w:rsidRPr="00EB5D9B" w:rsidRDefault="00AD65B2" w:rsidP="00AD65B2">
      <w:pPr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vertAlign w:val="superscript"/>
        </w:rPr>
        <w:t>a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EB5D9B">
        <w:rPr>
          <w:color w:val="000000"/>
          <w:sz w:val="21"/>
          <w:szCs w:val="21"/>
        </w:rPr>
        <w:t>.</w:t>
      </w:r>
    </w:p>
    <w:p w14:paraId="3FE704DA" w14:textId="77777777" w:rsidR="00AD65B2" w:rsidRPr="00EB5D9B" w:rsidRDefault="00AD65B2" w:rsidP="00AD65B2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EB5D9B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</w:t>
      </w:r>
      <w:r>
        <w:rPr>
          <w:color w:val="000000"/>
          <w:sz w:val="21"/>
          <w:szCs w:val="21"/>
        </w:rPr>
        <w:t>history of diabetes mellitus</w:t>
      </w:r>
      <w:r w:rsidRPr="00EB5D9B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history of cardiovascular disease, </w:t>
      </w:r>
      <w:r w:rsidRPr="00EB5D9B">
        <w:rPr>
          <w:color w:val="000000"/>
          <w:sz w:val="21"/>
          <w:szCs w:val="21"/>
        </w:rPr>
        <w:t>multivitamin use, total calorie intake, red or processed meat intake, fiber intake, folate intake, calcium intake, and vitamin D intake.</w:t>
      </w:r>
    </w:p>
    <w:p w14:paraId="1CB20553" w14:textId="77777777" w:rsidR="00AD65B2" w:rsidRPr="00EB5D9B" w:rsidRDefault="00AD65B2" w:rsidP="00AD65B2">
      <w:pPr>
        <w:autoSpaceDE w:val="0"/>
        <w:autoSpaceDN w:val="0"/>
        <w:adjustRightInd w:val="0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  <w:vertAlign w:val="superscript"/>
        </w:rPr>
        <w:t>c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>screening colonoscopy or sigmoidoscopy</w:t>
      </w:r>
      <w:r w:rsidRPr="00EB5D9B">
        <w:rPr>
          <w:rFonts w:eastAsiaTheme="minorEastAsia"/>
          <w:color w:val="000000" w:themeColor="text1"/>
          <w:sz w:val="21"/>
          <w:szCs w:val="21"/>
        </w:rPr>
        <w:t>.</w:t>
      </w:r>
    </w:p>
    <w:p w14:paraId="74830ABB" w14:textId="77777777" w:rsidR="00AD65B2" w:rsidRPr="00EB5D9B" w:rsidRDefault="00AD65B2" w:rsidP="00AD65B2">
      <w:pPr>
        <w:rPr>
          <w:color w:val="000000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 xml:space="preserve">screening colonoscopy or sigmoidoscopy </w:t>
      </w:r>
      <w:r w:rsidRPr="00EB5D9B">
        <w:rPr>
          <w:rFonts w:eastAsiaTheme="minorEastAsia"/>
          <w:color w:val="000000" w:themeColor="text1"/>
          <w:sz w:val="21"/>
          <w:szCs w:val="21"/>
        </w:rPr>
        <w:t>and history of hypercholesterolemia.</w:t>
      </w:r>
    </w:p>
    <w:p w14:paraId="623F9002" w14:textId="77777777" w:rsidR="00AD65B2" w:rsidRPr="00EB5D9B" w:rsidRDefault="00AD65B2" w:rsidP="00AD65B2">
      <w:pPr>
        <w:keepNext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vertAlign w:val="superscript"/>
        </w:rPr>
        <w:t>e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>-value for trend was calculated using the mid-point of each category of statin</w:t>
      </w:r>
      <w:r w:rsidRPr="00EB5D9B" w:rsidDel="00C21887">
        <w:rPr>
          <w:color w:val="000000"/>
          <w:sz w:val="21"/>
          <w:szCs w:val="21"/>
        </w:rPr>
        <w:t xml:space="preserve"> </w:t>
      </w:r>
      <w:r w:rsidRPr="00EB5D9B">
        <w:rPr>
          <w:color w:val="000000"/>
          <w:sz w:val="21"/>
          <w:szCs w:val="21"/>
        </w:rPr>
        <w:t>use in years.</w:t>
      </w:r>
    </w:p>
    <w:p w14:paraId="281B4236" w14:textId="3B84821B" w:rsidR="00F57414" w:rsidRPr="00D624B7" w:rsidRDefault="00AD65B2" w:rsidP="00AD65B2">
      <w:r>
        <w:rPr>
          <w:bCs/>
          <w:color w:val="000000"/>
          <w:sz w:val="21"/>
          <w:szCs w:val="21"/>
          <w:vertAlign w:val="superscript"/>
          <w:lang w:val="en-GB"/>
        </w:rPr>
        <w:t>f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-value for trend was the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 value for variables modeled as continuous</w:t>
      </w:r>
      <w:r w:rsidRPr="00AD1DF4">
        <w:rPr>
          <w:color w:val="000000"/>
          <w:sz w:val="21"/>
          <w:szCs w:val="21"/>
        </w:rPr>
        <w:t>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3803" w14:textId="77777777" w:rsidR="000B20E5" w:rsidRDefault="000B20E5" w:rsidP="00577CBD">
      <w:r>
        <w:separator/>
      </w:r>
    </w:p>
  </w:endnote>
  <w:endnote w:type="continuationSeparator" w:id="0">
    <w:p w14:paraId="4D7E5284" w14:textId="77777777" w:rsidR="000B20E5" w:rsidRDefault="000B20E5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A6F7" w14:textId="77777777" w:rsidR="000B20E5" w:rsidRDefault="000B20E5" w:rsidP="00577CBD">
      <w:r>
        <w:separator/>
      </w:r>
    </w:p>
  </w:footnote>
  <w:footnote w:type="continuationSeparator" w:id="0">
    <w:p w14:paraId="0D7558E6" w14:textId="77777777" w:rsidR="000B20E5" w:rsidRDefault="000B20E5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0B20E5"/>
    <w:rsid w:val="00161A50"/>
    <w:rsid w:val="004C6416"/>
    <w:rsid w:val="00577CBD"/>
    <w:rsid w:val="00896C9D"/>
    <w:rsid w:val="00AD65B2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2021-07-29T17:21:00Z</dcterms:modified>
</cp:coreProperties>
</file>