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835" w14:textId="77777777" w:rsidR="00A40C42" w:rsidRDefault="00A40C42" w:rsidP="00A40C42">
      <w:pPr>
        <w:adjustRightInd w:val="0"/>
        <w:rPr>
          <w:b/>
          <w:color w:val="000000"/>
          <w:sz w:val="21"/>
          <w:szCs w:val="21"/>
        </w:rPr>
      </w:pPr>
      <w:r w:rsidRPr="00720B3B">
        <w:rPr>
          <w:b/>
          <w:color w:val="000000"/>
          <w:sz w:val="21"/>
          <w:szCs w:val="21"/>
        </w:rPr>
        <w:t xml:space="preserve">Supplementary </w:t>
      </w:r>
      <w:r w:rsidRPr="00FB56A5">
        <w:rPr>
          <w:b/>
          <w:color w:val="000000"/>
          <w:sz w:val="21"/>
          <w:szCs w:val="21"/>
        </w:rPr>
        <w:t>Table 1</w:t>
      </w:r>
      <w:r>
        <w:rPr>
          <w:b/>
          <w:color w:val="000000"/>
          <w:sz w:val="21"/>
          <w:szCs w:val="21"/>
        </w:rPr>
        <w:t>7</w:t>
      </w:r>
      <w:r w:rsidRPr="00FB56A5">
        <w:rPr>
          <w:b/>
          <w:color w:val="000000"/>
          <w:sz w:val="21"/>
          <w:szCs w:val="21"/>
        </w:rPr>
        <w:t xml:space="preserve">. Remote period duration of </w:t>
      </w:r>
      <w:r w:rsidRPr="00FB56A5">
        <w:rPr>
          <w:b/>
          <w:bCs/>
          <w:color w:val="000000"/>
          <w:sz w:val="21"/>
          <w:szCs w:val="21"/>
        </w:rPr>
        <w:t>statin</w:t>
      </w:r>
      <w:r w:rsidRPr="00FB56A5" w:rsidDel="00AD0D3D">
        <w:rPr>
          <w:b/>
          <w:color w:val="000000"/>
          <w:sz w:val="21"/>
          <w:szCs w:val="21"/>
        </w:rPr>
        <w:t xml:space="preserve"> </w:t>
      </w:r>
      <w:r w:rsidRPr="00FB56A5">
        <w:rPr>
          <w:b/>
          <w:color w:val="000000"/>
          <w:sz w:val="21"/>
          <w:szCs w:val="21"/>
        </w:rPr>
        <w:t xml:space="preserve">use </w:t>
      </w:r>
      <w:r w:rsidRPr="00FB56A5">
        <w:rPr>
          <w:b/>
          <w:color w:val="000000"/>
          <w:sz w:val="21"/>
          <w:szCs w:val="21"/>
          <w:vertAlign w:val="superscript"/>
        </w:rPr>
        <w:t>a</w:t>
      </w:r>
      <w:r w:rsidRPr="00FB56A5">
        <w:rPr>
          <w:b/>
          <w:color w:val="000000"/>
          <w:sz w:val="21"/>
          <w:szCs w:val="21"/>
        </w:rPr>
        <w:t xml:space="preserve"> and colorectal cancer risk in the pooled NHS and HPFS</w:t>
      </w:r>
    </w:p>
    <w:p w14:paraId="5056CCE8" w14:textId="77777777" w:rsidR="00A40C42" w:rsidRPr="00FB56A5" w:rsidRDefault="00A40C42" w:rsidP="00A40C42">
      <w:pPr>
        <w:adjustRightInd w:val="0"/>
        <w:rPr>
          <w:b/>
          <w:color w:val="000000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XSpec="center" w:tblpY="16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1417"/>
        <w:gridCol w:w="2060"/>
        <w:gridCol w:w="2060"/>
        <w:gridCol w:w="1303"/>
        <w:gridCol w:w="1956"/>
        <w:gridCol w:w="1293"/>
      </w:tblGrid>
      <w:tr w:rsidR="00A40C42" w:rsidRPr="00FB56A5" w14:paraId="07946382" w14:textId="77777777" w:rsidTr="003733F1">
        <w:trPr>
          <w:jc w:val="center"/>
        </w:trPr>
        <w:tc>
          <w:tcPr>
            <w:tcW w:w="1724" w:type="pct"/>
            <w:vMerge w:val="restart"/>
            <w:tcBorders>
              <w:top w:val="single" w:sz="12" w:space="0" w:color="auto"/>
            </w:tcBorders>
            <w:vAlign w:val="center"/>
          </w:tcPr>
          <w:p w14:paraId="2CFFD073" w14:textId="77777777" w:rsidR="00A40C42" w:rsidRPr="00FB56A5" w:rsidRDefault="00A40C42" w:rsidP="003733F1">
            <w:pPr>
              <w:rPr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  <w:lang w:val="en-GB"/>
              </w:rPr>
              <w:t>NHS+HPFS (Pooled)</w:t>
            </w:r>
          </w:p>
        </w:tc>
        <w:tc>
          <w:tcPr>
            <w:tcW w:w="179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CA264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Remote Period Duration of Regular S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tatin</w:t>
            </w:r>
            <w:r w:rsidRPr="00FB56A5" w:rsidDel="00AD0D3D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FB56A5">
              <w:rPr>
                <w:b/>
                <w:color w:val="000000"/>
                <w:sz w:val="21"/>
                <w:szCs w:val="21"/>
              </w:rPr>
              <w:t>Use (</w:t>
            </w:r>
            <w:r w:rsidRPr="00FB56A5">
              <w:rPr>
                <w:rFonts w:hint="eastAsia"/>
                <w:b/>
                <w:color w:val="000000"/>
                <w:sz w:val="21"/>
                <w:szCs w:val="21"/>
              </w:rPr>
              <w:t>Years</w:t>
            </w:r>
            <w:r w:rsidRPr="00FB56A5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12" w:space="0" w:color="auto"/>
            </w:tcBorders>
            <w:vAlign w:val="center"/>
          </w:tcPr>
          <w:p w14:paraId="4D1ED5A1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FB56A5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f</w:t>
            </w:r>
            <w:r w:rsidRPr="00FB56A5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single" w:sz="12" w:space="0" w:color="auto"/>
            </w:tcBorders>
            <w:vAlign w:val="center"/>
          </w:tcPr>
          <w:p w14:paraId="32F672B5" w14:textId="77777777" w:rsidR="00A40C42" w:rsidRPr="00FB56A5" w:rsidRDefault="00A40C42" w:rsidP="003733F1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Per 5-year increment</w:t>
            </w:r>
          </w:p>
          <w:p w14:paraId="339B4ED7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 xml:space="preserve">HR (95% CI) 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  <w:vAlign w:val="center"/>
          </w:tcPr>
          <w:p w14:paraId="682C53B6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FB56A5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g</w:t>
            </w:r>
          </w:p>
        </w:tc>
      </w:tr>
      <w:tr w:rsidR="00A40C42" w:rsidRPr="00FB56A5" w14:paraId="669EDD38" w14:textId="77777777" w:rsidTr="003733F1">
        <w:trPr>
          <w:jc w:val="center"/>
        </w:trPr>
        <w:tc>
          <w:tcPr>
            <w:tcW w:w="1724" w:type="pct"/>
            <w:vMerge/>
            <w:tcBorders>
              <w:bottom w:val="single" w:sz="12" w:space="0" w:color="auto"/>
            </w:tcBorders>
            <w:vAlign w:val="center"/>
          </w:tcPr>
          <w:p w14:paraId="62BA256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9BC95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463A4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F574E" w14:textId="77777777" w:rsidR="00A40C42" w:rsidRPr="00FB56A5" w:rsidRDefault="00A40C42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≥6</w:t>
            </w: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14:paraId="7575252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Merge/>
            <w:tcBorders>
              <w:bottom w:val="single" w:sz="12" w:space="0" w:color="auto"/>
            </w:tcBorders>
            <w:vAlign w:val="center"/>
          </w:tcPr>
          <w:p w14:paraId="2A20010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Merge/>
            <w:tcBorders>
              <w:bottom w:val="single" w:sz="12" w:space="0" w:color="auto"/>
            </w:tcBorders>
            <w:vAlign w:val="center"/>
          </w:tcPr>
          <w:p w14:paraId="28D3F65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56239C91" w14:textId="77777777" w:rsidTr="003733F1">
        <w:trPr>
          <w:jc w:val="center"/>
        </w:trPr>
        <w:tc>
          <w:tcPr>
            <w:tcW w:w="1724" w:type="pct"/>
            <w:tcBorders>
              <w:top w:val="single" w:sz="12" w:space="0" w:color="auto"/>
            </w:tcBorders>
            <w:vAlign w:val="center"/>
          </w:tcPr>
          <w:p w14:paraId="77999737" w14:textId="77777777" w:rsidR="00A40C42" w:rsidRPr="00FB56A5" w:rsidRDefault="00A40C42" w:rsidP="003733F1">
            <w:pPr>
              <w:rPr>
                <w:b/>
                <w:bCs/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center"/>
          </w:tcPr>
          <w:p w14:paraId="5A4B0C1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vAlign w:val="center"/>
          </w:tcPr>
          <w:p w14:paraId="0C1AE86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vAlign w:val="center"/>
          </w:tcPr>
          <w:p w14:paraId="7F51A2E8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14:paraId="79E39E08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14:paraId="2C328D9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single" w:sz="12" w:space="0" w:color="auto"/>
            </w:tcBorders>
            <w:vAlign w:val="center"/>
          </w:tcPr>
          <w:p w14:paraId="2A6DECD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0057AC99" w14:textId="77777777" w:rsidTr="003733F1">
        <w:trPr>
          <w:jc w:val="center"/>
        </w:trPr>
        <w:tc>
          <w:tcPr>
            <w:tcW w:w="1724" w:type="pct"/>
            <w:vAlign w:val="center"/>
          </w:tcPr>
          <w:p w14:paraId="2F3A43D0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No. of cases (880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60" w:type="pct"/>
            <w:vAlign w:val="center"/>
          </w:tcPr>
          <w:p w14:paraId="694853E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723</w:t>
            </w:r>
          </w:p>
        </w:tc>
        <w:tc>
          <w:tcPr>
            <w:tcW w:w="669" w:type="pct"/>
            <w:vAlign w:val="center"/>
          </w:tcPr>
          <w:p w14:paraId="16C8DBB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105</w:t>
            </w:r>
          </w:p>
        </w:tc>
        <w:tc>
          <w:tcPr>
            <w:tcW w:w="669" w:type="pct"/>
            <w:vAlign w:val="center"/>
          </w:tcPr>
          <w:p w14:paraId="32A1671A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52</w:t>
            </w:r>
          </w:p>
        </w:tc>
        <w:tc>
          <w:tcPr>
            <w:tcW w:w="423" w:type="pct"/>
            <w:vAlign w:val="center"/>
          </w:tcPr>
          <w:p w14:paraId="74FD1AB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2CF61F18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9139C1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12D5D9BF" w14:textId="77777777" w:rsidTr="003733F1">
        <w:trPr>
          <w:jc w:val="center"/>
        </w:trPr>
        <w:tc>
          <w:tcPr>
            <w:tcW w:w="1724" w:type="pct"/>
            <w:vAlign w:val="center"/>
          </w:tcPr>
          <w:p w14:paraId="3E850A7A" w14:textId="77777777" w:rsidR="00A40C42" w:rsidRPr="00FB56A5" w:rsidRDefault="00A40C42" w:rsidP="003733F1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60" w:type="pct"/>
            <w:vAlign w:val="center"/>
          </w:tcPr>
          <w:p w14:paraId="10EFBA33" w14:textId="77777777" w:rsidR="00A40C42" w:rsidRPr="00153ED3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153ED3">
              <w:rPr>
                <w:rFonts w:eastAsia="Times New Roman"/>
                <w:sz w:val="21"/>
                <w:szCs w:val="21"/>
              </w:rPr>
              <w:t>1 [Ref]</w:t>
            </w:r>
          </w:p>
        </w:tc>
        <w:tc>
          <w:tcPr>
            <w:tcW w:w="669" w:type="pct"/>
            <w:vAlign w:val="center"/>
          </w:tcPr>
          <w:p w14:paraId="57C6EA2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1.05 (0.85-1.29)</w:t>
            </w:r>
          </w:p>
        </w:tc>
        <w:tc>
          <w:tcPr>
            <w:tcW w:w="669" w:type="pct"/>
            <w:vAlign w:val="center"/>
          </w:tcPr>
          <w:p w14:paraId="0511B9C8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1.25 (0.93-1.68)</w:t>
            </w:r>
          </w:p>
        </w:tc>
        <w:tc>
          <w:tcPr>
            <w:tcW w:w="423" w:type="pct"/>
            <w:vAlign w:val="center"/>
          </w:tcPr>
          <w:p w14:paraId="1410D871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FB56A5">
              <w:rPr>
                <w:rFonts w:eastAsia="Times New Roman"/>
                <w:sz w:val="21"/>
                <w:szCs w:val="21"/>
              </w:rPr>
              <w:t>.13</w:t>
            </w:r>
          </w:p>
        </w:tc>
        <w:tc>
          <w:tcPr>
            <w:tcW w:w="635" w:type="pct"/>
            <w:vAlign w:val="center"/>
          </w:tcPr>
          <w:p w14:paraId="654C360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1.10 (0.92-1.31)</w:t>
            </w:r>
          </w:p>
        </w:tc>
        <w:tc>
          <w:tcPr>
            <w:tcW w:w="420" w:type="pct"/>
            <w:vAlign w:val="center"/>
          </w:tcPr>
          <w:p w14:paraId="37C16F4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.31</w:t>
            </w:r>
          </w:p>
        </w:tc>
      </w:tr>
      <w:tr w:rsidR="00A40C42" w:rsidRPr="00FB56A5" w14:paraId="19CCEA77" w14:textId="77777777" w:rsidTr="003733F1">
        <w:trPr>
          <w:jc w:val="center"/>
        </w:trPr>
        <w:tc>
          <w:tcPr>
            <w:tcW w:w="1724" w:type="pct"/>
            <w:vAlign w:val="center"/>
          </w:tcPr>
          <w:p w14:paraId="310F32A7" w14:textId="77777777" w:rsidR="00A40C42" w:rsidRPr="00FB56A5" w:rsidRDefault="00A40C42" w:rsidP="003733F1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60" w:type="pct"/>
            <w:vAlign w:val="center"/>
          </w:tcPr>
          <w:p w14:paraId="2F170856" w14:textId="77777777" w:rsidR="00A40C42" w:rsidRPr="00153ED3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153ED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21A792A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153ED3">
              <w:rPr>
                <w:sz w:val="21"/>
                <w:szCs w:val="21"/>
              </w:rPr>
              <w:t>1.02 (0.82-1.26)</w:t>
            </w:r>
          </w:p>
        </w:tc>
        <w:tc>
          <w:tcPr>
            <w:tcW w:w="669" w:type="pct"/>
            <w:vAlign w:val="center"/>
          </w:tcPr>
          <w:p w14:paraId="34B1C81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153ED3">
              <w:rPr>
                <w:sz w:val="21"/>
                <w:szCs w:val="21"/>
              </w:rPr>
              <w:t>1.19 (0.88-1.61)</w:t>
            </w:r>
          </w:p>
        </w:tc>
        <w:tc>
          <w:tcPr>
            <w:tcW w:w="423" w:type="pct"/>
            <w:vAlign w:val="center"/>
          </w:tcPr>
          <w:p w14:paraId="2356EA43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.28</w:t>
            </w:r>
          </w:p>
        </w:tc>
        <w:tc>
          <w:tcPr>
            <w:tcW w:w="635" w:type="pct"/>
            <w:vAlign w:val="center"/>
          </w:tcPr>
          <w:p w14:paraId="5865CB21" w14:textId="77777777" w:rsidR="00A40C42" w:rsidRPr="00153ED3" w:rsidRDefault="00A40C42" w:rsidP="003733F1">
            <w:pPr>
              <w:jc w:val="center"/>
              <w:rPr>
                <w:sz w:val="21"/>
                <w:szCs w:val="21"/>
              </w:rPr>
            </w:pPr>
            <w:r w:rsidRPr="00153ED3">
              <w:rPr>
                <w:sz w:val="21"/>
                <w:szCs w:val="21"/>
              </w:rPr>
              <w:t>1.06 (0.87-1.27)</w:t>
            </w:r>
          </w:p>
        </w:tc>
        <w:tc>
          <w:tcPr>
            <w:tcW w:w="420" w:type="pct"/>
            <w:vAlign w:val="center"/>
          </w:tcPr>
          <w:p w14:paraId="542E931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.57</w:t>
            </w:r>
          </w:p>
        </w:tc>
      </w:tr>
      <w:tr w:rsidR="00A40C42" w:rsidRPr="00FB56A5" w14:paraId="1DD3DA7D" w14:textId="77777777" w:rsidTr="003733F1">
        <w:trPr>
          <w:jc w:val="center"/>
        </w:trPr>
        <w:tc>
          <w:tcPr>
            <w:tcW w:w="1724" w:type="pct"/>
            <w:vAlign w:val="center"/>
          </w:tcPr>
          <w:p w14:paraId="654B914C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recent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1F12080C" w14:textId="77777777" w:rsidR="00A40C42" w:rsidRPr="00153ED3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153ED3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11CB7C5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900D0D">
              <w:rPr>
                <w:sz w:val="21"/>
                <w:szCs w:val="21"/>
              </w:rPr>
              <w:t>1.05 (0.83-1.33)</w:t>
            </w:r>
          </w:p>
        </w:tc>
        <w:tc>
          <w:tcPr>
            <w:tcW w:w="669" w:type="pct"/>
            <w:vAlign w:val="center"/>
          </w:tcPr>
          <w:p w14:paraId="466EEAFB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900D0D">
              <w:rPr>
                <w:sz w:val="21"/>
                <w:szCs w:val="21"/>
              </w:rPr>
              <w:t>1.24 (0.90-1.71)</w:t>
            </w:r>
          </w:p>
        </w:tc>
        <w:tc>
          <w:tcPr>
            <w:tcW w:w="423" w:type="pct"/>
            <w:vAlign w:val="center"/>
          </w:tcPr>
          <w:p w14:paraId="283967F1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.19</w:t>
            </w:r>
          </w:p>
        </w:tc>
        <w:tc>
          <w:tcPr>
            <w:tcW w:w="635" w:type="pct"/>
            <w:vAlign w:val="center"/>
          </w:tcPr>
          <w:p w14:paraId="3D554A57" w14:textId="77777777" w:rsidR="00A40C42" w:rsidRPr="00153ED3" w:rsidRDefault="00A40C42" w:rsidP="003733F1">
            <w:pPr>
              <w:jc w:val="center"/>
              <w:rPr>
                <w:sz w:val="21"/>
                <w:szCs w:val="21"/>
              </w:rPr>
            </w:pPr>
            <w:r w:rsidRPr="00153ED3">
              <w:rPr>
                <w:sz w:val="21"/>
                <w:szCs w:val="21"/>
              </w:rPr>
              <w:t>1.08 (0.89-1.33)</w:t>
            </w:r>
          </w:p>
        </w:tc>
        <w:tc>
          <w:tcPr>
            <w:tcW w:w="420" w:type="pct"/>
            <w:vAlign w:val="center"/>
          </w:tcPr>
          <w:p w14:paraId="0C11B18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.43</w:t>
            </w:r>
          </w:p>
        </w:tc>
      </w:tr>
      <w:tr w:rsidR="00A40C42" w:rsidRPr="00FB56A5" w14:paraId="547D6F2D" w14:textId="77777777" w:rsidTr="003733F1">
        <w:trPr>
          <w:jc w:val="center"/>
        </w:trPr>
        <w:tc>
          <w:tcPr>
            <w:tcW w:w="1724" w:type="pct"/>
            <w:vAlign w:val="center"/>
          </w:tcPr>
          <w:p w14:paraId="6371B677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1C71D0E5" w14:textId="77777777" w:rsidR="00A40C42" w:rsidRPr="00153ED3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5567969D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0209F26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52A6474B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5009E03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25EB71E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7E54AF8F" w14:textId="77777777" w:rsidTr="003733F1">
        <w:trPr>
          <w:jc w:val="center"/>
        </w:trPr>
        <w:tc>
          <w:tcPr>
            <w:tcW w:w="1724" w:type="pct"/>
            <w:vAlign w:val="center"/>
          </w:tcPr>
          <w:p w14:paraId="6B1EFD64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460" w:type="pct"/>
            <w:vAlign w:val="center"/>
          </w:tcPr>
          <w:p w14:paraId="1EEBE2AF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5A64291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4F8854A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3C257971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04B0C2EA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0C323CD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0645A4EC" w14:textId="77777777" w:rsidTr="003733F1">
        <w:trPr>
          <w:jc w:val="center"/>
        </w:trPr>
        <w:tc>
          <w:tcPr>
            <w:tcW w:w="1724" w:type="pct"/>
            <w:vAlign w:val="center"/>
          </w:tcPr>
          <w:p w14:paraId="11E00EA4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No. of cases (634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60" w:type="pct"/>
            <w:vAlign w:val="center"/>
          </w:tcPr>
          <w:p w14:paraId="5B9E6FA2" w14:textId="77777777" w:rsidR="00A40C42" w:rsidRPr="002A2658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2A2658"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669" w:type="pct"/>
            <w:vAlign w:val="center"/>
          </w:tcPr>
          <w:p w14:paraId="682D93A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81</w:t>
            </w:r>
          </w:p>
        </w:tc>
        <w:tc>
          <w:tcPr>
            <w:tcW w:w="669" w:type="pct"/>
            <w:vAlign w:val="center"/>
          </w:tcPr>
          <w:p w14:paraId="378787C0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45</w:t>
            </w:r>
          </w:p>
        </w:tc>
        <w:tc>
          <w:tcPr>
            <w:tcW w:w="423" w:type="pct"/>
            <w:vAlign w:val="center"/>
          </w:tcPr>
          <w:p w14:paraId="656FAF28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089F8CA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6BE333C3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2DEA05C0" w14:textId="77777777" w:rsidTr="003733F1">
        <w:trPr>
          <w:jc w:val="center"/>
        </w:trPr>
        <w:tc>
          <w:tcPr>
            <w:tcW w:w="1724" w:type="pct"/>
            <w:vAlign w:val="center"/>
          </w:tcPr>
          <w:p w14:paraId="38D4A68F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60" w:type="pct"/>
            <w:vAlign w:val="center"/>
          </w:tcPr>
          <w:p w14:paraId="510697F6" w14:textId="77777777" w:rsidR="00A40C42" w:rsidRPr="002A2658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2A265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0500944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1.11 (0.87-1.41)</w:t>
            </w:r>
          </w:p>
        </w:tc>
        <w:tc>
          <w:tcPr>
            <w:tcW w:w="669" w:type="pct"/>
            <w:vAlign w:val="center"/>
          </w:tcPr>
          <w:p w14:paraId="0246494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1.51 (1.10-2.08)</w:t>
            </w:r>
          </w:p>
        </w:tc>
        <w:tc>
          <w:tcPr>
            <w:tcW w:w="423" w:type="pct"/>
            <w:vAlign w:val="center"/>
          </w:tcPr>
          <w:p w14:paraId="5D770E6D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FB56A5">
              <w:rPr>
                <w:rFonts w:eastAsia="Times New Roman"/>
                <w:sz w:val="21"/>
                <w:szCs w:val="21"/>
              </w:rPr>
              <w:t>.01</w:t>
            </w:r>
          </w:p>
        </w:tc>
        <w:tc>
          <w:tcPr>
            <w:tcW w:w="635" w:type="pct"/>
            <w:vAlign w:val="center"/>
          </w:tcPr>
          <w:p w14:paraId="3B71445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1.24 (1.02-1.51)</w:t>
            </w:r>
          </w:p>
        </w:tc>
        <w:tc>
          <w:tcPr>
            <w:tcW w:w="420" w:type="pct"/>
            <w:vAlign w:val="center"/>
          </w:tcPr>
          <w:p w14:paraId="0356A44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.03</w:t>
            </w:r>
          </w:p>
        </w:tc>
      </w:tr>
      <w:tr w:rsidR="00A40C42" w:rsidRPr="00FB56A5" w14:paraId="33A8CEBA" w14:textId="77777777" w:rsidTr="003733F1">
        <w:trPr>
          <w:jc w:val="center"/>
        </w:trPr>
        <w:tc>
          <w:tcPr>
            <w:tcW w:w="1724" w:type="pct"/>
            <w:vAlign w:val="center"/>
          </w:tcPr>
          <w:p w14:paraId="05EB602F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60" w:type="pct"/>
            <w:vAlign w:val="center"/>
          </w:tcPr>
          <w:p w14:paraId="31D59EDA" w14:textId="77777777" w:rsidR="00A40C42" w:rsidRPr="002A2658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2A265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6B3BD860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2A2658">
              <w:rPr>
                <w:sz w:val="21"/>
                <w:szCs w:val="21"/>
              </w:rPr>
              <w:t>1.06 (0.82-1.36)</w:t>
            </w:r>
          </w:p>
        </w:tc>
        <w:tc>
          <w:tcPr>
            <w:tcW w:w="669" w:type="pct"/>
            <w:vAlign w:val="center"/>
          </w:tcPr>
          <w:p w14:paraId="71E8CA2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2A2658">
              <w:rPr>
                <w:sz w:val="21"/>
                <w:szCs w:val="21"/>
              </w:rPr>
              <w:t>1.41 (1.01-1.95)</w:t>
            </w:r>
          </w:p>
        </w:tc>
        <w:tc>
          <w:tcPr>
            <w:tcW w:w="423" w:type="pct"/>
            <w:vAlign w:val="center"/>
          </w:tcPr>
          <w:p w14:paraId="0A9FBD3E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.045</w:t>
            </w:r>
          </w:p>
        </w:tc>
        <w:tc>
          <w:tcPr>
            <w:tcW w:w="635" w:type="pct"/>
            <w:vAlign w:val="center"/>
          </w:tcPr>
          <w:p w14:paraId="2D2BB83C" w14:textId="77777777" w:rsidR="00A40C42" w:rsidRPr="002A2658" w:rsidRDefault="00A40C42" w:rsidP="003733F1">
            <w:pPr>
              <w:jc w:val="center"/>
              <w:rPr>
                <w:sz w:val="21"/>
                <w:szCs w:val="21"/>
              </w:rPr>
            </w:pPr>
            <w:r w:rsidRPr="002A2658">
              <w:rPr>
                <w:sz w:val="21"/>
                <w:szCs w:val="21"/>
              </w:rPr>
              <w:t>1.17 (0.95-1.44)</w:t>
            </w:r>
          </w:p>
        </w:tc>
        <w:tc>
          <w:tcPr>
            <w:tcW w:w="420" w:type="pct"/>
            <w:vAlign w:val="center"/>
          </w:tcPr>
          <w:p w14:paraId="01479EE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.13</w:t>
            </w:r>
          </w:p>
        </w:tc>
      </w:tr>
      <w:tr w:rsidR="00A40C42" w:rsidRPr="00FB56A5" w14:paraId="6CBC5D51" w14:textId="77777777" w:rsidTr="003733F1">
        <w:trPr>
          <w:jc w:val="center"/>
        </w:trPr>
        <w:tc>
          <w:tcPr>
            <w:tcW w:w="1724" w:type="pct"/>
            <w:vAlign w:val="center"/>
          </w:tcPr>
          <w:p w14:paraId="6E0F8D3C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recent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</w:p>
        </w:tc>
        <w:tc>
          <w:tcPr>
            <w:tcW w:w="460" w:type="pct"/>
            <w:vAlign w:val="center"/>
          </w:tcPr>
          <w:p w14:paraId="65AA3011" w14:textId="77777777" w:rsidR="00A40C42" w:rsidRPr="002A2658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2A265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4D02E8B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2A2658">
              <w:rPr>
                <w:sz w:val="21"/>
                <w:szCs w:val="21"/>
              </w:rPr>
              <w:t>1.07 (0.82-1.40)</w:t>
            </w:r>
          </w:p>
        </w:tc>
        <w:tc>
          <w:tcPr>
            <w:tcW w:w="669" w:type="pct"/>
            <w:vAlign w:val="center"/>
          </w:tcPr>
          <w:p w14:paraId="03A7C8C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2A2658">
              <w:rPr>
                <w:sz w:val="21"/>
                <w:szCs w:val="21"/>
              </w:rPr>
              <w:t>1.43 (1.01-2.03)</w:t>
            </w:r>
          </w:p>
        </w:tc>
        <w:tc>
          <w:tcPr>
            <w:tcW w:w="423" w:type="pct"/>
            <w:vAlign w:val="center"/>
          </w:tcPr>
          <w:p w14:paraId="56CEF2AE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.045</w:t>
            </w:r>
          </w:p>
        </w:tc>
        <w:tc>
          <w:tcPr>
            <w:tcW w:w="635" w:type="pct"/>
            <w:vAlign w:val="center"/>
          </w:tcPr>
          <w:p w14:paraId="5C40DC5E" w14:textId="77777777" w:rsidR="00A40C42" w:rsidRPr="002A2658" w:rsidRDefault="00A40C42" w:rsidP="003733F1">
            <w:pPr>
              <w:jc w:val="center"/>
              <w:rPr>
                <w:sz w:val="21"/>
                <w:szCs w:val="21"/>
              </w:rPr>
            </w:pPr>
            <w:r w:rsidRPr="002A2658">
              <w:rPr>
                <w:sz w:val="21"/>
                <w:szCs w:val="21"/>
              </w:rPr>
              <w:t>1.18 (0.95-1.48)</w:t>
            </w:r>
          </w:p>
        </w:tc>
        <w:tc>
          <w:tcPr>
            <w:tcW w:w="420" w:type="pct"/>
            <w:vAlign w:val="center"/>
          </w:tcPr>
          <w:p w14:paraId="3F52F63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.14</w:t>
            </w:r>
          </w:p>
        </w:tc>
      </w:tr>
      <w:tr w:rsidR="00A40C42" w:rsidRPr="00FB56A5" w14:paraId="24F544B4" w14:textId="77777777" w:rsidTr="003733F1">
        <w:trPr>
          <w:jc w:val="center"/>
        </w:trPr>
        <w:tc>
          <w:tcPr>
            <w:tcW w:w="1724" w:type="pct"/>
            <w:vAlign w:val="center"/>
          </w:tcPr>
          <w:p w14:paraId="1154D541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7E85D695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6F86064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03AB4D8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5DC9DA08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23BE424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550110FB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BD12BF" w14:paraId="28DC3148" w14:textId="77777777" w:rsidTr="003733F1">
        <w:trPr>
          <w:jc w:val="center"/>
        </w:trPr>
        <w:tc>
          <w:tcPr>
            <w:tcW w:w="1724" w:type="pct"/>
            <w:vAlign w:val="center"/>
          </w:tcPr>
          <w:p w14:paraId="705966DC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Proximal c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b/>
                <w:bCs/>
                <w:color w:val="000000"/>
                <w:sz w:val="21"/>
                <w:szCs w:val="21"/>
              </w:rPr>
              <w:t>lon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 xml:space="preserve"> cancer</w:t>
            </w:r>
          </w:p>
        </w:tc>
        <w:tc>
          <w:tcPr>
            <w:tcW w:w="460" w:type="pct"/>
            <w:vAlign w:val="center"/>
          </w:tcPr>
          <w:p w14:paraId="30CBEBFA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1A28989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22725FE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18D5D73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5EAF3373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0255990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BD12BF" w14:paraId="6A2C06B3" w14:textId="77777777" w:rsidTr="003733F1">
        <w:trPr>
          <w:jc w:val="center"/>
        </w:trPr>
        <w:tc>
          <w:tcPr>
            <w:tcW w:w="1724" w:type="pct"/>
            <w:vAlign w:val="center"/>
          </w:tcPr>
          <w:p w14:paraId="225B502E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429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60" w:type="pct"/>
            <w:vAlign w:val="center"/>
          </w:tcPr>
          <w:p w14:paraId="241FC7F5" w14:textId="77777777" w:rsidR="00A40C42" w:rsidRPr="00B226B2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</w:t>
            </w:r>
          </w:p>
        </w:tc>
        <w:tc>
          <w:tcPr>
            <w:tcW w:w="669" w:type="pct"/>
            <w:vAlign w:val="center"/>
          </w:tcPr>
          <w:p w14:paraId="7246D44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669" w:type="pct"/>
            <w:vAlign w:val="center"/>
          </w:tcPr>
          <w:p w14:paraId="224A6C3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423" w:type="pct"/>
            <w:vAlign w:val="center"/>
          </w:tcPr>
          <w:p w14:paraId="1C25DA9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733F823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667323A9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BD12BF" w14:paraId="2000D92A" w14:textId="77777777" w:rsidTr="003733F1">
        <w:trPr>
          <w:jc w:val="center"/>
        </w:trPr>
        <w:tc>
          <w:tcPr>
            <w:tcW w:w="1724" w:type="pct"/>
            <w:vAlign w:val="center"/>
          </w:tcPr>
          <w:p w14:paraId="3609E7FB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60" w:type="pct"/>
            <w:vAlign w:val="center"/>
          </w:tcPr>
          <w:p w14:paraId="351551B0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0DEBAE0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BD12BF">
              <w:rPr>
                <w:sz w:val="21"/>
                <w:szCs w:val="21"/>
              </w:rPr>
              <w:t>1.18 (0.89-1.57)</w:t>
            </w:r>
          </w:p>
        </w:tc>
        <w:tc>
          <w:tcPr>
            <w:tcW w:w="669" w:type="pct"/>
            <w:vAlign w:val="center"/>
          </w:tcPr>
          <w:p w14:paraId="2580C56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BD12BF">
              <w:rPr>
                <w:sz w:val="21"/>
                <w:szCs w:val="21"/>
              </w:rPr>
              <w:t>1.78 (1.24-2.54)</w:t>
            </w:r>
          </w:p>
        </w:tc>
        <w:tc>
          <w:tcPr>
            <w:tcW w:w="423" w:type="pct"/>
            <w:vAlign w:val="center"/>
          </w:tcPr>
          <w:p w14:paraId="58228983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.001</w:t>
            </w:r>
          </w:p>
        </w:tc>
        <w:tc>
          <w:tcPr>
            <w:tcW w:w="635" w:type="pct"/>
            <w:vAlign w:val="center"/>
          </w:tcPr>
          <w:p w14:paraId="40025928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BD12BF">
              <w:rPr>
                <w:sz w:val="21"/>
                <w:szCs w:val="21"/>
              </w:rPr>
              <w:t>1.38 (1.11-1.73)</w:t>
            </w:r>
          </w:p>
        </w:tc>
        <w:tc>
          <w:tcPr>
            <w:tcW w:w="420" w:type="pct"/>
            <w:vAlign w:val="center"/>
          </w:tcPr>
          <w:p w14:paraId="352322F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.004</w:t>
            </w:r>
          </w:p>
        </w:tc>
      </w:tr>
      <w:tr w:rsidR="00A40C42" w:rsidRPr="00BD12BF" w14:paraId="2C38DDFB" w14:textId="77777777" w:rsidTr="003733F1">
        <w:trPr>
          <w:jc w:val="center"/>
        </w:trPr>
        <w:tc>
          <w:tcPr>
            <w:tcW w:w="1724" w:type="pct"/>
            <w:vAlign w:val="center"/>
          </w:tcPr>
          <w:p w14:paraId="5B97D0A9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60" w:type="pct"/>
            <w:vAlign w:val="center"/>
          </w:tcPr>
          <w:p w14:paraId="6A2CCA45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5358A1F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1.15 (0.85-1.54)</w:t>
            </w:r>
          </w:p>
        </w:tc>
        <w:tc>
          <w:tcPr>
            <w:tcW w:w="669" w:type="pct"/>
            <w:vAlign w:val="center"/>
          </w:tcPr>
          <w:p w14:paraId="0A4A65F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1.67 (1.15-2.42)</w:t>
            </w:r>
          </w:p>
        </w:tc>
        <w:tc>
          <w:tcPr>
            <w:tcW w:w="423" w:type="pct"/>
            <w:vAlign w:val="center"/>
          </w:tcPr>
          <w:p w14:paraId="6336510D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.007</w:t>
            </w:r>
          </w:p>
        </w:tc>
        <w:tc>
          <w:tcPr>
            <w:tcW w:w="635" w:type="pct"/>
            <w:vAlign w:val="center"/>
          </w:tcPr>
          <w:p w14:paraId="35D052E3" w14:textId="77777777" w:rsidR="00A40C42" w:rsidRPr="00C02CD4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1.33 (1.05-1.68)</w:t>
            </w:r>
          </w:p>
        </w:tc>
        <w:tc>
          <w:tcPr>
            <w:tcW w:w="420" w:type="pct"/>
            <w:vAlign w:val="center"/>
          </w:tcPr>
          <w:p w14:paraId="1408AF4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.02</w:t>
            </w:r>
          </w:p>
        </w:tc>
      </w:tr>
      <w:tr w:rsidR="00A40C42" w:rsidRPr="00BD12BF" w14:paraId="74FCFAD8" w14:textId="77777777" w:rsidTr="003733F1">
        <w:trPr>
          <w:jc w:val="center"/>
        </w:trPr>
        <w:tc>
          <w:tcPr>
            <w:tcW w:w="1724" w:type="pct"/>
            <w:vAlign w:val="center"/>
          </w:tcPr>
          <w:p w14:paraId="1CA8BFF3" w14:textId="77777777" w:rsidR="00A40C42" w:rsidRPr="003B1368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</w:p>
        </w:tc>
        <w:tc>
          <w:tcPr>
            <w:tcW w:w="460" w:type="pct"/>
            <w:vAlign w:val="center"/>
          </w:tcPr>
          <w:p w14:paraId="10D897FC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604B55B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1.11 (0.81-1.53)</w:t>
            </w:r>
          </w:p>
        </w:tc>
        <w:tc>
          <w:tcPr>
            <w:tcW w:w="669" w:type="pct"/>
            <w:vAlign w:val="center"/>
          </w:tcPr>
          <w:p w14:paraId="45235B8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1.62 (1.09-2.41)</w:t>
            </w:r>
          </w:p>
        </w:tc>
        <w:tc>
          <w:tcPr>
            <w:tcW w:w="423" w:type="pct"/>
            <w:vAlign w:val="center"/>
          </w:tcPr>
          <w:p w14:paraId="787AA639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.02</w:t>
            </w:r>
          </w:p>
        </w:tc>
        <w:tc>
          <w:tcPr>
            <w:tcW w:w="635" w:type="pct"/>
            <w:vAlign w:val="center"/>
          </w:tcPr>
          <w:p w14:paraId="1447DFA8" w14:textId="77777777" w:rsidR="00A40C42" w:rsidRPr="00C02CD4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1.29 (1.00-1.67)</w:t>
            </w:r>
          </w:p>
        </w:tc>
        <w:tc>
          <w:tcPr>
            <w:tcW w:w="420" w:type="pct"/>
            <w:vAlign w:val="center"/>
          </w:tcPr>
          <w:p w14:paraId="245BE8C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.046</w:t>
            </w:r>
          </w:p>
        </w:tc>
      </w:tr>
      <w:tr w:rsidR="00A40C42" w:rsidRPr="00BD12BF" w14:paraId="24A294CA" w14:textId="77777777" w:rsidTr="003733F1">
        <w:trPr>
          <w:jc w:val="center"/>
        </w:trPr>
        <w:tc>
          <w:tcPr>
            <w:tcW w:w="1724" w:type="pct"/>
            <w:vAlign w:val="center"/>
          </w:tcPr>
          <w:p w14:paraId="28301C4B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58BA2B68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79201D8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6019C1B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5728BB08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509BF4ED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0A100BD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BD12BF" w14:paraId="0FBB359F" w14:textId="77777777" w:rsidTr="003733F1">
        <w:trPr>
          <w:jc w:val="center"/>
        </w:trPr>
        <w:tc>
          <w:tcPr>
            <w:tcW w:w="1724" w:type="pct"/>
            <w:vAlign w:val="center"/>
          </w:tcPr>
          <w:p w14:paraId="0C32DBE2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Distal c</w:t>
            </w:r>
            <w:r w:rsidRPr="00FB56A5">
              <w:rPr>
                <w:b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460" w:type="pct"/>
            <w:vAlign w:val="center"/>
          </w:tcPr>
          <w:p w14:paraId="162A200E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691C805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05747FD9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61594D1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39EE8FF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1014F9A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BD12BF" w14:paraId="32066828" w14:textId="77777777" w:rsidTr="003733F1">
        <w:trPr>
          <w:jc w:val="center"/>
        </w:trPr>
        <w:tc>
          <w:tcPr>
            <w:tcW w:w="1724" w:type="pct"/>
            <w:vAlign w:val="center"/>
          </w:tcPr>
          <w:p w14:paraId="1C04CB16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174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60" w:type="pct"/>
            <w:vAlign w:val="center"/>
          </w:tcPr>
          <w:p w14:paraId="7EEFD8EA" w14:textId="77777777" w:rsidR="00A40C42" w:rsidRPr="00B226B2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669" w:type="pct"/>
            <w:vAlign w:val="center"/>
          </w:tcPr>
          <w:p w14:paraId="5261859D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69" w:type="pct"/>
            <w:vAlign w:val="center"/>
          </w:tcPr>
          <w:p w14:paraId="024FB493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23" w:type="pct"/>
            <w:vAlign w:val="center"/>
          </w:tcPr>
          <w:p w14:paraId="46CF2B6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14C079D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370E134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BD12BF" w14:paraId="62F18F35" w14:textId="77777777" w:rsidTr="003733F1">
        <w:trPr>
          <w:jc w:val="center"/>
        </w:trPr>
        <w:tc>
          <w:tcPr>
            <w:tcW w:w="1724" w:type="pct"/>
            <w:vAlign w:val="center"/>
          </w:tcPr>
          <w:p w14:paraId="3AD68672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60" w:type="pct"/>
            <w:vAlign w:val="center"/>
          </w:tcPr>
          <w:p w14:paraId="52F09AEE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73747C4B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BD12BF">
              <w:rPr>
                <w:sz w:val="21"/>
                <w:szCs w:val="21"/>
              </w:rPr>
              <w:t>0.94 (0.57-1.55)</w:t>
            </w:r>
          </w:p>
        </w:tc>
        <w:tc>
          <w:tcPr>
            <w:tcW w:w="669" w:type="pct"/>
            <w:vAlign w:val="center"/>
          </w:tcPr>
          <w:p w14:paraId="56D12F4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BD12BF">
              <w:rPr>
                <w:sz w:val="21"/>
                <w:szCs w:val="21"/>
              </w:rPr>
              <w:t>0.83 (0.36-1.92)</w:t>
            </w:r>
          </w:p>
        </w:tc>
        <w:tc>
          <w:tcPr>
            <w:tcW w:w="423" w:type="pct"/>
            <w:vAlign w:val="center"/>
          </w:tcPr>
          <w:p w14:paraId="32105FB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.63</w:t>
            </w:r>
          </w:p>
        </w:tc>
        <w:tc>
          <w:tcPr>
            <w:tcW w:w="635" w:type="pct"/>
            <w:vAlign w:val="center"/>
          </w:tcPr>
          <w:p w14:paraId="39358311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BD12BF">
              <w:rPr>
                <w:sz w:val="21"/>
                <w:szCs w:val="21"/>
              </w:rPr>
              <w:t>0.84 (0.51-1.37)</w:t>
            </w:r>
          </w:p>
        </w:tc>
        <w:tc>
          <w:tcPr>
            <w:tcW w:w="420" w:type="pct"/>
            <w:vAlign w:val="center"/>
          </w:tcPr>
          <w:p w14:paraId="54F1FFD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.48</w:t>
            </w:r>
          </w:p>
        </w:tc>
      </w:tr>
      <w:tr w:rsidR="00A40C42" w:rsidRPr="00BD12BF" w14:paraId="1D96E375" w14:textId="77777777" w:rsidTr="003733F1">
        <w:trPr>
          <w:jc w:val="center"/>
        </w:trPr>
        <w:tc>
          <w:tcPr>
            <w:tcW w:w="1724" w:type="pct"/>
            <w:vAlign w:val="center"/>
          </w:tcPr>
          <w:p w14:paraId="680FE0DC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60" w:type="pct"/>
            <w:vAlign w:val="center"/>
          </w:tcPr>
          <w:p w14:paraId="44323462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551072F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0.88 (0.52-1.46)</w:t>
            </w:r>
          </w:p>
        </w:tc>
        <w:tc>
          <w:tcPr>
            <w:tcW w:w="669" w:type="pct"/>
            <w:vAlign w:val="center"/>
          </w:tcPr>
          <w:p w14:paraId="7318102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0.78 (0.33-1.83)</w:t>
            </w:r>
          </w:p>
        </w:tc>
        <w:tc>
          <w:tcPr>
            <w:tcW w:w="423" w:type="pct"/>
            <w:vAlign w:val="center"/>
          </w:tcPr>
          <w:p w14:paraId="7D308381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.50</w:t>
            </w:r>
          </w:p>
        </w:tc>
        <w:tc>
          <w:tcPr>
            <w:tcW w:w="635" w:type="pct"/>
            <w:vAlign w:val="center"/>
          </w:tcPr>
          <w:p w14:paraId="4931D5E3" w14:textId="77777777" w:rsidR="00A40C42" w:rsidRPr="00C02CD4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0.78 (0.47-1.30)</w:t>
            </w:r>
          </w:p>
        </w:tc>
        <w:tc>
          <w:tcPr>
            <w:tcW w:w="420" w:type="pct"/>
            <w:vAlign w:val="center"/>
          </w:tcPr>
          <w:p w14:paraId="17E7403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.34</w:t>
            </w:r>
          </w:p>
        </w:tc>
      </w:tr>
      <w:tr w:rsidR="00A40C42" w:rsidRPr="00BD12BF" w14:paraId="6D66FAD5" w14:textId="77777777" w:rsidTr="003733F1">
        <w:trPr>
          <w:jc w:val="center"/>
        </w:trPr>
        <w:tc>
          <w:tcPr>
            <w:tcW w:w="1724" w:type="pct"/>
            <w:vAlign w:val="center"/>
          </w:tcPr>
          <w:p w14:paraId="40A0CDCE" w14:textId="77777777" w:rsidR="00A40C42" w:rsidRPr="003B1368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</w:p>
        </w:tc>
        <w:tc>
          <w:tcPr>
            <w:tcW w:w="460" w:type="pct"/>
            <w:vAlign w:val="center"/>
          </w:tcPr>
          <w:p w14:paraId="74042A8E" w14:textId="77777777" w:rsidR="00A40C42" w:rsidRPr="00BD12BF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5EE177C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0.95 (0.55-1.65)</w:t>
            </w:r>
          </w:p>
        </w:tc>
        <w:tc>
          <w:tcPr>
            <w:tcW w:w="669" w:type="pct"/>
            <w:vAlign w:val="center"/>
          </w:tcPr>
          <w:p w14:paraId="0ABDFB2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0.86 (0.35-2.09)</w:t>
            </w:r>
          </w:p>
        </w:tc>
        <w:tc>
          <w:tcPr>
            <w:tcW w:w="423" w:type="pct"/>
            <w:vAlign w:val="center"/>
          </w:tcPr>
          <w:p w14:paraId="3559789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.72</w:t>
            </w:r>
          </w:p>
        </w:tc>
        <w:tc>
          <w:tcPr>
            <w:tcW w:w="635" w:type="pct"/>
            <w:vAlign w:val="center"/>
          </w:tcPr>
          <w:p w14:paraId="4473F5C6" w14:textId="77777777" w:rsidR="00A40C42" w:rsidRPr="00C02CD4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0.84 (0.48-1.44)</w:t>
            </w:r>
          </w:p>
        </w:tc>
        <w:tc>
          <w:tcPr>
            <w:tcW w:w="420" w:type="pct"/>
            <w:vAlign w:val="center"/>
          </w:tcPr>
          <w:p w14:paraId="2FA87A42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.52</w:t>
            </w:r>
          </w:p>
        </w:tc>
      </w:tr>
      <w:tr w:rsidR="00A40C42" w:rsidRPr="00FB56A5" w14:paraId="5279401D" w14:textId="77777777" w:rsidTr="003733F1">
        <w:trPr>
          <w:jc w:val="center"/>
        </w:trPr>
        <w:tc>
          <w:tcPr>
            <w:tcW w:w="1724" w:type="pct"/>
            <w:vAlign w:val="center"/>
          </w:tcPr>
          <w:p w14:paraId="22B1BAD0" w14:textId="77777777" w:rsidR="00A40C42" w:rsidRPr="00FB56A5" w:rsidRDefault="00A40C42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175873BD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375CD9A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001693CB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7D308817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49E1E72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A6D699A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54BBAA69" w14:textId="77777777" w:rsidTr="003733F1">
        <w:trPr>
          <w:jc w:val="center"/>
        </w:trPr>
        <w:tc>
          <w:tcPr>
            <w:tcW w:w="1724" w:type="pct"/>
            <w:vAlign w:val="center"/>
          </w:tcPr>
          <w:p w14:paraId="109D8C74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Rectal cancer</w:t>
            </w:r>
          </w:p>
        </w:tc>
        <w:tc>
          <w:tcPr>
            <w:tcW w:w="460" w:type="pct"/>
            <w:vAlign w:val="center"/>
          </w:tcPr>
          <w:p w14:paraId="0721F18C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3C3C2C33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pct"/>
            <w:vAlign w:val="center"/>
          </w:tcPr>
          <w:p w14:paraId="6B787E09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0888137D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67604B6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439493D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536FFE01" w14:textId="77777777" w:rsidTr="003733F1">
        <w:trPr>
          <w:jc w:val="center"/>
        </w:trPr>
        <w:tc>
          <w:tcPr>
            <w:tcW w:w="1724" w:type="pct"/>
            <w:vAlign w:val="center"/>
          </w:tcPr>
          <w:p w14:paraId="3E8564B9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No. of cases (108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60" w:type="pct"/>
            <w:vAlign w:val="center"/>
          </w:tcPr>
          <w:p w14:paraId="1E75DA3C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C02CD4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669" w:type="pct"/>
            <w:vAlign w:val="center"/>
          </w:tcPr>
          <w:p w14:paraId="2A41FF2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6</w:t>
            </w:r>
          </w:p>
        </w:tc>
        <w:tc>
          <w:tcPr>
            <w:tcW w:w="669" w:type="pct"/>
            <w:vAlign w:val="center"/>
          </w:tcPr>
          <w:p w14:paraId="40E615FE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2</w:t>
            </w:r>
          </w:p>
        </w:tc>
        <w:tc>
          <w:tcPr>
            <w:tcW w:w="423" w:type="pct"/>
            <w:vAlign w:val="center"/>
          </w:tcPr>
          <w:p w14:paraId="55E68C29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 w14:paraId="089BE766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6008FA1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A40C42" w:rsidRPr="00FB56A5" w14:paraId="004ED865" w14:textId="77777777" w:rsidTr="003733F1">
        <w:trPr>
          <w:jc w:val="center"/>
        </w:trPr>
        <w:tc>
          <w:tcPr>
            <w:tcW w:w="1724" w:type="pct"/>
            <w:vAlign w:val="center"/>
          </w:tcPr>
          <w:p w14:paraId="0A70538B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60" w:type="pct"/>
            <w:vAlign w:val="center"/>
          </w:tcPr>
          <w:p w14:paraId="1241B38C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C02CD4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7D91B03D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0.52 (0.22-1.20)</w:t>
            </w:r>
          </w:p>
        </w:tc>
        <w:tc>
          <w:tcPr>
            <w:tcW w:w="669" w:type="pct"/>
            <w:vAlign w:val="center"/>
          </w:tcPr>
          <w:p w14:paraId="5922FEB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0.39 (0.09-1.61)</w:t>
            </w:r>
          </w:p>
        </w:tc>
        <w:tc>
          <w:tcPr>
            <w:tcW w:w="423" w:type="pct"/>
            <w:vAlign w:val="center"/>
          </w:tcPr>
          <w:p w14:paraId="2E924AFC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FB56A5">
              <w:rPr>
                <w:rFonts w:eastAsia="Times New Roman"/>
                <w:sz w:val="21"/>
                <w:szCs w:val="21"/>
              </w:rPr>
              <w:t>.09</w:t>
            </w:r>
          </w:p>
        </w:tc>
        <w:tc>
          <w:tcPr>
            <w:tcW w:w="635" w:type="pct"/>
            <w:vAlign w:val="center"/>
          </w:tcPr>
          <w:p w14:paraId="3D53683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0.47 (0.20-1.09)</w:t>
            </w:r>
          </w:p>
        </w:tc>
        <w:tc>
          <w:tcPr>
            <w:tcW w:w="420" w:type="pct"/>
            <w:vAlign w:val="center"/>
          </w:tcPr>
          <w:p w14:paraId="43D29299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FB56A5">
              <w:rPr>
                <w:sz w:val="21"/>
                <w:szCs w:val="21"/>
              </w:rPr>
              <w:t>.08</w:t>
            </w:r>
          </w:p>
        </w:tc>
      </w:tr>
      <w:tr w:rsidR="00A40C42" w:rsidRPr="00FB56A5" w14:paraId="294D4295" w14:textId="77777777" w:rsidTr="003733F1">
        <w:trPr>
          <w:jc w:val="center"/>
        </w:trPr>
        <w:tc>
          <w:tcPr>
            <w:tcW w:w="1724" w:type="pct"/>
            <w:vAlign w:val="center"/>
          </w:tcPr>
          <w:p w14:paraId="6BD041E0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60" w:type="pct"/>
            <w:vAlign w:val="center"/>
          </w:tcPr>
          <w:p w14:paraId="2F7C2E81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C02CD4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vAlign w:val="center"/>
          </w:tcPr>
          <w:p w14:paraId="4A10E3F4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0.72 (0.41-1.25)</w:t>
            </w:r>
          </w:p>
        </w:tc>
        <w:tc>
          <w:tcPr>
            <w:tcW w:w="669" w:type="pct"/>
            <w:vAlign w:val="center"/>
          </w:tcPr>
          <w:p w14:paraId="0505E05C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0.45 (0.16-1.25)</w:t>
            </w:r>
          </w:p>
        </w:tc>
        <w:tc>
          <w:tcPr>
            <w:tcW w:w="423" w:type="pct"/>
            <w:vAlign w:val="center"/>
          </w:tcPr>
          <w:p w14:paraId="4D7CDF4B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.08</w:t>
            </w:r>
          </w:p>
        </w:tc>
        <w:tc>
          <w:tcPr>
            <w:tcW w:w="635" w:type="pct"/>
            <w:vAlign w:val="center"/>
          </w:tcPr>
          <w:p w14:paraId="4A8F3116" w14:textId="77777777" w:rsidR="00A40C42" w:rsidRPr="00C02CD4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0.60 (0.33-1.07)</w:t>
            </w:r>
          </w:p>
        </w:tc>
        <w:tc>
          <w:tcPr>
            <w:tcW w:w="420" w:type="pct"/>
            <w:vAlign w:val="center"/>
          </w:tcPr>
          <w:p w14:paraId="725B07F5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.08</w:t>
            </w:r>
          </w:p>
        </w:tc>
      </w:tr>
      <w:tr w:rsidR="00A40C42" w:rsidRPr="00FB56A5" w14:paraId="00BB9CC1" w14:textId="77777777" w:rsidTr="003733F1">
        <w:trPr>
          <w:jc w:val="center"/>
        </w:trPr>
        <w:tc>
          <w:tcPr>
            <w:tcW w:w="1724" w:type="pct"/>
            <w:tcBorders>
              <w:bottom w:val="single" w:sz="12" w:space="0" w:color="auto"/>
            </w:tcBorders>
            <w:vAlign w:val="center"/>
          </w:tcPr>
          <w:p w14:paraId="14001C48" w14:textId="77777777" w:rsidR="00A40C42" w:rsidRPr="00FB56A5" w:rsidRDefault="00A40C42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recent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14:paraId="6349BAF0" w14:textId="77777777" w:rsidR="00A40C42" w:rsidRPr="00C02CD4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 w:rsidRPr="00C02CD4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vAlign w:val="center"/>
          </w:tcPr>
          <w:p w14:paraId="1E957FA7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0.74 (0.41-1.33)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vAlign w:val="center"/>
          </w:tcPr>
          <w:p w14:paraId="684EE3C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0.46 (0.16-1.33)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14:paraId="35867A9B" w14:textId="77777777" w:rsidR="00A40C42" w:rsidRPr="00FB56A5" w:rsidRDefault="00A40C42" w:rsidP="003733F1">
            <w:pPr>
              <w:pStyle w:val="NoSpacing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.12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031A5033" w14:textId="77777777" w:rsidR="00A40C42" w:rsidRPr="00C02CD4" w:rsidRDefault="00A40C42" w:rsidP="003733F1">
            <w:pPr>
              <w:jc w:val="center"/>
              <w:rPr>
                <w:sz w:val="21"/>
                <w:szCs w:val="21"/>
              </w:rPr>
            </w:pPr>
            <w:r w:rsidRPr="00C02CD4">
              <w:rPr>
                <w:sz w:val="21"/>
                <w:szCs w:val="21"/>
              </w:rPr>
              <w:t>0.62 (0.33-1.15)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center"/>
          </w:tcPr>
          <w:p w14:paraId="2383575F" w14:textId="77777777" w:rsidR="00A40C42" w:rsidRPr="00FB56A5" w:rsidRDefault="00A40C42" w:rsidP="003733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.13</w:t>
            </w:r>
          </w:p>
        </w:tc>
      </w:tr>
    </w:tbl>
    <w:p w14:paraId="387935EF" w14:textId="77777777" w:rsidR="00A40C42" w:rsidRPr="00FB56A5" w:rsidRDefault="00A40C42" w:rsidP="00A40C42">
      <w:pPr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HPFS, Health Professionals Follow-up Study; MV, multivariate; HR, hazard ratio; CI, confidence interval.</w:t>
      </w:r>
    </w:p>
    <w:p w14:paraId="1D16F6E8" w14:textId="77777777" w:rsidR="00A40C42" w:rsidRPr="00FB56A5" w:rsidRDefault="00A40C42" w:rsidP="00A40C42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lastRenderedPageBreak/>
        <w:t>a</w:t>
      </w:r>
      <w:r w:rsidRPr="00FB56A5">
        <w:rPr>
          <w:color w:val="000000"/>
          <w:sz w:val="21"/>
          <w:szCs w:val="21"/>
        </w:rPr>
        <w:t xml:space="preserve"> Remote period duration of </w:t>
      </w:r>
      <w:r w:rsidRPr="00FB56A5">
        <w:rPr>
          <w:color w:val="000000"/>
          <w:sz w:val="21"/>
          <w:szCs w:val="21"/>
          <w:lang w:val="en-GB"/>
        </w:rPr>
        <w:t>statin</w:t>
      </w:r>
      <w:r w:rsidRPr="00FB56A5" w:rsidDel="00C21887">
        <w:rPr>
          <w:color w:val="000000"/>
          <w:sz w:val="21"/>
          <w:szCs w:val="21"/>
          <w:lang w:val="en-GB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remote period (&gt;10 years before every follow-up period, i.e. begin from 1994 (NHS) and 1990 (HPFS), and then was extended by every 2-year subsequent interval at a time, until 2004).</w:t>
      </w:r>
    </w:p>
    <w:p w14:paraId="150AE27F" w14:textId="77777777" w:rsidR="00A40C42" w:rsidRPr="00FB56A5" w:rsidRDefault="00A40C42" w:rsidP="00A40C42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</w:t>
      </w:r>
      <w:proofErr w:type="gramStart"/>
      <w:r w:rsidRPr="00FB56A5">
        <w:rPr>
          <w:color w:val="000000" w:themeColor="text1"/>
          <w:sz w:val="21"/>
          <w:szCs w:val="21"/>
        </w:rPr>
        <w:t>The</w:t>
      </w:r>
      <w:proofErr w:type="gramEnd"/>
      <w:r w:rsidRPr="00FB56A5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FB56A5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5D9FEF29" w14:textId="77777777" w:rsidR="00A40C42" w:rsidRPr="00FB56A5" w:rsidRDefault="00A40C42" w:rsidP="00A40C42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A44BB6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in the follow-up period.</w:t>
      </w:r>
    </w:p>
    <w:p w14:paraId="5BA6ED9B" w14:textId="77777777" w:rsidR="00A40C42" w:rsidRPr="00FB56A5" w:rsidRDefault="00A40C42" w:rsidP="00A40C42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d</w:t>
      </w:r>
      <w:r w:rsidRPr="00FB56A5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FB56A5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history of </w:t>
      </w:r>
      <w:r w:rsidRPr="00FB56A5">
        <w:rPr>
          <w:color w:val="000000"/>
          <w:sz w:val="21"/>
          <w:szCs w:val="21"/>
        </w:rPr>
        <w:t xml:space="preserve">diabetes mellitus, </w:t>
      </w:r>
      <w:r w:rsidRPr="00FB56A5">
        <w:rPr>
          <w:rFonts w:eastAsiaTheme="minorEastAsia"/>
          <w:color w:val="000000" w:themeColor="text1"/>
          <w:sz w:val="21"/>
          <w:szCs w:val="21"/>
        </w:rPr>
        <w:t>history of hypercholesterolemia,</w:t>
      </w:r>
      <w:r w:rsidRPr="00FB56A5">
        <w:rPr>
          <w:color w:val="000000"/>
          <w:sz w:val="21"/>
          <w:szCs w:val="21"/>
        </w:rPr>
        <w:t xml:space="preserve"> screening colonoscopy or sigmoidoscopy, multivitamin use, total calorie intake, red or processed meat intake, fiber intake, folate intake, calcium intake, and vitamin D intake in the follow-up period.</w:t>
      </w:r>
    </w:p>
    <w:p w14:paraId="2DF63ADC" w14:textId="77777777" w:rsidR="00A40C42" w:rsidRPr="00FB56A5" w:rsidRDefault="00A40C42" w:rsidP="00A40C42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e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Recent period </w:t>
      </w:r>
      <w:r w:rsidRPr="00FB56A5">
        <w:rPr>
          <w:color w:val="000000"/>
          <w:sz w:val="21"/>
          <w:szCs w:val="21"/>
        </w:rPr>
        <w:t xml:space="preserve">duration of </w:t>
      </w:r>
      <w:r w:rsidRPr="00FB56A5">
        <w:rPr>
          <w:color w:val="000000"/>
          <w:sz w:val="21"/>
          <w:szCs w:val="21"/>
          <w:lang w:val="en-GB"/>
        </w:rPr>
        <w:t>statin</w:t>
      </w:r>
      <w:r w:rsidRPr="00FB56A5" w:rsidDel="00C21887">
        <w:rPr>
          <w:color w:val="000000"/>
          <w:sz w:val="21"/>
          <w:szCs w:val="21"/>
          <w:lang w:val="en-GB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subsequent 10-year period after the remote periods.</w:t>
      </w:r>
    </w:p>
    <w:p w14:paraId="5A3CE4CF" w14:textId="77777777" w:rsidR="00A40C42" w:rsidRPr="00FB56A5" w:rsidRDefault="00A40C42" w:rsidP="00A40C42">
      <w:pPr>
        <w:keepNext/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f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>-value for trend was calculated using the mid-point of each category of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in years.</w:t>
      </w:r>
    </w:p>
    <w:p w14:paraId="281B4236" w14:textId="6D22BFB3" w:rsidR="00F57414" w:rsidRPr="00D624B7" w:rsidRDefault="00A40C42" w:rsidP="00A40C42">
      <w:r w:rsidRPr="00FB56A5">
        <w:rPr>
          <w:bCs/>
          <w:color w:val="000000"/>
          <w:sz w:val="21"/>
          <w:szCs w:val="21"/>
          <w:vertAlign w:val="superscript"/>
          <w:lang w:val="en-GB"/>
        </w:rPr>
        <w:t>g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 xml:space="preserve">-value for trend was the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 xml:space="preserve"> value for variables modeled as continuous.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F1B0" w14:textId="77777777" w:rsidR="00752612" w:rsidRDefault="00752612" w:rsidP="00577CBD">
      <w:r>
        <w:separator/>
      </w:r>
    </w:p>
  </w:endnote>
  <w:endnote w:type="continuationSeparator" w:id="0">
    <w:p w14:paraId="7C21E2F6" w14:textId="77777777" w:rsidR="00752612" w:rsidRDefault="00752612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4AAB" w14:textId="77777777" w:rsidR="00752612" w:rsidRDefault="00752612" w:rsidP="00577CBD">
      <w:r>
        <w:separator/>
      </w:r>
    </w:p>
  </w:footnote>
  <w:footnote w:type="continuationSeparator" w:id="0">
    <w:p w14:paraId="2EC91618" w14:textId="77777777" w:rsidR="00752612" w:rsidRDefault="00752612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577CBD"/>
    <w:rsid w:val="00752612"/>
    <w:rsid w:val="00896C9D"/>
    <w:rsid w:val="00A40C42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  <w:style w:type="table" w:styleId="TableGrid">
    <w:name w:val="Table Grid"/>
    <w:basedOn w:val="TableNormal"/>
    <w:uiPriority w:val="39"/>
    <w:rsid w:val="00A40C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2021-07-29T17:22:00Z</dcterms:modified>
</cp:coreProperties>
</file>