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AA48" w14:textId="77777777" w:rsidR="00B03405" w:rsidRPr="00FB56A5" w:rsidRDefault="00B03405" w:rsidP="00B03405">
      <w:pPr>
        <w:adjustRightInd w:val="0"/>
        <w:rPr>
          <w:b/>
          <w:color w:val="000000"/>
          <w:sz w:val="21"/>
          <w:szCs w:val="21"/>
        </w:rPr>
      </w:pPr>
      <w:r w:rsidRPr="00720B3B">
        <w:rPr>
          <w:b/>
          <w:color w:val="000000"/>
          <w:sz w:val="21"/>
          <w:szCs w:val="21"/>
        </w:rPr>
        <w:t xml:space="preserve">Supplementary </w:t>
      </w:r>
      <w:r w:rsidRPr="00FB56A5">
        <w:rPr>
          <w:b/>
          <w:color w:val="000000"/>
          <w:sz w:val="21"/>
          <w:szCs w:val="21"/>
        </w:rPr>
        <w:t xml:space="preserve">Table </w:t>
      </w:r>
      <w:r>
        <w:rPr>
          <w:b/>
          <w:color w:val="000000"/>
          <w:sz w:val="21"/>
          <w:szCs w:val="21"/>
        </w:rPr>
        <w:t>19</w:t>
      </w:r>
      <w:r w:rsidRPr="00FB56A5">
        <w:rPr>
          <w:b/>
          <w:color w:val="000000"/>
          <w:sz w:val="21"/>
          <w:szCs w:val="21"/>
        </w:rPr>
        <w:t xml:space="preserve">. Joint associations of remote </w:t>
      </w:r>
      <w:proofErr w:type="gramStart"/>
      <w:r w:rsidRPr="00FB56A5">
        <w:rPr>
          <w:b/>
          <w:color w:val="000000"/>
          <w:sz w:val="21"/>
          <w:szCs w:val="21"/>
          <w:vertAlign w:val="superscript"/>
        </w:rPr>
        <w:t>a</w:t>
      </w:r>
      <w:r w:rsidRPr="00FB56A5">
        <w:rPr>
          <w:b/>
          <w:color w:val="000000"/>
          <w:sz w:val="21"/>
          <w:szCs w:val="21"/>
        </w:rPr>
        <w:t xml:space="preserve"> and</w:t>
      </w:r>
      <w:proofErr w:type="gramEnd"/>
      <w:r w:rsidRPr="00FB56A5">
        <w:rPr>
          <w:b/>
          <w:color w:val="000000"/>
          <w:sz w:val="21"/>
          <w:szCs w:val="21"/>
        </w:rPr>
        <w:t xml:space="preserve"> recent </w:t>
      </w:r>
      <w:r w:rsidRPr="00FB56A5">
        <w:rPr>
          <w:b/>
          <w:color w:val="000000"/>
          <w:sz w:val="21"/>
          <w:szCs w:val="21"/>
          <w:vertAlign w:val="superscript"/>
        </w:rPr>
        <w:t>b</w:t>
      </w:r>
      <w:r w:rsidRPr="00FB56A5">
        <w:rPr>
          <w:b/>
          <w:color w:val="000000"/>
          <w:sz w:val="21"/>
          <w:szCs w:val="21"/>
        </w:rPr>
        <w:t xml:space="preserve"> period duration</w:t>
      </w:r>
      <w:r w:rsidRPr="00FB56A5">
        <w:rPr>
          <w:b/>
          <w:color w:val="000000"/>
          <w:sz w:val="21"/>
          <w:szCs w:val="21"/>
          <w:vertAlign w:val="superscript"/>
        </w:rPr>
        <w:t xml:space="preserve"> </w:t>
      </w:r>
      <w:r w:rsidRPr="00FB56A5">
        <w:rPr>
          <w:b/>
          <w:color w:val="000000"/>
          <w:sz w:val="21"/>
          <w:szCs w:val="21"/>
        </w:rPr>
        <w:t>of statin</w:t>
      </w:r>
      <w:r w:rsidRPr="00FB56A5" w:rsidDel="00C21887">
        <w:rPr>
          <w:b/>
          <w:color w:val="000000"/>
          <w:sz w:val="21"/>
          <w:szCs w:val="21"/>
        </w:rPr>
        <w:t xml:space="preserve"> </w:t>
      </w:r>
      <w:r w:rsidRPr="00FB56A5">
        <w:rPr>
          <w:b/>
          <w:color w:val="000000"/>
          <w:sz w:val="21"/>
          <w:szCs w:val="21"/>
        </w:rPr>
        <w:t>use with colorectal cancer risk in the pooled NHS and HPFS</w:t>
      </w:r>
    </w:p>
    <w:tbl>
      <w:tblPr>
        <w:tblStyle w:val="TableGrid"/>
        <w:tblpPr w:leftFromText="180" w:rightFromText="180" w:vertAnchor="page" w:horzAnchor="margin" w:tblpY="151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2458"/>
        <w:gridCol w:w="2384"/>
        <w:gridCol w:w="2384"/>
        <w:gridCol w:w="2445"/>
        <w:gridCol w:w="1891"/>
      </w:tblGrid>
      <w:tr w:rsidR="00B03405" w:rsidRPr="00FB56A5" w14:paraId="30B0D012" w14:textId="77777777" w:rsidTr="003733F1">
        <w:tc>
          <w:tcPr>
            <w:tcW w:w="1246" w:type="pct"/>
            <w:vMerge w:val="restart"/>
            <w:tcBorders>
              <w:top w:val="single" w:sz="12" w:space="0" w:color="auto"/>
            </w:tcBorders>
            <w:vAlign w:val="center"/>
          </w:tcPr>
          <w:p w14:paraId="6EE759B4" w14:textId="77777777" w:rsidR="00B03405" w:rsidRPr="00FB56A5" w:rsidRDefault="00B03405" w:rsidP="003733F1">
            <w:pPr>
              <w:rPr>
                <w:sz w:val="21"/>
                <w:szCs w:val="21"/>
              </w:rPr>
            </w:pPr>
            <w:bookmarkStart w:id="0" w:name="_Hlk33392013"/>
            <w:r w:rsidRPr="00FB56A5">
              <w:rPr>
                <w:b/>
                <w:color w:val="000000"/>
                <w:sz w:val="21"/>
                <w:szCs w:val="21"/>
                <w:lang w:val="en-GB"/>
              </w:rPr>
              <w:t>NHS+HPFS (Pooled)</w:t>
            </w:r>
          </w:p>
        </w:tc>
        <w:tc>
          <w:tcPr>
            <w:tcW w:w="3140" w:type="pct"/>
            <w:gridSpan w:val="4"/>
            <w:tcBorders>
              <w:top w:val="single" w:sz="12" w:space="0" w:color="auto"/>
              <w:bottom w:val="single" w:sz="12" w:space="0" w:color="auto"/>
            </w:tcBorders>
            <w:vAlign w:val="center"/>
          </w:tcPr>
          <w:p w14:paraId="3C694E85" w14:textId="77777777" w:rsidR="00B03405" w:rsidRPr="00FB56A5" w:rsidRDefault="00B03405" w:rsidP="003733F1">
            <w:pPr>
              <w:jc w:val="center"/>
              <w:rPr>
                <w:b/>
                <w:bCs/>
                <w:color w:val="000000"/>
                <w:sz w:val="21"/>
                <w:szCs w:val="21"/>
                <w:lang w:val="en-GB"/>
              </w:rPr>
            </w:pPr>
            <w:r w:rsidRPr="00FB56A5">
              <w:rPr>
                <w:b/>
                <w:color w:val="000000"/>
                <w:sz w:val="21"/>
                <w:szCs w:val="21"/>
              </w:rPr>
              <w:t>Joint Associations According to Duration of Statin</w:t>
            </w:r>
            <w:r w:rsidRPr="00FB56A5" w:rsidDel="00C21887">
              <w:rPr>
                <w:b/>
                <w:color w:val="000000"/>
                <w:sz w:val="21"/>
                <w:szCs w:val="21"/>
              </w:rPr>
              <w:t xml:space="preserve"> </w:t>
            </w:r>
            <w:r w:rsidRPr="00FB56A5">
              <w:rPr>
                <w:b/>
                <w:color w:val="000000"/>
                <w:sz w:val="21"/>
                <w:szCs w:val="21"/>
              </w:rPr>
              <w:t>Use and Timing</w:t>
            </w:r>
          </w:p>
        </w:tc>
        <w:tc>
          <w:tcPr>
            <w:tcW w:w="614" w:type="pct"/>
            <w:vMerge w:val="restart"/>
            <w:tcBorders>
              <w:top w:val="single" w:sz="12" w:space="0" w:color="auto"/>
            </w:tcBorders>
            <w:vAlign w:val="center"/>
          </w:tcPr>
          <w:p w14:paraId="2EF60F2C" w14:textId="77777777" w:rsidR="00B03405" w:rsidRPr="00FB56A5" w:rsidRDefault="00B03405" w:rsidP="003733F1">
            <w:pPr>
              <w:adjustRightInd w:val="0"/>
              <w:snapToGrid w:val="0"/>
              <w:jc w:val="center"/>
              <w:rPr>
                <w:b/>
                <w:bCs/>
                <w:color w:val="000000"/>
                <w:sz w:val="21"/>
                <w:szCs w:val="21"/>
                <w:lang w:val="en-GB"/>
              </w:rPr>
            </w:pPr>
            <w:r w:rsidRPr="00FB56A5">
              <w:rPr>
                <w:b/>
                <w:bCs/>
                <w:i/>
                <w:color w:val="000000"/>
                <w:sz w:val="21"/>
                <w:szCs w:val="21"/>
                <w:lang w:val="en-GB"/>
              </w:rPr>
              <w:t>P</w:t>
            </w:r>
            <w:r w:rsidRPr="00FB56A5">
              <w:rPr>
                <w:b/>
                <w:bCs/>
                <w:color w:val="000000"/>
                <w:sz w:val="21"/>
                <w:szCs w:val="21"/>
                <w:lang w:val="en-GB"/>
              </w:rPr>
              <w:t>-interaction</w:t>
            </w:r>
            <w:r w:rsidRPr="00FB56A5">
              <w:rPr>
                <w:color w:val="000000"/>
                <w:sz w:val="21"/>
                <w:szCs w:val="21"/>
                <w:lang w:val="en-GB"/>
              </w:rPr>
              <w:t xml:space="preserve"> </w:t>
            </w:r>
            <w:r w:rsidRPr="00FB56A5">
              <w:rPr>
                <w:color w:val="000000"/>
                <w:sz w:val="21"/>
                <w:szCs w:val="21"/>
                <w:vertAlign w:val="superscript"/>
                <w:lang w:val="en-GB"/>
              </w:rPr>
              <w:t>f</w:t>
            </w:r>
          </w:p>
        </w:tc>
      </w:tr>
      <w:tr w:rsidR="00B03405" w:rsidRPr="00FB56A5" w14:paraId="6B99F403" w14:textId="77777777" w:rsidTr="003733F1">
        <w:tc>
          <w:tcPr>
            <w:tcW w:w="1246" w:type="pct"/>
            <w:vMerge/>
            <w:tcBorders>
              <w:bottom w:val="single" w:sz="12" w:space="0" w:color="auto"/>
            </w:tcBorders>
            <w:vAlign w:val="center"/>
          </w:tcPr>
          <w:p w14:paraId="0A2B0827" w14:textId="77777777" w:rsidR="00B03405" w:rsidRPr="00FB56A5" w:rsidRDefault="00B03405" w:rsidP="003733F1">
            <w:pPr>
              <w:jc w:val="center"/>
              <w:rPr>
                <w:sz w:val="21"/>
                <w:szCs w:val="21"/>
              </w:rPr>
            </w:pPr>
          </w:p>
        </w:tc>
        <w:tc>
          <w:tcPr>
            <w:tcW w:w="798" w:type="pct"/>
            <w:tcBorders>
              <w:top w:val="single" w:sz="12" w:space="0" w:color="auto"/>
              <w:bottom w:val="single" w:sz="12" w:space="0" w:color="auto"/>
            </w:tcBorders>
            <w:vAlign w:val="center"/>
          </w:tcPr>
          <w:p w14:paraId="2FE469D4" w14:textId="77777777" w:rsidR="00B03405" w:rsidRPr="00FB56A5" w:rsidRDefault="00B03405" w:rsidP="003733F1">
            <w:pPr>
              <w:jc w:val="center"/>
              <w:rPr>
                <w:b/>
                <w:color w:val="000000"/>
                <w:sz w:val="21"/>
                <w:szCs w:val="21"/>
                <w:lang w:val="en-GB"/>
              </w:rPr>
            </w:pPr>
            <w:r w:rsidRPr="00FB56A5">
              <w:rPr>
                <w:b/>
                <w:color w:val="000000"/>
                <w:sz w:val="21"/>
                <w:szCs w:val="21"/>
                <w:lang w:val="en-GB"/>
              </w:rPr>
              <w:t>Low to Low</w:t>
            </w:r>
            <w:r w:rsidRPr="00FB56A5">
              <w:rPr>
                <w:bCs/>
                <w:color w:val="000000"/>
                <w:sz w:val="21"/>
                <w:szCs w:val="21"/>
                <w:lang w:val="en-GB"/>
              </w:rPr>
              <w:t xml:space="preserve"> </w:t>
            </w:r>
            <w:r w:rsidRPr="00FB56A5">
              <w:rPr>
                <w:bCs/>
                <w:color w:val="000000"/>
                <w:sz w:val="21"/>
                <w:szCs w:val="21"/>
                <w:vertAlign w:val="superscript"/>
                <w:lang w:val="en-GB"/>
              </w:rPr>
              <w:t>e</w:t>
            </w:r>
          </w:p>
        </w:tc>
        <w:tc>
          <w:tcPr>
            <w:tcW w:w="774" w:type="pct"/>
            <w:tcBorders>
              <w:top w:val="single" w:sz="12" w:space="0" w:color="auto"/>
              <w:bottom w:val="single" w:sz="12" w:space="0" w:color="auto"/>
            </w:tcBorders>
            <w:vAlign w:val="center"/>
          </w:tcPr>
          <w:p w14:paraId="68BCC38E" w14:textId="77777777" w:rsidR="00B03405" w:rsidRPr="00FB56A5" w:rsidRDefault="00B03405" w:rsidP="003733F1">
            <w:pPr>
              <w:jc w:val="center"/>
              <w:rPr>
                <w:b/>
                <w:color w:val="000000"/>
                <w:sz w:val="21"/>
                <w:szCs w:val="21"/>
                <w:lang w:val="en-GB"/>
              </w:rPr>
            </w:pPr>
            <w:r w:rsidRPr="00FB56A5">
              <w:rPr>
                <w:b/>
                <w:color w:val="000000"/>
                <w:sz w:val="21"/>
                <w:szCs w:val="21"/>
                <w:lang w:val="en-GB"/>
              </w:rPr>
              <w:t>Low to High</w:t>
            </w:r>
            <w:r w:rsidRPr="00FB56A5">
              <w:rPr>
                <w:bCs/>
                <w:color w:val="000000"/>
                <w:sz w:val="21"/>
                <w:szCs w:val="21"/>
                <w:vertAlign w:val="superscript"/>
                <w:lang w:val="en-GB"/>
              </w:rPr>
              <w:t xml:space="preserve"> e</w:t>
            </w:r>
          </w:p>
        </w:tc>
        <w:tc>
          <w:tcPr>
            <w:tcW w:w="774" w:type="pct"/>
            <w:tcBorders>
              <w:top w:val="single" w:sz="12" w:space="0" w:color="auto"/>
              <w:bottom w:val="single" w:sz="12" w:space="0" w:color="auto"/>
            </w:tcBorders>
            <w:vAlign w:val="center"/>
          </w:tcPr>
          <w:p w14:paraId="2CA6FAC0" w14:textId="77777777" w:rsidR="00B03405" w:rsidRPr="00FB56A5" w:rsidRDefault="00B03405" w:rsidP="003733F1">
            <w:pPr>
              <w:jc w:val="center"/>
              <w:rPr>
                <w:b/>
                <w:color w:val="000000"/>
                <w:sz w:val="21"/>
                <w:szCs w:val="21"/>
                <w:lang w:val="en-GB"/>
              </w:rPr>
            </w:pPr>
            <w:r w:rsidRPr="00FB56A5">
              <w:rPr>
                <w:b/>
                <w:color w:val="000000"/>
                <w:sz w:val="21"/>
                <w:szCs w:val="21"/>
                <w:lang w:val="en-GB"/>
              </w:rPr>
              <w:t>High to Low</w:t>
            </w:r>
            <w:r w:rsidRPr="00FB56A5">
              <w:rPr>
                <w:bCs/>
                <w:color w:val="000000"/>
                <w:sz w:val="21"/>
                <w:szCs w:val="21"/>
                <w:vertAlign w:val="superscript"/>
                <w:lang w:val="en-GB"/>
              </w:rPr>
              <w:t xml:space="preserve"> e</w:t>
            </w:r>
          </w:p>
        </w:tc>
        <w:tc>
          <w:tcPr>
            <w:tcW w:w="794" w:type="pct"/>
            <w:tcBorders>
              <w:top w:val="single" w:sz="12" w:space="0" w:color="auto"/>
              <w:bottom w:val="single" w:sz="12" w:space="0" w:color="auto"/>
            </w:tcBorders>
            <w:vAlign w:val="center"/>
          </w:tcPr>
          <w:p w14:paraId="1CEE5B43" w14:textId="77777777" w:rsidR="00B03405" w:rsidRPr="00FB56A5" w:rsidRDefault="00B03405" w:rsidP="003733F1">
            <w:pPr>
              <w:jc w:val="center"/>
              <w:rPr>
                <w:b/>
                <w:color w:val="000000"/>
                <w:sz w:val="21"/>
                <w:szCs w:val="21"/>
                <w:lang w:val="en-GB"/>
              </w:rPr>
            </w:pPr>
            <w:r w:rsidRPr="00FB56A5">
              <w:rPr>
                <w:b/>
                <w:color w:val="000000"/>
                <w:sz w:val="21"/>
                <w:szCs w:val="21"/>
                <w:lang w:val="en-GB"/>
              </w:rPr>
              <w:t>High to High</w:t>
            </w:r>
            <w:r w:rsidRPr="00FB56A5">
              <w:rPr>
                <w:bCs/>
                <w:color w:val="000000"/>
                <w:sz w:val="21"/>
                <w:szCs w:val="21"/>
                <w:vertAlign w:val="superscript"/>
                <w:lang w:val="en-GB"/>
              </w:rPr>
              <w:t xml:space="preserve"> e</w:t>
            </w:r>
          </w:p>
        </w:tc>
        <w:tc>
          <w:tcPr>
            <w:tcW w:w="614" w:type="pct"/>
            <w:vMerge/>
            <w:tcBorders>
              <w:bottom w:val="single" w:sz="12" w:space="0" w:color="auto"/>
            </w:tcBorders>
            <w:vAlign w:val="center"/>
          </w:tcPr>
          <w:p w14:paraId="7F2FE610" w14:textId="77777777" w:rsidR="00B03405" w:rsidRPr="00FB56A5" w:rsidRDefault="00B03405" w:rsidP="003733F1">
            <w:pPr>
              <w:jc w:val="center"/>
              <w:rPr>
                <w:sz w:val="21"/>
                <w:szCs w:val="21"/>
              </w:rPr>
            </w:pPr>
          </w:p>
        </w:tc>
      </w:tr>
      <w:tr w:rsidR="00B03405" w:rsidRPr="00FB56A5" w14:paraId="079FDAB0" w14:textId="77777777" w:rsidTr="003733F1">
        <w:tc>
          <w:tcPr>
            <w:tcW w:w="1246" w:type="pct"/>
            <w:vAlign w:val="center"/>
          </w:tcPr>
          <w:p w14:paraId="0C330F34" w14:textId="77777777" w:rsidR="00B03405" w:rsidRPr="00FB56A5" w:rsidRDefault="00B03405" w:rsidP="003733F1">
            <w:pPr>
              <w:rPr>
                <w:color w:val="000000"/>
                <w:sz w:val="21"/>
                <w:szCs w:val="21"/>
              </w:rPr>
            </w:pPr>
            <w:r w:rsidRPr="00FB56A5">
              <w:rPr>
                <w:color w:val="000000"/>
                <w:sz w:val="21"/>
                <w:szCs w:val="21"/>
                <w:lang w:val="en-GB"/>
              </w:rPr>
              <w:t xml:space="preserve">No. of cases (880 in total) </w:t>
            </w:r>
          </w:p>
        </w:tc>
        <w:tc>
          <w:tcPr>
            <w:tcW w:w="798" w:type="pct"/>
            <w:vAlign w:val="center"/>
          </w:tcPr>
          <w:p w14:paraId="1DDAF7F6" w14:textId="77777777" w:rsidR="00B03405" w:rsidRPr="00FB56A5" w:rsidRDefault="00B03405" w:rsidP="003733F1">
            <w:pPr>
              <w:jc w:val="center"/>
              <w:rPr>
                <w:sz w:val="21"/>
                <w:szCs w:val="21"/>
              </w:rPr>
            </w:pPr>
            <w:r w:rsidRPr="00FB56A5">
              <w:rPr>
                <w:sz w:val="21"/>
                <w:szCs w:val="21"/>
              </w:rPr>
              <w:t>646</w:t>
            </w:r>
          </w:p>
        </w:tc>
        <w:tc>
          <w:tcPr>
            <w:tcW w:w="774" w:type="pct"/>
            <w:vAlign w:val="center"/>
          </w:tcPr>
          <w:p w14:paraId="74676970" w14:textId="77777777" w:rsidR="00B03405" w:rsidRPr="00FB56A5" w:rsidRDefault="00B03405" w:rsidP="003733F1">
            <w:pPr>
              <w:jc w:val="center"/>
              <w:rPr>
                <w:sz w:val="21"/>
                <w:szCs w:val="21"/>
              </w:rPr>
            </w:pPr>
            <w:r w:rsidRPr="00FB56A5">
              <w:rPr>
                <w:sz w:val="21"/>
                <w:szCs w:val="21"/>
              </w:rPr>
              <w:t>182</w:t>
            </w:r>
          </w:p>
        </w:tc>
        <w:tc>
          <w:tcPr>
            <w:tcW w:w="774" w:type="pct"/>
            <w:vAlign w:val="center"/>
          </w:tcPr>
          <w:p w14:paraId="3E44DC0F" w14:textId="77777777" w:rsidR="00B03405" w:rsidRPr="00FB56A5" w:rsidRDefault="00B03405" w:rsidP="003733F1">
            <w:pPr>
              <w:jc w:val="center"/>
              <w:rPr>
                <w:sz w:val="21"/>
                <w:szCs w:val="21"/>
              </w:rPr>
            </w:pPr>
            <w:r w:rsidRPr="00FB56A5">
              <w:rPr>
                <w:sz w:val="21"/>
                <w:szCs w:val="21"/>
              </w:rPr>
              <w:t>5</w:t>
            </w:r>
          </w:p>
        </w:tc>
        <w:tc>
          <w:tcPr>
            <w:tcW w:w="794" w:type="pct"/>
            <w:vAlign w:val="center"/>
          </w:tcPr>
          <w:p w14:paraId="72BAF45A" w14:textId="77777777" w:rsidR="00B03405" w:rsidRPr="00FB56A5" w:rsidRDefault="00B03405" w:rsidP="003733F1">
            <w:pPr>
              <w:jc w:val="center"/>
              <w:rPr>
                <w:sz w:val="21"/>
                <w:szCs w:val="21"/>
              </w:rPr>
            </w:pPr>
            <w:r w:rsidRPr="00FB56A5">
              <w:rPr>
                <w:sz w:val="21"/>
                <w:szCs w:val="21"/>
              </w:rPr>
              <w:t>47</w:t>
            </w:r>
          </w:p>
        </w:tc>
        <w:tc>
          <w:tcPr>
            <w:tcW w:w="614" w:type="pct"/>
            <w:vAlign w:val="center"/>
          </w:tcPr>
          <w:p w14:paraId="093D16C9" w14:textId="77777777" w:rsidR="00B03405" w:rsidRPr="00FB56A5" w:rsidRDefault="00B03405" w:rsidP="003733F1">
            <w:pPr>
              <w:jc w:val="center"/>
              <w:rPr>
                <w:sz w:val="21"/>
                <w:szCs w:val="21"/>
              </w:rPr>
            </w:pPr>
          </w:p>
        </w:tc>
      </w:tr>
      <w:tr w:rsidR="00B03405" w:rsidRPr="00FB56A5" w14:paraId="4237565E" w14:textId="77777777" w:rsidTr="003733F1">
        <w:tc>
          <w:tcPr>
            <w:tcW w:w="1246" w:type="pct"/>
            <w:vAlign w:val="center"/>
          </w:tcPr>
          <w:p w14:paraId="1A955839" w14:textId="77777777" w:rsidR="00B03405" w:rsidRPr="00FB56A5" w:rsidRDefault="00B03405" w:rsidP="003733F1">
            <w:pPr>
              <w:rPr>
                <w:color w:val="000000"/>
                <w:sz w:val="21"/>
                <w:szCs w:val="21"/>
                <w:lang w:val="en-GB"/>
              </w:rPr>
            </w:pPr>
            <w:r>
              <w:rPr>
                <w:color w:val="000000"/>
                <w:sz w:val="21"/>
                <w:szCs w:val="21"/>
                <w:lang w:val="en-GB"/>
              </w:rPr>
              <w:t>Age-adjusted</w:t>
            </w:r>
            <w:r w:rsidRPr="00FB56A5">
              <w:rPr>
                <w:color w:val="000000"/>
                <w:sz w:val="21"/>
                <w:szCs w:val="21"/>
                <w:lang w:val="en-GB"/>
              </w:rPr>
              <w:t xml:space="preserve"> </w:t>
            </w:r>
            <w:r w:rsidRPr="00FB56A5">
              <w:rPr>
                <w:color w:val="000000"/>
                <w:sz w:val="21"/>
                <w:szCs w:val="21"/>
                <w:vertAlign w:val="superscript"/>
                <w:lang w:val="en-GB"/>
              </w:rPr>
              <w:t>c</w:t>
            </w:r>
          </w:p>
        </w:tc>
        <w:tc>
          <w:tcPr>
            <w:tcW w:w="798" w:type="pct"/>
            <w:vAlign w:val="center"/>
          </w:tcPr>
          <w:p w14:paraId="6E6644B7" w14:textId="77777777" w:rsidR="00B03405" w:rsidRPr="005565BA" w:rsidRDefault="00B03405" w:rsidP="003733F1">
            <w:pPr>
              <w:pStyle w:val="NoSpacing"/>
              <w:jc w:val="center"/>
              <w:rPr>
                <w:rFonts w:eastAsia="Times New Roman"/>
                <w:sz w:val="21"/>
                <w:szCs w:val="21"/>
              </w:rPr>
            </w:pPr>
            <w:r w:rsidRPr="005565BA">
              <w:rPr>
                <w:rFonts w:eastAsia="Times New Roman"/>
                <w:sz w:val="21"/>
                <w:szCs w:val="21"/>
              </w:rPr>
              <w:t>1 [Ref]</w:t>
            </w:r>
          </w:p>
        </w:tc>
        <w:tc>
          <w:tcPr>
            <w:tcW w:w="774" w:type="pct"/>
            <w:vAlign w:val="center"/>
          </w:tcPr>
          <w:p w14:paraId="646721A8" w14:textId="77777777" w:rsidR="00B03405" w:rsidRPr="00FB56A5" w:rsidRDefault="00B03405" w:rsidP="003733F1">
            <w:pPr>
              <w:jc w:val="center"/>
              <w:rPr>
                <w:sz w:val="21"/>
                <w:szCs w:val="21"/>
              </w:rPr>
            </w:pPr>
            <w:r w:rsidRPr="00FB56A5">
              <w:rPr>
                <w:sz w:val="21"/>
                <w:szCs w:val="21"/>
              </w:rPr>
              <w:t>0.97 (0.82-1.14)</w:t>
            </w:r>
          </w:p>
        </w:tc>
        <w:tc>
          <w:tcPr>
            <w:tcW w:w="774" w:type="pct"/>
            <w:vAlign w:val="center"/>
          </w:tcPr>
          <w:p w14:paraId="63830990" w14:textId="77777777" w:rsidR="00B03405" w:rsidRPr="00FB56A5" w:rsidRDefault="00B03405" w:rsidP="003733F1">
            <w:pPr>
              <w:jc w:val="center"/>
              <w:rPr>
                <w:sz w:val="21"/>
                <w:szCs w:val="21"/>
              </w:rPr>
            </w:pPr>
            <w:r w:rsidRPr="00FB56A5">
              <w:rPr>
                <w:sz w:val="21"/>
                <w:szCs w:val="21"/>
              </w:rPr>
              <w:t>0.71 (0.29-1.74)</w:t>
            </w:r>
          </w:p>
        </w:tc>
        <w:tc>
          <w:tcPr>
            <w:tcW w:w="794" w:type="pct"/>
            <w:vAlign w:val="center"/>
          </w:tcPr>
          <w:p w14:paraId="3512C9DB" w14:textId="77777777" w:rsidR="00B03405" w:rsidRPr="00FB56A5" w:rsidRDefault="00B03405" w:rsidP="003733F1">
            <w:pPr>
              <w:jc w:val="center"/>
              <w:rPr>
                <w:sz w:val="21"/>
                <w:szCs w:val="21"/>
              </w:rPr>
            </w:pPr>
            <w:r w:rsidRPr="00FB56A5">
              <w:rPr>
                <w:sz w:val="21"/>
                <w:szCs w:val="21"/>
              </w:rPr>
              <w:t>1.33 (0.98-1.81)</w:t>
            </w:r>
          </w:p>
        </w:tc>
        <w:tc>
          <w:tcPr>
            <w:tcW w:w="614" w:type="pct"/>
            <w:vAlign w:val="center"/>
          </w:tcPr>
          <w:p w14:paraId="2CD6A9A8" w14:textId="77777777" w:rsidR="00B03405" w:rsidRPr="00FB56A5" w:rsidRDefault="00B03405" w:rsidP="003733F1">
            <w:pPr>
              <w:jc w:val="center"/>
              <w:rPr>
                <w:sz w:val="21"/>
                <w:szCs w:val="21"/>
              </w:rPr>
            </w:pPr>
            <w:r w:rsidRPr="00FB56A5">
              <w:rPr>
                <w:sz w:val="21"/>
                <w:szCs w:val="21"/>
              </w:rPr>
              <w:t>.17</w:t>
            </w:r>
          </w:p>
        </w:tc>
      </w:tr>
      <w:tr w:rsidR="00B03405" w:rsidRPr="00FB56A5" w14:paraId="65FF4AF8" w14:textId="77777777" w:rsidTr="003733F1">
        <w:tc>
          <w:tcPr>
            <w:tcW w:w="1246" w:type="pct"/>
            <w:tcBorders>
              <w:bottom w:val="single" w:sz="12" w:space="0" w:color="auto"/>
            </w:tcBorders>
            <w:vAlign w:val="center"/>
          </w:tcPr>
          <w:p w14:paraId="5FF920CC" w14:textId="77777777" w:rsidR="00B03405" w:rsidRPr="00FB56A5" w:rsidRDefault="00B03405" w:rsidP="003733F1">
            <w:pPr>
              <w:rPr>
                <w:sz w:val="21"/>
                <w:szCs w:val="21"/>
              </w:rPr>
            </w:pPr>
            <w:r>
              <w:rPr>
                <w:color w:val="000000"/>
                <w:sz w:val="21"/>
                <w:szCs w:val="21"/>
                <w:lang w:val="en-GB"/>
              </w:rPr>
              <w:t>MV (including screening and hypercholesterolemia)</w:t>
            </w:r>
            <w:r w:rsidRPr="00FB56A5">
              <w:rPr>
                <w:color w:val="000000"/>
                <w:sz w:val="21"/>
                <w:szCs w:val="21"/>
                <w:lang w:val="en-GB"/>
              </w:rPr>
              <w:t xml:space="preserve"> </w:t>
            </w:r>
            <w:r w:rsidRPr="00FB56A5">
              <w:rPr>
                <w:color w:val="000000"/>
                <w:sz w:val="21"/>
                <w:szCs w:val="21"/>
                <w:vertAlign w:val="superscript"/>
                <w:lang w:val="en-GB"/>
              </w:rPr>
              <w:t>d</w:t>
            </w:r>
          </w:p>
        </w:tc>
        <w:tc>
          <w:tcPr>
            <w:tcW w:w="798" w:type="pct"/>
            <w:tcBorders>
              <w:bottom w:val="single" w:sz="12" w:space="0" w:color="auto"/>
            </w:tcBorders>
            <w:vAlign w:val="center"/>
          </w:tcPr>
          <w:p w14:paraId="736C2B57" w14:textId="77777777" w:rsidR="00B03405" w:rsidRPr="005565BA" w:rsidRDefault="00B03405" w:rsidP="003733F1">
            <w:pPr>
              <w:pStyle w:val="NoSpacing"/>
              <w:jc w:val="center"/>
              <w:rPr>
                <w:rFonts w:eastAsia="Times New Roman"/>
                <w:sz w:val="21"/>
                <w:szCs w:val="21"/>
              </w:rPr>
            </w:pPr>
            <w:r w:rsidRPr="005565BA">
              <w:rPr>
                <w:rFonts w:eastAsia="Times New Roman"/>
                <w:sz w:val="21"/>
                <w:szCs w:val="21"/>
              </w:rPr>
              <w:t>1</w:t>
            </w:r>
          </w:p>
        </w:tc>
        <w:tc>
          <w:tcPr>
            <w:tcW w:w="774" w:type="pct"/>
            <w:tcBorders>
              <w:bottom w:val="single" w:sz="12" w:space="0" w:color="auto"/>
            </w:tcBorders>
            <w:vAlign w:val="center"/>
          </w:tcPr>
          <w:p w14:paraId="17C7A4C4" w14:textId="77777777" w:rsidR="00B03405" w:rsidRPr="00FB56A5" w:rsidRDefault="00B03405" w:rsidP="003733F1">
            <w:pPr>
              <w:jc w:val="center"/>
              <w:rPr>
                <w:sz w:val="21"/>
                <w:szCs w:val="21"/>
              </w:rPr>
            </w:pPr>
            <w:r w:rsidRPr="005565BA">
              <w:rPr>
                <w:sz w:val="21"/>
                <w:szCs w:val="21"/>
              </w:rPr>
              <w:t>0.91 (0.76-1.10)</w:t>
            </w:r>
          </w:p>
        </w:tc>
        <w:tc>
          <w:tcPr>
            <w:tcW w:w="774" w:type="pct"/>
            <w:tcBorders>
              <w:bottom w:val="single" w:sz="12" w:space="0" w:color="auto"/>
            </w:tcBorders>
            <w:vAlign w:val="center"/>
          </w:tcPr>
          <w:p w14:paraId="6108A5EE" w14:textId="77777777" w:rsidR="00B03405" w:rsidRPr="00FB56A5" w:rsidRDefault="00B03405" w:rsidP="003733F1">
            <w:pPr>
              <w:jc w:val="center"/>
              <w:rPr>
                <w:sz w:val="21"/>
                <w:szCs w:val="21"/>
              </w:rPr>
            </w:pPr>
            <w:r w:rsidRPr="005565BA">
              <w:rPr>
                <w:sz w:val="21"/>
                <w:szCs w:val="21"/>
              </w:rPr>
              <w:t>0.69 (0.28-1.69)</w:t>
            </w:r>
          </w:p>
        </w:tc>
        <w:tc>
          <w:tcPr>
            <w:tcW w:w="794" w:type="pct"/>
            <w:tcBorders>
              <w:bottom w:val="single" w:sz="12" w:space="0" w:color="auto"/>
            </w:tcBorders>
            <w:vAlign w:val="center"/>
          </w:tcPr>
          <w:p w14:paraId="23D2742E" w14:textId="77777777" w:rsidR="00B03405" w:rsidRPr="00FB56A5" w:rsidRDefault="00B03405" w:rsidP="003733F1">
            <w:pPr>
              <w:jc w:val="center"/>
              <w:rPr>
                <w:sz w:val="21"/>
                <w:szCs w:val="21"/>
              </w:rPr>
            </w:pPr>
            <w:r w:rsidRPr="005565BA">
              <w:rPr>
                <w:sz w:val="21"/>
                <w:szCs w:val="21"/>
              </w:rPr>
              <w:t>1.23 (0.89-1.69)</w:t>
            </w:r>
          </w:p>
        </w:tc>
        <w:tc>
          <w:tcPr>
            <w:tcW w:w="614" w:type="pct"/>
            <w:tcBorders>
              <w:bottom w:val="single" w:sz="12" w:space="0" w:color="auto"/>
            </w:tcBorders>
            <w:vAlign w:val="center"/>
          </w:tcPr>
          <w:p w14:paraId="5BBFBE95" w14:textId="77777777" w:rsidR="00B03405" w:rsidRPr="00FB56A5" w:rsidRDefault="00B03405" w:rsidP="003733F1">
            <w:pPr>
              <w:jc w:val="center"/>
              <w:rPr>
                <w:sz w:val="21"/>
                <w:szCs w:val="21"/>
              </w:rPr>
            </w:pPr>
            <w:r w:rsidRPr="00FB56A5">
              <w:rPr>
                <w:sz w:val="21"/>
                <w:szCs w:val="21"/>
              </w:rPr>
              <w:t>.</w:t>
            </w:r>
            <w:r>
              <w:rPr>
                <w:sz w:val="21"/>
                <w:szCs w:val="21"/>
              </w:rPr>
              <w:t>17</w:t>
            </w:r>
          </w:p>
        </w:tc>
      </w:tr>
    </w:tbl>
    <w:p w14:paraId="0DEBFB11" w14:textId="77777777" w:rsidR="00B03405" w:rsidRPr="00FB56A5" w:rsidRDefault="00B03405" w:rsidP="00B03405">
      <w:pPr>
        <w:spacing w:before="120"/>
        <w:rPr>
          <w:color w:val="000000"/>
          <w:sz w:val="21"/>
          <w:szCs w:val="21"/>
        </w:rPr>
      </w:pPr>
      <w:r w:rsidRPr="00FB56A5">
        <w:rPr>
          <w:color w:val="000000"/>
          <w:sz w:val="21"/>
          <w:szCs w:val="21"/>
        </w:rPr>
        <w:t>Abbreviations: NHS, Nurses’ Health Study; HPFS, Health Professionals Follow-up Study; MV, multivariate.</w:t>
      </w:r>
    </w:p>
    <w:p w14:paraId="310B6F07" w14:textId="77777777" w:rsidR="00B03405" w:rsidRPr="00FB56A5" w:rsidRDefault="00B03405" w:rsidP="00B03405">
      <w:pPr>
        <w:rPr>
          <w:color w:val="000000"/>
          <w:sz w:val="21"/>
          <w:szCs w:val="21"/>
        </w:rPr>
      </w:pPr>
      <w:r w:rsidRPr="00FB56A5">
        <w:rPr>
          <w:color w:val="000000"/>
          <w:sz w:val="21"/>
          <w:szCs w:val="21"/>
          <w:vertAlign w:val="superscript"/>
        </w:rPr>
        <w:t>a</w:t>
      </w:r>
      <w:r w:rsidRPr="00FB56A5">
        <w:rPr>
          <w:color w:val="000000"/>
          <w:sz w:val="21"/>
          <w:szCs w:val="21"/>
        </w:rPr>
        <w:t xml:space="preserve"> Remote period duration of </w:t>
      </w:r>
      <w:r w:rsidRPr="00FB56A5">
        <w:rPr>
          <w:color w:val="000000"/>
          <w:sz w:val="21"/>
          <w:szCs w:val="21"/>
          <w:lang w:val="en-GB"/>
        </w:rPr>
        <w:t>statin</w:t>
      </w:r>
      <w:r w:rsidRPr="00FB56A5" w:rsidDel="00C21887">
        <w:rPr>
          <w:color w:val="000000"/>
          <w:sz w:val="21"/>
          <w:szCs w:val="21"/>
          <w:lang w:val="en-GB"/>
        </w:rPr>
        <w:t xml:space="preserve"> </w:t>
      </w:r>
      <w:r w:rsidRPr="00FB56A5">
        <w:rPr>
          <w:color w:val="000000"/>
          <w:sz w:val="21"/>
          <w:szCs w:val="21"/>
          <w:lang w:val="en-GB"/>
        </w:rPr>
        <w:t xml:space="preserve">use: duration of </w:t>
      </w:r>
      <w:r w:rsidRPr="00FB56A5">
        <w:rPr>
          <w:color w:val="000000"/>
          <w:sz w:val="21"/>
          <w:szCs w:val="21"/>
        </w:rPr>
        <w:t>regular statin</w:t>
      </w:r>
      <w:r w:rsidRPr="00FB56A5" w:rsidDel="00C21887">
        <w:rPr>
          <w:color w:val="000000"/>
          <w:sz w:val="21"/>
          <w:szCs w:val="21"/>
        </w:rPr>
        <w:t xml:space="preserve"> </w:t>
      </w:r>
      <w:r w:rsidRPr="00FB56A5">
        <w:rPr>
          <w:color w:val="000000"/>
          <w:sz w:val="21"/>
          <w:szCs w:val="21"/>
        </w:rPr>
        <w:t>use during every specific remote period (&gt;10 years before every follow-up period, i.e. begin from 1994 (NHS) and 1990 (HPFS), and then was extended by every 2-year subsequent interval at a time, until 2004).</w:t>
      </w:r>
    </w:p>
    <w:p w14:paraId="1EAF2DB2" w14:textId="77777777" w:rsidR="00B03405" w:rsidRPr="00FB56A5" w:rsidRDefault="00B03405" w:rsidP="00B03405">
      <w:pPr>
        <w:rPr>
          <w:color w:val="000000"/>
          <w:sz w:val="21"/>
          <w:szCs w:val="21"/>
        </w:rPr>
      </w:pPr>
      <w:r w:rsidRPr="00FB56A5">
        <w:rPr>
          <w:color w:val="000000"/>
          <w:sz w:val="21"/>
          <w:szCs w:val="21"/>
          <w:vertAlign w:val="superscript"/>
        </w:rPr>
        <w:t>b</w:t>
      </w:r>
      <w:r w:rsidRPr="00FB56A5">
        <w:rPr>
          <w:color w:val="000000"/>
          <w:sz w:val="21"/>
          <w:szCs w:val="21"/>
        </w:rPr>
        <w:t xml:space="preserve"> </w:t>
      </w:r>
      <w:r w:rsidRPr="00FB56A5">
        <w:rPr>
          <w:color w:val="000000"/>
          <w:sz w:val="21"/>
          <w:szCs w:val="21"/>
          <w:lang w:val="en-GB"/>
        </w:rPr>
        <w:t xml:space="preserve">Recent period </w:t>
      </w:r>
      <w:r w:rsidRPr="00FB56A5">
        <w:rPr>
          <w:color w:val="000000"/>
          <w:sz w:val="21"/>
          <w:szCs w:val="21"/>
        </w:rPr>
        <w:t xml:space="preserve">duration of </w:t>
      </w:r>
      <w:r w:rsidRPr="00FB56A5">
        <w:rPr>
          <w:color w:val="000000"/>
          <w:sz w:val="21"/>
          <w:szCs w:val="21"/>
          <w:lang w:val="en-GB"/>
        </w:rPr>
        <w:t>statin</w:t>
      </w:r>
      <w:r w:rsidRPr="00FB56A5" w:rsidDel="00C21887">
        <w:rPr>
          <w:color w:val="000000"/>
          <w:sz w:val="21"/>
          <w:szCs w:val="21"/>
          <w:lang w:val="en-GB"/>
        </w:rPr>
        <w:t xml:space="preserve"> </w:t>
      </w:r>
      <w:r w:rsidRPr="00FB56A5">
        <w:rPr>
          <w:color w:val="000000"/>
          <w:sz w:val="21"/>
          <w:szCs w:val="21"/>
          <w:lang w:val="en-GB"/>
        </w:rPr>
        <w:t xml:space="preserve">use: duration of </w:t>
      </w:r>
      <w:r w:rsidRPr="00FB56A5">
        <w:rPr>
          <w:color w:val="000000"/>
          <w:sz w:val="21"/>
          <w:szCs w:val="21"/>
        </w:rPr>
        <w:t>regular statin</w:t>
      </w:r>
      <w:r w:rsidRPr="00FB56A5" w:rsidDel="00C21887">
        <w:rPr>
          <w:color w:val="000000"/>
          <w:sz w:val="21"/>
          <w:szCs w:val="21"/>
        </w:rPr>
        <w:t xml:space="preserve"> </w:t>
      </w:r>
      <w:r w:rsidRPr="00FB56A5">
        <w:rPr>
          <w:color w:val="000000"/>
          <w:sz w:val="21"/>
          <w:szCs w:val="21"/>
        </w:rPr>
        <w:t>use during every specific subsequent 10-year period after the remote periods.</w:t>
      </w:r>
    </w:p>
    <w:p w14:paraId="4178CA73" w14:textId="77777777" w:rsidR="00B03405" w:rsidRPr="00FB56A5" w:rsidRDefault="00B03405" w:rsidP="00B03405">
      <w:pPr>
        <w:adjustRightInd w:val="0"/>
        <w:rPr>
          <w:color w:val="000000"/>
          <w:sz w:val="21"/>
          <w:szCs w:val="21"/>
        </w:rPr>
      </w:pPr>
      <w:r w:rsidRPr="00FB56A5">
        <w:rPr>
          <w:color w:val="000000"/>
          <w:sz w:val="21"/>
          <w:szCs w:val="21"/>
          <w:vertAlign w:val="superscript"/>
        </w:rPr>
        <w:t>c</w:t>
      </w:r>
      <w:r w:rsidRPr="00FB56A5">
        <w:rPr>
          <w:color w:val="000000"/>
          <w:sz w:val="21"/>
          <w:szCs w:val="21"/>
        </w:rPr>
        <w:t xml:space="preserve"> </w:t>
      </w:r>
      <w:r w:rsidRPr="007F5E08">
        <w:rPr>
          <w:color w:val="000000"/>
          <w:sz w:val="21"/>
          <w:szCs w:val="21"/>
        </w:rPr>
        <w:t>Stratified by age and follow-up cycle</w:t>
      </w:r>
      <w:r w:rsidRPr="00A44BB6">
        <w:rPr>
          <w:color w:val="000000"/>
          <w:sz w:val="21"/>
          <w:szCs w:val="21"/>
        </w:rPr>
        <w:t xml:space="preserve"> </w:t>
      </w:r>
      <w:r w:rsidRPr="00FB56A5">
        <w:rPr>
          <w:color w:val="000000"/>
          <w:sz w:val="21"/>
          <w:szCs w:val="21"/>
        </w:rPr>
        <w:t>in the follow-up period.</w:t>
      </w:r>
    </w:p>
    <w:p w14:paraId="51FB6DE0" w14:textId="77777777" w:rsidR="00B03405" w:rsidRPr="00FB56A5" w:rsidRDefault="00B03405" w:rsidP="00B03405">
      <w:pPr>
        <w:rPr>
          <w:color w:val="000000"/>
          <w:sz w:val="21"/>
          <w:szCs w:val="21"/>
        </w:rPr>
      </w:pPr>
      <w:r w:rsidRPr="00FB56A5">
        <w:rPr>
          <w:color w:val="000000"/>
          <w:sz w:val="21"/>
          <w:szCs w:val="21"/>
          <w:vertAlign w:val="superscript"/>
        </w:rPr>
        <w:t>d</w:t>
      </w:r>
      <w:r w:rsidRPr="00FB56A5">
        <w:rPr>
          <w:color w:val="000000"/>
          <w:sz w:val="21"/>
          <w:szCs w:val="21"/>
        </w:rPr>
        <w:t xml:space="preserve"> </w:t>
      </w:r>
      <w:r w:rsidRPr="007F5E08">
        <w:rPr>
          <w:color w:val="000000"/>
          <w:sz w:val="21"/>
          <w:szCs w:val="21"/>
        </w:rPr>
        <w:t>Stratified by age and follow-up cycle</w:t>
      </w:r>
      <w:r>
        <w:rPr>
          <w:color w:val="000000"/>
          <w:sz w:val="21"/>
          <w:szCs w:val="21"/>
        </w:rPr>
        <w:t>; adjusted for</w:t>
      </w:r>
      <w:r w:rsidRPr="00FB56A5">
        <w:rPr>
          <w:color w:val="000000" w:themeColor="text1"/>
          <w:sz w:val="21"/>
          <w:szCs w:val="21"/>
        </w:rPr>
        <w:t xml:space="preserve"> </w:t>
      </w:r>
      <w:r w:rsidRPr="00FB56A5">
        <w:rPr>
          <w:color w:val="000000"/>
          <w:sz w:val="21"/>
          <w:szCs w:val="21"/>
        </w:rPr>
        <w:t xml:space="preserve">sex, race, pack-years of smoking, physical activity, BMI, alcohol consumption, AHEI, regular use of aspirin, family history of colorectal cancer, history of diabetes mellitus, </w:t>
      </w:r>
      <w:r w:rsidRPr="00FB56A5">
        <w:rPr>
          <w:rFonts w:eastAsiaTheme="minorEastAsia"/>
          <w:color w:val="000000" w:themeColor="text1"/>
          <w:sz w:val="21"/>
          <w:szCs w:val="21"/>
        </w:rPr>
        <w:t>history of hypercholesterolemia,</w:t>
      </w:r>
      <w:r w:rsidRPr="00FB56A5">
        <w:rPr>
          <w:color w:val="000000"/>
          <w:sz w:val="21"/>
          <w:szCs w:val="21"/>
        </w:rPr>
        <w:t xml:space="preserve"> screening colonoscopy or sigmoidoscopy, multivitamin use, total calorie intake, red or processed meat intake, fiber intake, folate intake, calcium intake, and vitamin D intake in the follow-up period.</w:t>
      </w:r>
    </w:p>
    <w:p w14:paraId="35B30AE2" w14:textId="77777777" w:rsidR="00B03405" w:rsidRPr="00FB56A5" w:rsidRDefault="00B03405" w:rsidP="00B03405">
      <w:pPr>
        <w:snapToGrid w:val="0"/>
        <w:rPr>
          <w:color w:val="000000"/>
          <w:sz w:val="21"/>
          <w:szCs w:val="21"/>
        </w:rPr>
      </w:pPr>
      <w:r w:rsidRPr="00FB56A5">
        <w:rPr>
          <w:color w:val="000000"/>
          <w:sz w:val="21"/>
          <w:szCs w:val="21"/>
          <w:vertAlign w:val="superscript"/>
        </w:rPr>
        <w:t>e</w:t>
      </w:r>
      <w:r w:rsidRPr="00FB56A5">
        <w:rPr>
          <w:color w:val="000000"/>
          <w:sz w:val="21"/>
          <w:szCs w:val="21"/>
        </w:rPr>
        <w:t xml:space="preserve"> Remote period duration of statin</w:t>
      </w:r>
      <w:r w:rsidRPr="00FB56A5" w:rsidDel="00C21887">
        <w:rPr>
          <w:color w:val="000000"/>
          <w:sz w:val="21"/>
          <w:szCs w:val="21"/>
        </w:rPr>
        <w:t xml:space="preserve"> </w:t>
      </w:r>
      <w:proofErr w:type="gramStart"/>
      <w:r w:rsidRPr="00FB56A5">
        <w:rPr>
          <w:color w:val="000000"/>
          <w:sz w:val="21"/>
          <w:szCs w:val="21"/>
        </w:rPr>
        <w:t>use</w:t>
      </w:r>
      <w:proofErr w:type="gramEnd"/>
      <w:r w:rsidRPr="00FB56A5">
        <w:rPr>
          <w:color w:val="000000"/>
          <w:sz w:val="21"/>
          <w:szCs w:val="21"/>
        </w:rPr>
        <w:t xml:space="preserve"> and recent period duration of statin</w:t>
      </w:r>
      <w:r w:rsidRPr="00FB56A5" w:rsidDel="00C21887">
        <w:rPr>
          <w:color w:val="000000"/>
          <w:sz w:val="21"/>
          <w:szCs w:val="21"/>
        </w:rPr>
        <w:t xml:space="preserve"> </w:t>
      </w:r>
      <w:r w:rsidRPr="00FB56A5">
        <w:rPr>
          <w:color w:val="000000"/>
          <w:sz w:val="21"/>
          <w:szCs w:val="21"/>
        </w:rPr>
        <w:t>use were dichotomized into low category (≤5 years) versus high category (&gt;5 years), resulting in four categories (low to low, low to high, high to low, and high to high, i.e. low remote to low recent, low remote to high recent, high remote to low recent, and high remote to high recent duration of statin</w:t>
      </w:r>
      <w:r w:rsidRPr="00FB56A5" w:rsidDel="00C21887">
        <w:rPr>
          <w:color w:val="000000"/>
          <w:sz w:val="21"/>
          <w:szCs w:val="21"/>
        </w:rPr>
        <w:t xml:space="preserve"> </w:t>
      </w:r>
      <w:r w:rsidRPr="00FB56A5">
        <w:rPr>
          <w:color w:val="000000"/>
          <w:sz w:val="21"/>
          <w:szCs w:val="21"/>
        </w:rPr>
        <w:t>use).</w:t>
      </w:r>
    </w:p>
    <w:p w14:paraId="281B4236" w14:textId="134304D3" w:rsidR="00F57414" w:rsidRPr="00D624B7" w:rsidRDefault="00B03405" w:rsidP="00B03405">
      <w:pPr>
        <w:keepNext/>
        <w:adjustRightInd w:val="0"/>
      </w:pPr>
      <w:r w:rsidRPr="00FB56A5">
        <w:rPr>
          <w:color w:val="000000"/>
          <w:sz w:val="21"/>
          <w:szCs w:val="21"/>
          <w:vertAlign w:val="superscript"/>
        </w:rPr>
        <w:t>f</w:t>
      </w:r>
      <w:r w:rsidRPr="00FB56A5">
        <w:rPr>
          <w:color w:val="000000"/>
          <w:sz w:val="21"/>
          <w:szCs w:val="21"/>
        </w:rPr>
        <w:t xml:space="preserve"> </w:t>
      </w:r>
      <w:r w:rsidRPr="00FB56A5">
        <w:rPr>
          <w:i/>
          <w:color w:val="000000"/>
          <w:sz w:val="21"/>
          <w:szCs w:val="21"/>
        </w:rPr>
        <w:t>P</w:t>
      </w:r>
      <w:r w:rsidRPr="00FB56A5">
        <w:rPr>
          <w:color w:val="000000"/>
          <w:sz w:val="21"/>
          <w:szCs w:val="21"/>
        </w:rPr>
        <w:t>-value for interaction was calculated using the multiplication of mid-point of each low/high category of duration of statin</w:t>
      </w:r>
      <w:r w:rsidRPr="00FB56A5" w:rsidDel="00C21887">
        <w:rPr>
          <w:color w:val="000000"/>
          <w:sz w:val="21"/>
          <w:szCs w:val="21"/>
        </w:rPr>
        <w:t xml:space="preserve"> </w:t>
      </w:r>
      <w:r w:rsidRPr="00FB56A5">
        <w:rPr>
          <w:color w:val="000000"/>
          <w:sz w:val="21"/>
          <w:szCs w:val="21"/>
        </w:rPr>
        <w:t>use in years.</w:t>
      </w:r>
      <w:bookmarkEnd w:id="0"/>
    </w:p>
    <w:sectPr w:rsidR="00F57414" w:rsidRPr="00D624B7" w:rsidSect="004C6416">
      <w:headerReference w:type="default" r:id="rId6"/>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30EF" w14:textId="77777777" w:rsidR="00BE0363" w:rsidRDefault="00BE0363" w:rsidP="00577CBD">
      <w:r>
        <w:separator/>
      </w:r>
    </w:p>
  </w:endnote>
  <w:endnote w:type="continuationSeparator" w:id="0">
    <w:p w14:paraId="61F3BA4C" w14:textId="77777777" w:rsidR="00BE0363" w:rsidRDefault="00BE0363" w:rsidP="0057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D8B4" w14:textId="77777777" w:rsidR="00BE0363" w:rsidRDefault="00BE0363" w:rsidP="00577CBD">
      <w:r>
        <w:separator/>
      </w:r>
    </w:p>
  </w:footnote>
  <w:footnote w:type="continuationSeparator" w:id="0">
    <w:p w14:paraId="00F437D5" w14:textId="77777777" w:rsidR="00BE0363" w:rsidRDefault="00BE0363" w:rsidP="0057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E8B7" w14:textId="77777777" w:rsidR="00896C9D" w:rsidRDefault="00896C9D">
    <w:pPr>
      <w:spacing w:line="312"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94"/>
    <w:rsid w:val="00161A50"/>
    <w:rsid w:val="004C6416"/>
    <w:rsid w:val="00577CBD"/>
    <w:rsid w:val="00896C9D"/>
    <w:rsid w:val="00B03405"/>
    <w:rsid w:val="00B477AE"/>
    <w:rsid w:val="00BE0363"/>
    <w:rsid w:val="00C76794"/>
    <w:rsid w:val="00CA6FB0"/>
    <w:rsid w:val="00D2332E"/>
    <w:rsid w:val="00D624B7"/>
    <w:rsid w:val="00F57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B54F"/>
  <w15:chartTrackingRefBased/>
  <w15:docId w15:val="{9F2E82EA-7682-4995-AA88-7A89451D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CBD"/>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77CBD"/>
  </w:style>
  <w:style w:type="paragraph" w:styleId="Footer">
    <w:name w:val="footer"/>
    <w:basedOn w:val="Normal"/>
    <w:link w:val="FooterChar"/>
    <w:uiPriority w:val="99"/>
    <w:unhideWhenUsed/>
    <w:rsid w:val="00577CBD"/>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77CBD"/>
  </w:style>
  <w:style w:type="table" w:styleId="TableGrid">
    <w:name w:val="Table Grid"/>
    <w:basedOn w:val="TableNormal"/>
    <w:uiPriority w:val="39"/>
    <w:rsid w:val="00B034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3405"/>
    <w:pPr>
      <w:autoSpaceDE w:val="0"/>
      <w:autoSpaceDN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Yin</dc:creator>
  <cp:keywords/>
  <dc:description/>
  <cp:lastModifiedBy>Zhang, Yin</cp:lastModifiedBy>
  <cp:revision>7</cp:revision>
  <dcterms:created xsi:type="dcterms:W3CDTF">2021-07-29T17:06:00Z</dcterms:created>
  <dcterms:modified xsi:type="dcterms:W3CDTF">2021-07-29T17:23:00Z</dcterms:modified>
</cp:coreProperties>
</file>