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D91E6" w14:textId="29C7917E" w:rsidR="0089140C" w:rsidRPr="00EB32B9" w:rsidRDefault="00EB32B9">
      <w:pPr>
        <w:rPr>
          <w:rFonts w:ascii="Helvetica" w:hAnsi="Helvetica" w:cs="Helvetica"/>
          <w:b/>
          <w:bCs/>
          <w:sz w:val="20"/>
          <w:szCs w:val="20"/>
        </w:rPr>
      </w:pPr>
      <w:r w:rsidRPr="00EB32B9">
        <w:rPr>
          <w:rFonts w:ascii="Helvetica" w:hAnsi="Helvetica" w:cs="Helvetica"/>
          <w:b/>
          <w:bCs/>
          <w:sz w:val="20"/>
          <w:szCs w:val="20"/>
        </w:rPr>
        <w:t>Supplementary Table</w:t>
      </w:r>
      <w:r w:rsidR="009401DE">
        <w:rPr>
          <w:rFonts w:ascii="Helvetica" w:hAnsi="Helvetica" w:cs="Helvetica"/>
          <w:b/>
          <w:bCs/>
          <w:sz w:val="20"/>
          <w:szCs w:val="20"/>
        </w:rPr>
        <w:t xml:space="preserve"> 1</w:t>
      </w:r>
      <w:r w:rsidRPr="00EB32B9">
        <w:rPr>
          <w:rFonts w:ascii="Helvetica" w:hAnsi="Helvetica" w:cs="Helvetica"/>
          <w:b/>
          <w:bCs/>
          <w:sz w:val="20"/>
          <w:szCs w:val="20"/>
        </w:rPr>
        <w:t>. Details of outcomes</w:t>
      </w:r>
      <w:r w:rsidR="00AA782C">
        <w:rPr>
          <w:rFonts w:ascii="Helvetica" w:hAnsi="Helvetica" w:cs="Helvetica"/>
          <w:b/>
          <w:bCs/>
          <w:sz w:val="20"/>
          <w:szCs w:val="20"/>
        </w:rPr>
        <w:t xml:space="preserve">, measurement tools, </w:t>
      </w:r>
      <w:r w:rsidR="000B386A">
        <w:rPr>
          <w:rFonts w:ascii="Helvetica" w:hAnsi="Helvetica" w:cs="Helvetica"/>
          <w:b/>
          <w:bCs/>
          <w:sz w:val="20"/>
          <w:szCs w:val="20"/>
        </w:rPr>
        <w:t>intervention,</w:t>
      </w:r>
      <w:r w:rsidR="00AA782C">
        <w:rPr>
          <w:rFonts w:ascii="Helvetica" w:hAnsi="Helvetica" w:cs="Helvetica"/>
          <w:b/>
          <w:bCs/>
          <w:sz w:val="20"/>
          <w:szCs w:val="20"/>
        </w:rPr>
        <w:t xml:space="preserve"> and control </w:t>
      </w:r>
      <w:r w:rsidRPr="00EB32B9">
        <w:rPr>
          <w:rFonts w:ascii="Helvetica" w:hAnsi="Helvetica" w:cs="Helvetica"/>
          <w:b/>
          <w:bCs/>
          <w:sz w:val="20"/>
          <w:szCs w:val="20"/>
        </w:rPr>
        <w:t>for each study.</w:t>
      </w:r>
    </w:p>
    <w:tbl>
      <w:tblPr>
        <w:tblStyle w:val="TableGrid"/>
        <w:tblW w:w="13950" w:type="dxa"/>
        <w:tblInd w:w="-725" w:type="dxa"/>
        <w:tblLayout w:type="fixed"/>
        <w:tblLook w:val="04A0" w:firstRow="1" w:lastRow="0" w:firstColumn="1" w:lastColumn="0" w:noHBand="0" w:noVBand="1"/>
      </w:tblPr>
      <w:tblGrid>
        <w:gridCol w:w="1080"/>
        <w:gridCol w:w="1710"/>
        <w:gridCol w:w="5490"/>
        <w:gridCol w:w="5670"/>
      </w:tblGrid>
      <w:tr w:rsidR="001A7EDE" w:rsidRPr="002B2A8B" w14:paraId="51261942" w14:textId="77777777" w:rsidTr="00B57657">
        <w:trPr>
          <w:trHeight w:val="485"/>
        </w:trPr>
        <w:tc>
          <w:tcPr>
            <w:tcW w:w="1080" w:type="dxa"/>
            <w:shd w:val="clear" w:color="auto" w:fill="E7E6E6" w:themeFill="background2"/>
          </w:tcPr>
          <w:p w14:paraId="2EAA1618" w14:textId="77777777" w:rsidR="001A7EDE" w:rsidRPr="002B2A8B" w:rsidRDefault="001A7EDE" w:rsidP="00873D02">
            <w:pPr>
              <w:rPr>
                <w:rFonts w:ascii="Helvetica" w:hAnsi="Helvetica" w:cs="Helvetica"/>
                <w:b/>
                <w:bCs/>
                <w:sz w:val="20"/>
                <w:szCs w:val="20"/>
              </w:rPr>
            </w:pPr>
            <w:r>
              <w:rPr>
                <w:rFonts w:ascii="Helvetica" w:hAnsi="Helvetica" w:cs="Helvetica"/>
                <w:b/>
                <w:bCs/>
                <w:sz w:val="20"/>
                <w:szCs w:val="20"/>
              </w:rPr>
              <w:t>Study ID</w:t>
            </w:r>
          </w:p>
        </w:tc>
        <w:tc>
          <w:tcPr>
            <w:tcW w:w="1710" w:type="dxa"/>
            <w:shd w:val="clear" w:color="auto" w:fill="E7E6E6" w:themeFill="background2"/>
          </w:tcPr>
          <w:p w14:paraId="4E1E55F5" w14:textId="77777777" w:rsidR="001A7EDE" w:rsidRPr="002B2A8B" w:rsidRDefault="001A7EDE" w:rsidP="00873D02">
            <w:pPr>
              <w:rPr>
                <w:rFonts w:ascii="Helvetica" w:hAnsi="Helvetica" w:cs="Helvetica"/>
                <w:b/>
                <w:bCs/>
                <w:sz w:val="20"/>
                <w:szCs w:val="20"/>
              </w:rPr>
            </w:pPr>
            <w:bookmarkStart w:id="0" w:name="_Hlk15818818"/>
            <w:r w:rsidRPr="002B2A8B">
              <w:rPr>
                <w:rFonts w:ascii="Helvetica" w:hAnsi="Helvetica" w:cs="Helvetica"/>
                <w:b/>
                <w:bCs/>
                <w:sz w:val="20"/>
                <w:szCs w:val="20"/>
              </w:rPr>
              <w:t>Author</w:t>
            </w:r>
            <w:r>
              <w:rPr>
                <w:rFonts w:ascii="Helvetica" w:hAnsi="Helvetica" w:cs="Helvetica"/>
                <w:b/>
                <w:bCs/>
                <w:sz w:val="20"/>
                <w:szCs w:val="20"/>
              </w:rPr>
              <w:t>,</w:t>
            </w:r>
            <w:r w:rsidRPr="002B2A8B">
              <w:rPr>
                <w:rFonts w:ascii="Helvetica" w:hAnsi="Helvetica" w:cs="Helvetica"/>
                <w:b/>
                <w:bCs/>
                <w:sz w:val="20"/>
                <w:szCs w:val="20"/>
              </w:rPr>
              <w:t xml:space="preserve"> year</w:t>
            </w:r>
          </w:p>
        </w:tc>
        <w:tc>
          <w:tcPr>
            <w:tcW w:w="5490" w:type="dxa"/>
            <w:shd w:val="clear" w:color="auto" w:fill="E7E6E6" w:themeFill="background2"/>
          </w:tcPr>
          <w:p w14:paraId="0BBEEE90" w14:textId="07FA4A46" w:rsidR="001A7EDE" w:rsidRPr="002B2A8B" w:rsidRDefault="001A7EDE" w:rsidP="00873D02">
            <w:pPr>
              <w:rPr>
                <w:rFonts w:ascii="Helvetica" w:hAnsi="Helvetica" w:cs="Helvetica"/>
                <w:b/>
                <w:bCs/>
                <w:sz w:val="20"/>
                <w:szCs w:val="20"/>
              </w:rPr>
            </w:pPr>
            <w:r w:rsidRPr="002B2A8B">
              <w:rPr>
                <w:rFonts w:ascii="Helvetica" w:hAnsi="Helvetica" w:cs="Helvetica"/>
                <w:b/>
                <w:bCs/>
                <w:sz w:val="20"/>
                <w:szCs w:val="20"/>
              </w:rPr>
              <w:t>Outcome</w:t>
            </w:r>
            <w:r>
              <w:rPr>
                <w:rFonts w:ascii="Helvetica" w:hAnsi="Helvetica" w:cs="Helvetica"/>
                <w:b/>
                <w:bCs/>
                <w:sz w:val="20"/>
                <w:szCs w:val="20"/>
              </w:rPr>
              <w:t xml:space="preserve">s and </w:t>
            </w:r>
            <w:r w:rsidR="00B57657">
              <w:rPr>
                <w:rFonts w:ascii="Helvetica" w:hAnsi="Helvetica" w:cs="Helvetica"/>
                <w:b/>
                <w:bCs/>
                <w:sz w:val="20"/>
                <w:szCs w:val="20"/>
              </w:rPr>
              <w:t>Measurement Tools</w:t>
            </w:r>
          </w:p>
        </w:tc>
        <w:tc>
          <w:tcPr>
            <w:tcW w:w="5670" w:type="dxa"/>
            <w:shd w:val="clear" w:color="auto" w:fill="E7E6E6" w:themeFill="background2"/>
          </w:tcPr>
          <w:p w14:paraId="36D2D445" w14:textId="0112135F" w:rsidR="001A7EDE" w:rsidRPr="002B2A8B" w:rsidRDefault="001A7EDE" w:rsidP="00873D02">
            <w:pPr>
              <w:rPr>
                <w:rFonts w:ascii="Helvetica" w:hAnsi="Helvetica" w:cs="Helvetica"/>
                <w:b/>
                <w:bCs/>
                <w:sz w:val="20"/>
                <w:szCs w:val="20"/>
              </w:rPr>
            </w:pPr>
            <w:r w:rsidRPr="002B2A8B">
              <w:rPr>
                <w:rFonts w:ascii="Helvetica" w:hAnsi="Helvetica" w:cs="Helvetica"/>
                <w:b/>
                <w:bCs/>
                <w:sz w:val="20"/>
                <w:szCs w:val="20"/>
              </w:rPr>
              <w:t>Intervention</w:t>
            </w:r>
            <w:r w:rsidR="002F19AA">
              <w:rPr>
                <w:rFonts w:ascii="Helvetica" w:hAnsi="Helvetica" w:cs="Helvetica"/>
                <w:b/>
                <w:bCs/>
                <w:sz w:val="20"/>
                <w:szCs w:val="20"/>
              </w:rPr>
              <w:t xml:space="preserve"> and Control</w:t>
            </w:r>
          </w:p>
        </w:tc>
      </w:tr>
      <w:tr w:rsidR="001A7EDE" w:rsidRPr="002B2A8B" w14:paraId="2EBD1382" w14:textId="77777777" w:rsidTr="00B57657">
        <w:trPr>
          <w:trHeight w:val="3554"/>
        </w:trPr>
        <w:tc>
          <w:tcPr>
            <w:tcW w:w="1080" w:type="dxa"/>
          </w:tcPr>
          <w:p w14:paraId="3DA3C9AD" w14:textId="77777777" w:rsidR="001A7EDE" w:rsidRPr="002B2A8B" w:rsidRDefault="001A7EDE" w:rsidP="00873D02">
            <w:pPr>
              <w:rPr>
                <w:rFonts w:ascii="Helvetica" w:hAnsi="Helvetica" w:cs="Helvetica"/>
                <w:sz w:val="20"/>
                <w:szCs w:val="20"/>
              </w:rPr>
            </w:pPr>
            <w:r>
              <w:rPr>
                <w:rFonts w:ascii="Helvetica" w:hAnsi="Helvetica" w:cs="Helvetica"/>
                <w:sz w:val="20"/>
                <w:szCs w:val="20"/>
              </w:rPr>
              <w:t>1</w:t>
            </w:r>
          </w:p>
        </w:tc>
        <w:bookmarkEnd w:id="0"/>
        <w:tc>
          <w:tcPr>
            <w:tcW w:w="1710" w:type="dxa"/>
          </w:tcPr>
          <w:p w14:paraId="4F7CBD60"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Cross R, 2019</w:t>
            </w:r>
          </w:p>
        </w:tc>
        <w:tc>
          <w:tcPr>
            <w:tcW w:w="5490" w:type="dxa"/>
          </w:tcPr>
          <w:p w14:paraId="321A433F" w14:textId="77777777" w:rsidR="001A7EDE" w:rsidRPr="002B2A8B" w:rsidRDefault="001A7EDE" w:rsidP="00873D02">
            <w:pPr>
              <w:rPr>
                <w:rFonts w:ascii="Helvetica" w:hAnsi="Helvetica" w:cs="Helvetica"/>
                <w:sz w:val="20"/>
                <w:szCs w:val="20"/>
              </w:rPr>
            </w:pPr>
            <w:r w:rsidRPr="002B2A8B">
              <w:rPr>
                <w:rFonts w:ascii="Helvetica" w:hAnsi="Helvetica" w:cs="Helvetica"/>
                <w:b/>
                <w:bCs/>
                <w:sz w:val="20"/>
                <w:szCs w:val="20"/>
              </w:rPr>
              <w:t>Disease activity:</w:t>
            </w:r>
            <w:r w:rsidRPr="002B2A8B">
              <w:rPr>
                <w:rFonts w:ascii="Helvetica" w:hAnsi="Helvetica" w:cs="Helvetica"/>
                <w:sz w:val="20"/>
                <w:szCs w:val="20"/>
              </w:rPr>
              <w:t xml:space="preserve"> Active disease defined as </w:t>
            </w:r>
            <w:r>
              <w:rPr>
                <w:rFonts w:ascii="Helvetica" w:hAnsi="Helvetica" w:cs="Helvetica"/>
                <w:sz w:val="20"/>
                <w:szCs w:val="20"/>
              </w:rPr>
              <w:t>Harvey Bradshaw Index (</w:t>
            </w:r>
            <w:r w:rsidRPr="002B2A8B">
              <w:rPr>
                <w:rFonts w:ascii="Helvetica" w:hAnsi="Helvetica" w:cs="Helvetica"/>
                <w:sz w:val="20"/>
                <w:szCs w:val="20"/>
              </w:rPr>
              <w:t>HBI</w:t>
            </w:r>
            <w:r>
              <w:rPr>
                <w:rFonts w:ascii="Helvetica" w:hAnsi="Helvetica" w:cs="Helvetica"/>
                <w:sz w:val="20"/>
                <w:szCs w:val="20"/>
              </w:rPr>
              <w:t>)</w:t>
            </w:r>
            <w:r w:rsidRPr="002B2A8B">
              <w:rPr>
                <w:rFonts w:ascii="Helvetica" w:hAnsi="Helvetica" w:cs="Helvetica"/>
                <w:sz w:val="20"/>
                <w:szCs w:val="20"/>
              </w:rPr>
              <w:t xml:space="preserve"> 5+ (for CD) or </w:t>
            </w:r>
            <w:r>
              <w:rPr>
                <w:rFonts w:ascii="Helvetica" w:hAnsi="Helvetica" w:cs="Helvetica"/>
                <w:sz w:val="20"/>
                <w:szCs w:val="20"/>
              </w:rPr>
              <w:t>Simple Clinical Colitis Activity Index (</w:t>
            </w:r>
            <w:r w:rsidRPr="002B2A8B">
              <w:rPr>
                <w:rFonts w:ascii="Helvetica" w:hAnsi="Helvetica" w:cs="Helvetica"/>
                <w:sz w:val="20"/>
                <w:szCs w:val="20"/>
              </w:rPr>
              <w:t>SCCAI</w:t>
            </w:r>
            <w:r>
              <w:rPr>
                <w:rFonts w:ascii="Helvetica" w:hAnsi="Helvetica" w:cs="Helvetica"/>
                <w:sz w:val="20"/>
                <w:szCs w:val="20"/>
              </w:rPr>
              <w:t>)</w:t>
            </w:r>
            <w:r w:rsidRPr="002B2A8B">
              <w:rPr>
                <w:rFonts w:ascii="Helvetica" w:hAnsi="Helvetica" w:cs="Helvetica"/>
                <w:sz w:val="20"/>
                <w:szCs w:val="20"/>
              </w:rPr>
              <w:t xml:space="preserve"> 3+ (for UC/indeterminate colitis) </w:t>
            </w:r>
          </w:p>
          <w:p w14:paraId="3492834E" w14:textId="77777777" w:rsidR="001A7EDE" w:rsidRPr="002B2A8B" w:rsidRDefault="001A7EDE" w:rsidP="00873D02">
            <w:pPr>
              <w:rPr>
                <w:rFonts w:ascii="Helvetica" w:hAnsi="Helvetica" w:cs="Helvetica"/>
                <w:sz w:val="20"/>
                <w:szCs w:val="20"/>
              </w:rPr>
            </w:pPr>
          </w:p>
          <w:p w14:paraId="73C422BF" w14:textId="77777777" w:rsidR="001A7EDE" w:rsidRPr="002B2A8B" w:rsidRDefault="001A7EDE" w:rsidP="00873D02">
            <w:pPr>
              <w:rPr>
                <w:rFonts w:ascii="Helvetica" w:hAnsi="Helvetica" w:cs="Helvetica"/>
                <w:sz w:val="20"/>
                <w:szCs w:val="20"/>
              </w:rPr>
            </w:pPr>
            <w:r>
              <w:rPr>
                <w:rFonts w:ascii="Helvetica" w:hAnsi="Helvetica" w:cs="Helvetica"/>
                <w:b/>
                <w:bCs/>
                <w:sz w:val="20"/>
                <w:szCs w:val="20"/>
              </w:rPr>
              <w:t>Quality of Life (</w:t>
            </w:r>
            <w:r w:rsidRPr="002B2A8B">
              <w:rPr>
                <w:rFonts w:ascii="Helvetica" w:hAnsi="Helvetica" w:cs="Helvetica"/>
                <w:b/>
                <w:bCs/>
                <w:sz w:val="20"/>
                <w:szCs w:val="20"/>
              </w:rPr>
              <w:t>QoL</w:t>
            </w:r>
            <w:r>
              <w:rPr>
                <w:rFonts w:ascii="Helvetica" w:hAnsi="Helvetica" w:cs="Helvetica"/>
                <w:b/>
                <w:bCs/>
                <w:sz w:val="20"/>
                <w:szCs w:val="20"/>
              </w:rPr>
              <w:t>)</w:t>
            </w:r>
            <w:r w:rsidRPr="002B2A8B">
              <w:rPr>
                <w:rFonts w:ascii="Helvetica" w:hAnsi="Helvetica" w:cs="Helvetica"/>
                <w:b/>
                <w:bCs/>
                <w:sz w:val="20"/>
                <w:szCs w:val="20"/>
              </w:rPr>
              <w:t>:</w:t>
            </w:r>
            <w:r w:rsidRPr="002B2A8B">
              <w:rPr>
                <w:rFonts w:ascii="Helvetica" w:hAnsi="Helvetica" w:cs="Helvetica"/>
                <w:sz w:val="20"/>
                <w:szCs w:val="20"/>
              </w:rPr>
              <w:t xml:space="preserve"> IBDQ &gt;168 defined as remission</w:t>
            </w:r>
          </w:p>
          <w:p w14:paraId="4675EA4E" w14:textId="77777777" w:rsidR="001A7EDE" w:rsidRPr="002B2A8B" w:rsidRDefault="001A7EDE" w:rsidP="00873D02">
            <w:pPr>
              <w:rPr>
                <w:rFonts w:ascii="Helvetica" w:hAnsi="Helvetica" w:cs="Helvetica"/>
                <w:sz w:val="20"/>
                <w:szCs w:val="20"/>
              </w:rPr>
            </w:pPr>
          </w:p>
          <w:p w14:paraId="34AA81FC" w14:textId="77777777" w:rsidR="001A7EDE" w:rsidRPr="002B2A8B" w:rsidRDefault="001A7EDE" w:rsidP="00873D02">
            <w:pPr>
              <w:rPr>
                <w:rFonts w:ascii="Helvetica" w:hAnsi="Helvetica" w:cs="Helvetica"/>
                <w:b/>
                <w:bCs/>
                <w:sz w:val="20"/>
                <w:szCs w:val="20"/>
              </w:rPr>
            </w:pPr>
            <w:r w:rsidRPr="002B2A8B">
              <w:rPr>
                <w:rFonts w:ascii="Helvetica" w:hAnsi="Helvetica" w:cs="Helvetica"/>
                <w:b/>
                <w:bCs/>
                <w:sz w:val="20"/>
                <w:szCs w:val="20"/>
              </w:rPr>
              <w:t>Utilization of health care resources</w:t>
            </w:r>
            <w:r w:rsidRPr="002B2A8B">
              <w:rPr>
                <w:rFonts w:ascii="Helvetica" w:hAnsi="Helvetica" w:cs="Helvetica"/>
                <w:sz w:val="20"/>
                <w:szCs w:val="20"/>
              </w:rPr>
              <w:t xml:space="preserve"> – EMR use 1 year before or after randomization, assessed hospitalizations, surgeries, ER visits, office visits, procedures, IV treatment, telephone/electronic encounters.</w:t>
            </w:r>
          </w:p>
        </w:tc>
        <w:tc>
          <w:tcPr>
            <w:tcW w:w="5670" w:type="dxa"/>
          </w:tcPr>
          <w:p w14:paraId="7A649413" w14:textId="72CFB722" w:rsidR="001A7EDE" w:rsidRDefault="001A7EDE" w:rsidP="00873D02">
            <w:pPr>
              <w:rPr>
                <w:rFonts w:ascii="Helvetica" w:hAnsi="Helvetica" w:cs="Helvetica"/>
                <w:sz w:val="20"/>
                <w:szCs w:val="20"/>
              </w:rPr>
            </w:pPr>
            <w:r w:rsidRPr="002B2A8B">
              <w:rPr>
                <w:rFonts w:ascii="Helvetica" w:hAnsi="Helvetica" w:cs="Helvetica"/>
                <w:b/>
                <w:bCs/>
                <w:sz w:val="20"/>
                <w:szCs w:val="20"/>
              </w:rPr>
              <w:t>Intervention</w:t>
            </w:r>
            <w:r>
              <w:rPr>
                <w:rFonts w:ascii="Helvetica" w:hAnsi="Helvetica" w:cs="Helvetica"/>
                <w:b/>
                <w:bCs/>
                <w:sz w:val="20"/>
                <w:szCs w:val="20"/>
              </w:rPr>
              <w:t xml:space="preserve">: </w:t>
            </w:r>
            <w:r w:rsidRPr="002B2A8B">
              <w:rPr>
                <w:rFonts w:ascii="Helvetica" w:hAnsi="Helvetica" w:cs="Helvetica"/>
                <w:sz w:val="20"/>
                <w:szCs w:val="20"/>
              </w:rPr>
              <w:t xml:space="preserve">Secure web-portal sent </w:t>
            </w:r>
            <w:r>
              <w:rPr>
                <w:rFonts w:ascii="Helvetica" w:hAnsi="Helvetica" w:cs="Helvetica"/>
                <w:sz w:val="20"/>
                <w:szCs w:val="20"/>
              </w:rPr>
              <w:t>text massages</w:t>
            </w:r>
            <w:r w:rsidRPr="002B2A8B">
              <w:rPr>
                <w:rFonts w:ascii="Helvetica" w:hAnsi="Helvetica" w:cs="Helvetica"/>
                <w:sz w:val="20"/>
                <w:szCs w:val="20"/>
              </w:rPr>
              <w:t xml:space="preserve"> to participants</w:t>
            </w:r>
            <w:r>
              <w:rPr>
                <w:rFonts w:ascii="Helvetica" w:hAnsi="Helvetica" w:cs="Helvetica"/>
                <w:sz w:val="20"/>
                <w:szCs w:val="20"/>
              </w:rPr>
              <w:t>’ mobile devices</w:t>
            </w:r>
            <w:r w:rsidRPr="002B2A8B">
              <w:rPr>
                <w:rFonts w:ascii="Helvetica" w:hAnsi="Helvetica" w:cs="Helvetica"/>
                <w:sz w:val="20"/>
                <w:szCs w:val="20"/>
              </w:rPr>
              <w:t xml:space="preserve"> based on activity zone (green – remission/mild; yellow – moderate; red – severe) to provide individualized action plans and email alerts to participant and nurse coordinator.</w:t>
            </w:r>
            <w:r w:rsidR="006D7FD1">
              <w:rPr>
                <w:rFonts w:ascii="Helvetica" w:hAnsi="Helvetica" w:cs="Helvetica"/>
                <w:sz w:val="20"/>
                <w:szCs w:val="20"/>
              </w:rPr>
              <w:t xml:space="preserve"> Technology involved the use of a mobile phone and a decision support server and website. </w:t>
            </w:r>
          </w:p>
          <w:p w14:paraId="6EAD4BA0" w14:textId="093B397B" w:rsidR="001878B0" w:rsidRDefault="001878B0" w:rsidP="00873D02">
            <w:pPr>
              <w:rPr>
                <w:rFonts w:ascii="Helvetica" w:hAnsi="Helvetica" w:cs="Helvetica"/>
                <w:sz w:val="20"/>
                <w:szCs w:val="20"/>
              </w:rPr>
            </w:pPr>
          </w:p>
          <w:p w14:paraId="4018DD01" w14:textId="7A2393A9" w:rsidR="001878B0" w:rsidRPr="001A7EDE" w:rsidRDefault="001878B0" w:rsidP="00873D02">
            <w:pPr>
              <w:rPr>
                <w:rFonts w:ascii="Helvetica" w:hAnsi="Helvetica" w:cs="Helvetica"/>
                <w:b/>
                <w:bCs/>
                <w:sz w:val="20"/>
                <w:szCs w:val="20"/>
              </w:rPr>
            </w:pPr>
            <w:r>
              <w:rPr>
                <w:rFonts w:ascii="Helvetica" w:hAnsi="Helvetica" w:cs="Helvetica"/>
                <w:sz w:val="20"/>
                <w:szCs w:val="20"/>
              </w:rPr>
              <w:t xml:space="preserve">A TELE-IBD educational curriculum was developed for patients in the intervention groups where they would receive an educational tip twice weekly (in the weekly group) or every week (if in every other week group). They also received “pragmatic| educational messages at the discretion of the provider. </w:t>
            </w:r>
          </w:p>
          <w:p w14:paraId="7F9184E6" w14:textId="77777777" w:rsidR="001A7EDE" w:rsidRPr="002B2A8B" w:rsidRDefault="001A7EDE" w:rsidP="00873D02">
            <w:pPr>
              <w:rPr>
                <w:rFonts w:ascii="Helvetica" w:hAnsi="Helvetica" w:cs="Helvetica"/>
                <w:sz w:val="20"/>
                <w:szCs w:val="20"/>
              </w:rPr>
            </w:pPr>
          </w:p>
          <w:p w14:paraId="0CA47042" w14:textId="77777777" w:rsidR="001A7EDE" w:rsidRPr="002B2A8B" w:rsidRDefault="001A7EDE" w:rsidP="00873D02">
            <w:pPr>
              <w:rPr>
                <w:rFonts w:ascii="Helvetica" w:hAnsi="Helvetica" w:cs="Helvetica"/>
                <w:b/>
                <w:bCs/>
                <w:sz w:val="20"/>
                <w:szCs w:val="20"/>
              </w:rPr>
            </w:pPr>
            <w:r w:rsidRPr="002B2A8B">
              <w:rPr>
                <w:rFonts w:ascii="Helvetica" w:hAnsi="Helvetica" w:cs="Helvetica"/>
                <w:b/>
                <w:bCs/>
                <w:sz w:val="20"/>
                <w:szCs w:val="20"/>
              </w:rPr>
              <w:t>Control</w:t>
            </w:r>
          </w:p>
          <w:p w14:paraId="1B733B77"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Care based on current evidence-based guidelines and as needed visits/calls</w:t>
            </w:r>
          </w:p>
        </w:tc>
      </w:tr>
      <w:tr w:rsidR="001A7EDE" w:rsidRPr="002B2A8B" w14:paraId="7C573109" w14:textId="77777777" w:rsidTr="00B57657">
        <w:trPr>
          <w:trHeight w:val="226"/>
        </w:trPr>
        <w:tc>
          <w:tcPr>
            <w:tcW w:w="1080" w:type="dxa"/>
          </w:tcPr>
          <w:p w14:paraId="26A21C73" w14:textId="77777777" w:rsidR="001A7EDE" w:rsidRPr="002B2A8B" w:rsidRDefault="001A7EDE" w:rsidP="00873D02">
            <w:pPr>
              <w:rPr>
                <w:rFonts w:ascii="Helvetica" w:hAnsi="Helvetica" w:cs="Helvetica"/>
                <w:sz w:val="20"/>
                <w:szCs w:val="20"/>
              </w:rPr>
            </w:pPr>
            <w:r>
              <w:rPr>
                <w:rFonts w:ascii="Helvetica" w:hAnsi="Helvetica" w:cs="Helvetica"/>
                <w:sz w:val="20"/>
                <w:szCs w:val="20"/>
              </w:rPr>
              <w:t>2</w:t>
            </w:r>
          </w:p>
        </w:tc>
        <w:tc>
          <w:tcPr>
            <w:tcW w:w="1710" w:type="dxa"/>
          </w:tcPr>
          <w:p w14:paraId="342A206D"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 xml:space="preserve">Cross R, 2012 </w:t>
            </w:r>
          </w:p>
        </w:tc>
        <w:tc>
          <w:tcPr>
            <w:tcW w:w="5490" w:type="dxa"/>
          </w:tcPr>
          <w:p w14:paraId="2AD4F5A6" w14:textId="77777777" w:rsidR="001A7EDE" w:rsidRPr="002B2A8B" w:rsidRDefault="001A7EDE" w:rsidP="00873D02">
            <w:pPr>
              <w:rPr>
                <w:rFonts w:ascii="Helvetica" w:hAnsi="Helvetica" w:cs="Helvetica"/>
                <w:sz w:val="20"/>
                <w:szCs w:val="20"/>
              </w:rPr>
            </w:pPr>
            <w:r w:rsidRPr="002B2A8B">
              <w:rPr>
                <w:rFonts w:ascii="Helvetica" w:hAnsi="Helvetica" w:cs="Helvetica"/>
                <w:b/>
                <w:bCs/>
                <w:sz w:val="20"/>
                <w:szCs w:val="20"/>
              </w:rPr>
              <w:t>Disease activity:</w:t>
            </w:r>
            <w:r w:rsidRPr="002B2A8B">
              <w:rPr>
                <w:rFonts w:ascii="Helvetica" w:hAnsi="Helvetica" w:cs="Helvetica"/>
                <w:sz w:val="20"/>
                <w:szCs w:val="20"/>
              </w:rPr>
              <w:t xml:space="preserve"> </w:t>
            </w:r>
            <w:proofErr w:type="spellStart"/>
            <w:r w:rsidRPr="002B2A8B">
              <w:rPr>
                <w:rFonts w:ascii="Helvetica" w:hAnsi="Helvetica" w:cs="Helvetica"/>
                <w:sz w:val="20"/>
                <w:szCs w:val="20"/>
              </w:rPr>
              <w:t>Seo</w:t>
            </w:r>
            <w:proofErr w:type="spellEnd"/>
            <w:r w:rsidRPr="002B2A8B">
              <w:rPr>
                <w:rFonts w:ascii="Helvetica" w:hAnsi="Helvetica" w:cs="Helvetica"/>
                <w:sz w:val="20"/>
                <w:szCs w:val="20"/>
              </w:rPr>
              <w:t xml:space="preserve"> index with activity index &lt;120 = clinical remission. Scores of 120 to 150, 151 to 220, and &gt; 222 correlate with mild, moderate, and severe disease respectively. A decrease in the index of 35 correlates with clinical response</w:t>
            </w:r>
          </w:p>
          <w:p w14:paraId="46E0B05B" w14:textId="77777777" w:rsidR="001A7EDE" w:rsidRPr="002B2A8B" w:rsidRDefault="001A7EDE" w:rsidP="00873D02">
            <w:pPr>
              <w:rPr>
                <w:rFonts w:ascii="Helvetica" w:hAnsi="Helvetica" w:cs="Helvetica"/>
                <w:sz w:val="20"/>
                <w:szCs w:val="20"/>
              </w:rPr>
            </w:pPr>
          </w:p>
          <w:p w14:paraId="34DA5EBD" w14:textId="77777777" w:rsidR="001A7EDE" w:rsidRDefault="001A7EDE" w:rsidP="00873D02">
            <w:pPr>
              <w:rPr>
                <w:rFonts w:ascii="Helvetica" w:hAnsi="Helvetica" w:cs="Helvetica"/>
                <w:sz w:val="20"/>
                <w:szCs w:val="20"/>
              </w:rPr>
            </w:pPr>
            <w:r w:rsidRPr="00B36FE9">
              <w:rPr>
                <w:rFonts w:ascii="Helvetica" w:hAnsi="Helvetica" w:cs="Helvetica"/>
                <w:b/>
                <w:bCs/>
                <w:sz w:val="20"/>
                <w:szCs w:val="20"/>
              </w:rPr>
              <w:t>IBDQ questionnaire.</w:t>
            </w:r>
            <w:r w:rsidRPr="002B2A8B">
              <w:rPr>
                <w:rFonts w:ascii="Helvetica" w:hAnsi="Helvetica" w:cs="Helvetica"/>
                <w:sz w:val="20"/>
                <w:szCs w:val="20"/>
              </w:rPr>
              <w:t xml:space="preserve"> Higher scores associated with better quality of life. Score changes of 16 from baseline are significant.</w:t>
            </w:r>
          </w:p>
          <w:p w14:paraId="38713DAB" w14:textId="77777777" w:rsidR="001A7EDE" w:rsidRPr="002B2A8B" w:rsidRDefault="001A7EDE" w:rsidP="00873D02">
            <w:pPr>
              <w:rPr>
                <w:rFonts w:ascii="Helvetica" w:hAnsi="Helvetica" w:cs="Helvetica"/>
                <w:sz w:val="20"/>
                <w:szCs w:val="20"/>
              </w:rPr>
            </w:pPr>
          </w:p>
          <w:p w14:paraId="6B57AE1F" w14:textId="77777777" w:rsidR="001A7EDE" w:rsidRPr="00B36FE9" w:rsidRDefault="001A7EDE" w:rsidP="00873D02">
            <w:pPr>
              <w:rPr>
                <w:rFonts w:ascii="Helvetica" w:hAnsi="Helvetica" w:cs="Helvetica"/>
                <w:sz w:val="20"/>
                <w:szCs w:val="20"/>
              </w:rPr>
            </w:pPr>
            <w:proofErr w:type="spellStart"/>
            <w:r w:rsidRPr="002B2A8B">
              <w:rPr>
                <w:rFonts w:ascii="Helvetica" w:hAnsi="Helvetica" w:cs="Helvetica"/>
                <w:b/>
                <w:bCs/>
                <w:sz w:val="20"/>
                <w:szCs w:val="20"/>
              </w:rPr>
              <w:t>Morisky</w:t>
            </w:r>
            <w:proofErr w:type="spellEnd"/>
            <w:r w:rsidRPr="002B2A8B">
              <w:rPr>
                <w:rFonts w:ascii="Helvetica" w:hAnsi="Helvetica" w:cs="Helvetica"/>
                <w:b/>
                <w:bCs/>
                <w:sz w:val="20"/>
                <w:szCs w:val="20"/>
              </w:rPr>
              <w:t xml:space="preserve"> Medication Adherence Score</w:t>
            </w:r>
            <w:r w:rsidRPr="002B2A8B">
              <w:rPr>
                <w:rFonts w:ascii="Helvetica" w:hAnsi="Helvetica" w:cs="Helvetica"/>
                <w:sz w:val="20"/>
                <w:szCs w:val="20"/>
              </w:rPr>
              <w:t xml:space="preserve"> – Higher scores correlate with better medical adherence</w:t>
            </w:r>
          </w:p>
        </w:tc>
        <w:tc>
          <w:tcPr>
            <w:tcW w:w="5670" w:type="dxa"/>
          </w:tcPr>
          <w:p w14:paraId="1DBFD5C6" w14:textId="77777777" w:rsidR="001A7EDE" w:rsidRPr="002B2A8B" w:rsidRDefault="001A7EDE" w:rsidP="00873D02">
            <w:pPr>
              <w:rPr>
                <w:rFonts w:ascii="Helvetica" w:hAnsi="Helvetica" w:cs="Helvetica"/>
                <w:b/>
                <w:bCs/>
                <w:sz w:val="20"/>
                <w:szCs w:val="20"/>
              </w:rPr>
            </w:pPr>
            <w:r w:rsidRPr="002B2A8B">
              <w:rPr>
                <w:rFonts w:ascii="Helvetica" w:hAnsi="Helvetica" w:cs="Helvetica"/>
                <w:b/>
                <w:bCs/>
                <w:sz w:val="20"/>
                <w:szCs w:val="20"/>
              </w:rPr>
              <w:t>Intervention</w:t>
            </w:r>
          </w:p>
          <w:p w14:paraId="6378BFCE"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 xml:space="preserve">UCHAT – home unit (netbook computer and electronic weight scale), decision support server, and a web-based clinician portal. Patients provided information about symptoms, side effects and adherence to the support server and received disease-specific education and individualized action plans based on input from medical team. </w:t>
            </w:r>
          </w:p>
          <w:p w14:paraId="2A63287D" w14:textId="77777777" w:rsidR="001A7EDE" w:rsidRPr="002B2A8B" w:rsidRDefault="001A7EDE" w:rsidP="00873D02">
            <w:pPr>
              <w:rPr>
                <w:rFonts w:ascii="Helvetica" w:hAnsi="Helvetica" w:cs="Helvetica"/>
                <w:sz w:val="20"/>
                <w:szCs w:val="20"/>
              </w:rPr>
            </w:pPr>
          </w:p>
          <w:p w14:paraId="39151768"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UCHAT – weekly symptom dairy with 15 questions on well-being, bowel habits, systemic symptoms and extraintestinal manifestations; SE and doses of treatment; audio on how to use the electronic scale; educational material from Crohn’s and Colitis Foundation of America. After completing of self-testing, there was a customized action plan based on response to symptom diary. Patients could send electronic message to nurse coordinator at any time.</w:t>
            </w:r>
          </w:p>
          <w:p w14:paraId="792FBC02" w14:textId="77777777" w:rsidR="001A7EDE" w:rsidRPr="002B2A8B" w:rsidRDefault="001A7EDE" w:rsidP="00873D02">
            <w:pPr>
              <w:rPr>
                <w:rFonts w:ascii="Helvetica" w:hAnsi="Helvetica" w:cs="Helvetica"/>
                <w:sz w:val="20"/>
                <w:szCs w:val="20"/>
              </w:rPr>
            </w:pPr>
          </w:p>
          <w:p w14:paraId="374C80A7" w14:textId="77777777" w:rsidR="001A7EDE" w:rsidRPr="002B2A8B" w:rsidRDefault="001A7EDE" w:rsidP="00873D02">
            <w:pPr>
              <w:rPr>
                <w:rFonts w:ascii="Helvetica" w:hAnsi="Helvetica" w:cs="Helvetica"/>
                <w:b/>
                <w:bCs/>
                <w:sz w:val="20"/>
                <w:szCs w:val="20"/>
              </w:rPr>
            </w:pPr>
            <w:r w:rsidRPr="002B2A8B">
              <w:rPr>
                <w:rFonts w:ascii="Helvetica" w:hAnsi="Helvetica" w:cs="Helvetica"/>
                <w:b/>
                <w:bCs/>
                <w:sz w:val="20"/>
                <w:szCs w:val="20"/>
              </w:rPr>
              <w:t>Control</w:t>
            </w:r>
          </w:p>
          <w:p w14:paraId="0CF05E1D"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lastRenderedPageBreak/>
              <w:t>Based on standard of care and current evidence-based guidelines – comprehensive assessment, a guide-concordant therapy plan, scheduled and as-needed clinic visits/telephone calls, and administration of educational fact sheets</w:t>
            </w:r>
          </w:p>
        </w:tc>
      </w:tr>
      <w:tr w:rsidR="001A7EDE" w:rsidRPr="002B2A8B" w14:paraId="122DBD51" w14:textId="77777777" w:rsidTr="00B57657">
        <w:trPr>
          <w:trHeight w:val="226"/>
        </w:trPr>
        <w:tc>
          <w:tcPr>
            <w:tcW w:w="1080" w:type="dxa"/>
          </w:tcPr>
          <w:p w14:paraId="38011072" w14:textId="77777777" w:rsidR="001A7EDE" w:rsidRPr="002B2A8B" w:rsidRDefault="001A7EDE" w:rsidP="00873D02">
            <w:pPr>
              <w:rPr>
                <w:rFonts w:ascii="Helvetica" w:hAnsi="Helvetica" w:cs="Helvetica"/>
                <w:sz w:val="20"/>
                <w:szCs w:val="20"/>
              </w:rPr>
            </w:pPr>
            <w:r>
              <w:rPr>
                <w:rFonts w:ascii="Helvetica" w:hAnsi="Helvetica" w:cs="Helvetica"/>
                <w:sz w:val="20"/>
                <w:szCs w:val="20"/>
              </w:rPr>
              <w:lastRenderedPageBreak/>
              <w:t>3</w:t>
            </w:r>
          </w:p>
        </w:tc>
        <w:tc>
          <w:tcPr>
            <w:tcW w:w="1710" w:type="dxa"/>
          </w:tcPr>
          <w:p w14:paraId="1BE0A7BA"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De Jong, 2017</w:t>
            </w:r>
          </w:p>
        </w:tc>
        <w:tc>
          <w:tcPr>
            <w:tcW w:w="5490" w:type="dxa"/>
          </w:tcPr>
          <w:p w14:paraId="10E86704" w14:textId="77777777" w:rsidR="001A7EDE" w:rsidRPr="002B2A8B" w:rsidRDefault="001A7EDE" w:rsidP="00873D02">
            <w:pPr>
              <w:rPr>
                <w:rFonts w:ascii="Helvetica" w:hAnsi="Helvetica" w:cs="Helvetica"/>
                <w:sz w:val="20"/>
                <w:szCs w:val="20"/>
              </w:rPr>
            </w:pPr>
            <w:r w:rsidRPr="002B2A8B">
              <w:rPr>
                <w:rFonts w:ascii="Helvetica" w:hAnsi="Helvetica" w:cs="Helvetica"/>
                <w:b/>
                <w:bCs/>
                <w:sz w:val="20"/>
                <w:szCs w:val="20"/>
              </w:rPr>
              <w:t xml:space="preserve">Primary outcome: </w:t>
            </w:r>
            <w:r w:rsidRPr="002B2A8B">
              <w:rPr>
                <w:rFonts w:ascii="Helvetica" w:hAnsi="Helvetica" w:cs="Helvetica"/>
                <w:sz w:val="20"/>
                <w:szCs w:val="20"/>
              </w:rPr>
              <w:t>1. Number of outpatient visits, 2. Patient reported quality of care (Visual analogue scale with seven domains; 8+ = high quality of care)</w:t>
            </w:r>
          </w:p>
          <w:p w14:paraId="3EC4CA70" w14:textId="77777777" w:rsidR="001A7EDE" w:rsidRPr="002B2A8B" w:rsidRDefault="001A7EDE" w:rsidP="00873D02">
            <w:pPr>
              <w:rPr>
                <w:rFonts w:ascii="Helvetica" w:hAnsi="Helvetica" w:cs="Helvetica"/>
                <w:b/>
                <w:bCs/>
                <w:sz w:val="20"/>
                <w:szCs w:val="20"/>
              </w:rPr>
            </w:pPr>
          </w:p>
          <w:p w14:paraId="1E96F731" w14:textId="77777777" w:rsidR="001A7EDE" w:rsidRPr="002B2A8B" w:rsidRDefault="001A7EDE" w:rsidP="00873D02">
            <w:pPr>
              <w:rPr>
                <w:rFonts w:ascii="Helvetica" w:hAnsi="Helvetica" w:cs="Helvetica"/>
                <w:b/>
                <w:bCs/>
                <w:sz w:val="20"/>
                <w:szCs w:val="20"/>
              </w:rPr>
            </w:pPr>
            <w:r w:rsidRPr="002B2A8B">
              <w:rPr>
                <w:rFonts w:ascii="Helvetica" w:hAnsi="Helvetica" w:cs="Helvetica"/>
                <w:b/>
                <w:bCs/>
                <w:sz w:val="20"/>
                <w:szCs w:val="20"/>
              </w:rPr>
              <w:t xml:space="preserve">Secondary outcomes: </w:t>
            </w:r>
            <w:r w:rsidRPr="002B2A8B">
              <w:rPr>
                <w:rFonts w:ascii="Helvetica" w:hAnsi="Helvetica" w:cs="Helvetica"/>
                <w:sz w:val="20"/>
                <w:szCs w:val="20"/>
              </w:rPr>
              <w:t xml:space="preserve">1. </w:t>
            </w:r>
            <w:r w:rsidRPr="002B2A8B">
              <w:rPr>
                <w:rFonts w:ascii="Helvetica" w:hAnsi="Helvetica" w:cs="Helvetica"/>
                <w:b/>
                <w:bCs/>
                <w:sz w:val="20"/>
                <w:szCs w:val="20"/>
              </w:rPr>
              <w:t>Treatment adherence</w:t>
            </w:r>
            <w:r w:rsidRPr="002B2A8B">
              <w:rPr>
                <w:rFonts w:ascii="Helvetica" w:hAnsi="Helvetica" w:cs="Helvetica"/>
                <w:sz w:val="20"/>
                <w:szCs w:val="20"/>
              </w:rPr>
              <w:t xml:space="preserve"> (8-item </w:t>
            </w:r>
            <w:proofErr w:type="spellStart"/>
            <w:r w:rsidRPr="002B2A8B">
              <w:rPr>
                <w:rFonts w:ascii="Helvetica" w:hAnsi="Helvetica" w:cs="Helvetica"/>
                <w:sz w:val="20"/>
                <w:szCs w:val="20"/>
              </w:rPr>
              <w:t>Morisky</w:t>
            </w:r>
            <w:proofErr w:type="spellEnd"/>
            <w:r w:rsidRPr="002B2A8B">
              <w:rPr>
                <w:rFonts w:ascii="Helvetica" w:hAnsi="Helvetica" w:cs="Helvetica"/>
                <w:sz w:val="20"/>
                <w:szCs w:val="20"/>
              </w:rPr>
              <w:t xml:space="preserve"> Medication Adherence Scale (&lt;6 = low), 2. </w:t>
            </w:r>
            <w:r w:rsidRPr="002B2A8B">
              <w:rPr>
                <w:rFonts w:ascii="Helvetica" w:hAnsi="Helvetica" w:cs="Helvetica"/>
                <w:b/>
                <w:bCs/>
                <w:sz w:val="20"/>
                <w:szCs w:val="20"/>
              </w:rPr>
              <w:t>QoL using SIBDQ</w:t>
            </w:r>
            <w:r w:rsidRPr="002B2A8B">
              <w:rPr>
                <w:rFonts w:ascii="Helvetica" w:hAnsi="Helvetica" w:cs="Helvetica"/>
                <w:sz w:val="20"/>
                <w:szCs w:val="20"/>
              </w:rPr>
              <w:t xml:space="preserve"> (10-item questionnaire; 4 domains), 3. </w:t>
            </w:r>
            <w:r w:rsidRPr="002B2A8B">
              <w:rPr>
                <w:rFonts w:ascii="Helvetica" w:hAnsi="Helvetica" w:cs="Helvetica"/>
                <w:b/>
                <w:bCs/>
                <w:sz w:val="20"/>
                <w:szCs w:val="20"/>
              </w:rPr>
              <w:t>Self-efficacy</w:t>
            </w:r>
            <w:r w:rsidRPr="002B2A8B">
              <w:rPr>
                <w:rFonts w:ascii="Helvetica" w:hAnsi="Helvetica" w:cs="Helvetica"/>
                <w:sz w:val="20"/>
                <w:szCs w:val="20"/>
              </w:rPr>
              <w:t xml:space="preserve"> (IBD-SES; 29-items; 4 domains), 4. </w:t>
            </w:r>
            <w:r w:rsidRPr="002B2A8B">
              <w:rPr>
                <w:rFonts w:ascii="Helvetica" w:hAnsi="Helvetica" w:cs="Helvetica"/>
                <w:b/>
                <w:bCs/>
                <w:sz w:val="20"/>
                <w:szCs w:val="20"/>
              </w:rPr>
              <w:t>Diagnosis and treatment related knowledge</w:t>
            </w:r>
            <w:r w:rsidRPr="002B2A8B">
              <w:rPr>
                <w:rFonts w:ascii="Helvetica" w:hAnsi="Helvetica" w:cs="Helvetica"/>
                <w:sz w:val="20"/>
                <w:szCs w:val="20"/>
              </w:rPr>
              <w:t xml:space="preserve"> (VAS score); 5. </w:t>
            </w:r>
            <w:r w:rsidRPr="002B2A8B">
              <w:rPr>
                <w:rFonts w:ascii="Helvetica" w:hAnsi="Helvetica" w:cs="Helvetica"/>
                <w:b/>
                <w:bCs/>
                <w:sz w:val="20"/>
                <w:szCs w:val="20"/>
              </w:rPr>
              <w:t>Smoking behaviors</w:t>
            </w:r>
            <w:r w:rsidRPr="002B2A8B">
              <w:rPr>
                <w:rFonts w:ascii="Helvetica" w:hAnsi="Helvetica" w:cs="Helvetica"/>
                <w:sz w:val="20"/>
                <w:szCs w:val="20"/>
              </w:rPr>
              <w:t xml:space="preserve">, 6. </w:t>
            </w:r>
            <w:r w:rsidRPr="002B2A8B">
              <w:rPr>
                <w:rFonts w:ascii="Helvetica" w:hAnsi="Helvetica" w:cs="Helvetica"/>
                <w:b/>
                <w:bCs/>
                <w:sz w:val="20"/>
                <w:szCs w:val="20"/>
              </w:rPr>
              <w:t>Disease outcomes</w:t>
            </w:r>
            <w:r w:rsidRPr="002B2A8B">
              <w:rPr>
                <w:rFonts w:ascii="Helvetica" w:hAnsi="Helvetica" w:cs="Helvetica"/>
                <w:sz w:val="20"/>
                <w:szCs w:val="20"/>
              </w:rPr>
              <w:t xml:space="preserve"> (number of flares; IBD-related hospitalizations, ER visits, surgeries, and/or corticosteroid use)</w:t>
            </w:r>
          </w:p>
        </w:tc>
        <w:tc>
          <w:tcPr>
            <w:tcW w:w="5670" w:type="dxa"/>
          </w:tcPr>
          <w:p w14:paraId="2095D7BD" w14:textId="77777777" w:rsidR="001A7EDE" w:rsidRPr="002B2A8B" w:rsidRDefault="001A7EDE" w:rsidP="00873D02">
            <w:pPr>
              <w:rPr>
                <w:rFonts w:ascii="Helvetica" w:hAnsi="Helvetica" w:cs="Helvetica"/>
                <w:sz w:val="20"/>
                <w:szCs w:val="20"/>
              </w:rPr>
            </w:pPr>
            <w:r w:rsidRPr="002B2A8B">
              <w:rPr>
                <w:rFonts w:ascii="Helvetica" w:hAnsi="Helvetica" w:cs="Helvetica"/>
                <w:b/>
                <w:bCs/>
                <w:sz w:val="20"/>
                <w:szCs w:val="20"/>
              </w:rPr>
              <w:t>Intervention</w:t>
            </w:r>
          </w:p>
          <w:p w14:paraId="2F822555"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Telemedicine system (</w:t>
            </w:r>
            <w:proofErr w:type="spellStart"/>
            <w:r w:rsidRPr="002B2A8B">
              <w:rPr>
                <w:rFonts w:ascii="Helvetica" w:hAnsi="Helvetica" w:cs="Helvetica"/>
                <w:sz w:val="20"/>
                <w:szCs w:val="20"/>
              </w:rPr>
              <w:t>myIBDcoach</w:t>
            </w:r>
            <w:proofErr w:type="spellEnd"/>
            <w:r w:rsidRPr="002B2A8B">
              <w:rPr>
                <w:rFonts w:ascii="Helvetica" w:hAnsi="Helvetica" w:cs="Helvetica"/>
                <w:sz w:val="20"/>
                <w:szCs w:val="20"/>
              </w:rPr>
              <w:t xml:space="preserve">) that monitors and registers disease activity: questions for disease activity, treatment use, treatment adherence, treatment satisfaction, side effects; questions on factors affecting disease; PRO on quality of life and work productivity. </w:t>
            </w:r>
          </w:p>
          <w:p w14:paraId="537F7192" w14:textId="5B34DF08" w:rsidR="00E73780" w:rsidRDefault="00E73780" w:rsidP="00873D02">
            <w:pPr>
              <w:rPr>
                <w:rFonts w:ascii="Helvetica" w:hAnsi="Helvetica" w:cs="Helvetica"/>
                <w:sz w:val="20"/>
                <w:szCs w:val="20"/>
              </w:rPr>
            </w:pPr>
          </w:p>
          <w:p w14:paraId="325EBB41" w14:textId="77777777" w:rsidR="00E73780" w:rsidRDefault="00E73780" w:rsidP="00E73780">
            <w:pPr>
              <w:rPr>
                <w:rFonts w:ascii="Helvetica" w:hAnsi="Helvetica" w:cs="Helvetica"/>
                <w:sz w:val="20"/>
                <w:szCs w:val="20"/>
              </w:rPr>
            </w:pPr>
            <w:r>
              <w:rPr>
                <w:rFonts w:ascii="Helvetica" w:hAnsi="Helvetica" w:cs="Helvetica"/>
                <w:sz w:val="20"/>
                <w:szCs w:val="20"/>
              </w:rPr>
              <w:t>Monitoring module was performed monthly or every 3 months when patients were in remission. If patients had a flare, they were monitored weekly. They had outpatient visits yearly or when applicable. Patients received patient-tailored information on selected topics in the E-learning modules. Communication and personal care plan were available 24/7.</w:t>
            </w:r>
          </w:p>
          <w:p w14:paraId="1A25C4A4" w14:textId="3F22D605" w:rsidR="001A7EDE" w:rsidRDefault="001A7EDE" w:rsidP="00873D02">
            <w:pPr>
              <w:rPr>
                <w:rFonts w:ascii="Helvetica" w:hAnsi="Helvetica" w:cs="Helvetica"/>
                <w:b/>
                <w:bCs/>
                <w:sz w:val="20"/>
                <w:szCs w:val="20"/>
              </w:rPr>
            </w:pPr>
          </w:p>
          <w:p w14:paraId="367944A0" w14:textId="55D47FA0" w:rsidR="00B0276A" w:rsidRPr="00243863" w:rsidRDefault="00B0276A" w:rsidP="00873D02">
            <w:pPr>
              <w:rPr>
                <w:rFonts w:ascii="Helvetica" w:hAnsi="Helvetica" w:cs="Helvetica"/>
                <w:sz w:val="20"/>
                <w:szCs w:val="20"/>
              </w:rPr>
            </w:pPr>
            <w:r>
              <w:rPr>
                <w:rFonts w:ascii="Helvetica" w:hAnsi="Helvetica" w:cs="Helvetica"/>
                <w:sz w:val="20"/>
                <w:szCs w:val="20"/>
              </w:rPr>
              <w:t xml:space="preserve">At least one routine outpatient clinic visit per year with as-needed visits based on alarm symptoms identified through </w:t>
            </w:r>
            <w:proofErr w:type="spellStart"/>
            <w:r>
              <w:rPr>
                <w:rFonts w:ascii="Helvetica" w:hAnsi="Helvetica" w:cs="Helvetica"/>
                <w:sz w:val="20"/>
                <w:szCs w:val="20"/>
              </w:rPr>
              <w:t>myIBDcoach</w:t>
            </w:r>
            <w:proofErr w:type="spellEnd"/>
            <w:r>
              <w:rPr>
                <w:rFonts w:ascii="Helvetica" w:hAnsi="Helvetica" w:cs="Helvetica"/>
                <w:sz w:val="20"/>
                <w:szCs w:val="20"/>
              </w:rPr>
              <w:t>.</w:t>
            </w:r>
          </w:p>
          <w:p w14:paraId="754C578C" w14:textId="77777777" w:rsidR="00B0276A" w:rsidRPr="002B2A8B" w:rsidRDefault="00B0276A" w:rsidP="00873D02">
            <w:pPr>
              <w:rPr>
                <w:rFonts w:ascii="Helvetica" w:hAnsi="Helvetica" w:cs="Helvetica"/>
                <w:b/>
                <w:bCs/>
                <w:sz w:val="20"/>
                <w:szCs w:val="20"/>
              </w:rPr>
            </w:pPr>
          </w:p>
          <w:p w14:paraId="35F58DF0" w14:textId="77777777" w:rsidR="001A7EDE" w:rsidRPr="002B2A8B" w:rsidRDefault="001A7EDE" w:rsidP="00873D02">
            <w:pPr>
              <w:rPr>
                <w:rFonts w:ascii="Helvetica" w:hAnsi="Helvetica" w:cs="Helvetica"/>
                <w:b/>
                <w:bCs/>
                <w:sz w:val="20"/>
                <w:szCs w:val="20"/>
              </w:rPr>
            </w:pPr>
            <w:r w:rsidRPr="002B2A8B">
              <w:rPr>
                <w:rFonts w:ascii="Helvetica" w:hAnsi="Helvetica" w:cs="Helvetica"/>
                <w:b/>
                <w:bCs/>
                <w:sz w:val="20"/>
                <w:szCs w:val="20"/>
              </w:rPr>
              <w:t>Control</w:t>
            </w:r>
          </w:p>
          <w:p w14:paraId="2852F92B"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Standard care – routine follow-up following local protocol and can schedule extra visit if symptoms relapsed. Questions at baseline and at 12 months.</w:t>
            </w:r>
          </w:p>
        </w:tc>
      </w:tr>
      <w:tr w:rsidR="001A7EDE" w:rsidRPr="002B2A8B" w14:paraId="32382D07" w14:textId="77777777" w:rsidTr="00B57657">
        <w:trPr>
          <w:trHeight w:val="226"/>
        </w:trPr>
        <w:tc>
          <w:tcPr>
            <w:tcW w:w="1080" w:type="dxa"/>
          </w:tcPr>
          <w:p w14:paraId="7FC485F8" w14:textId="77777777" w:rsidR="001A7EDE" w:rsidRPr="002B2A8B" w:rsidRDefault="001A7EDE" w:rsidP="00873D02">
            <w:pPr>
              <w:rPr>
                <w:rFonts w:ascii="Helvetica" w:hAnsi="Helvetica" w:cs="Helvetica"/>
                <w:sz w:val="20"/>
                <w:szCs w:val="20"/>
              </w:rPr>
            </w:pPr>
            <w:r>
              <w:rPr>
                <w:rFonts w:ascii="Helvetica" w:hAnsi="Helvetica" w:cs="Helvetica"/>
                <w:sz w:val="20"/>
                <w:szCs w:val="20"/>
              </w:rPr>
              <w:t>4</w:t>
            </w:r>
          </w:p>
        </w:tc>
        <w:tc>
          <w:tcPr>
            <w:tcW w:w="1710" w:type="dxa"/>
            <w:shd w:val="clear" w:color="auto" w:fill="auto"/>
          </w:tcPr>
          <w:p w14:paraId="3154681E" w14:textId="77777777" w:rsidR="001A7EDE" w:rsidRPr="002B2A8B" w:rsidRDefault="001A7EDE" w:rsidP="00873D02">
            <w:pPr>
              <w:rPr>
                <w:rFonts w:ascii="Helvetica" w:hAnsi="Helvetica" w:cs="Helvetica"/>
                <w:sz w:val="20"/>
                <w:szCs w:val="20"/>
              </w:rPr>
            </w:pPr>
            <w:proofErr w:type="spellStart"/>
            <w:r w:rsidRPr="002B2A8B">
              <w:rPr>
                <w:rFonts w:ascii="Helvetica" w:hAnsi="Helvetica" w:cs="Helvetica"/>
                <w:sz w:val="20"/>
                <w:szCs w:val="20"/>
              </w:rPr>
              <w:t>Elkjaer</w:t>
            </w:r>
            <w:proofErr w:type="spellEnd"/>
            <w:r w:rsidRPr="002B2A8B">
              <w:rPr>
                <w:rFonts w:ascii="Helvetica" w:hAnsi="Helvetica" w:cs="Helvetica"/>
                <w:sz w:val="20"/>
                <w:szCs w:val="20"/>
              </w:rPr>
              <w:t xml:space="preserve"> M</w:t>
            </w:r>
            <w:r>
              <w:rPr>
                <w:rFonts w:ascii="Helvetica" w:hAnsi="Helvetica" w:cs="Helvetica"/>
                <w:sz w:val="20"/>
                <w:szCs w:val="20"/>
              </w:rPr>
              <w:t>,</w:t>
            </w:r>
            <w:r w:rsidRPr="002B2A8B">
              <w:rPr>
                <w:rFonts w:ascii="Helvetica" w:hAnsi="Helvetica" w:cs="Helvetica"/>
                <w:sz w:val="20"/>
                <w:szCs w:val="20"/>
              </w:rPr>
              <w:t xml:space="preserve"> 2010</w:t>
            </w:r>
          </w:p>
        </w:tc>
        <w:tc>
          <w:tcPr>
            <w:tcW w:w="5490" w:type="dxa"/>
          </w:tcPr>
          <w:p w14:paraId="710614C2" w14:textId="77777777" w:rsidR="001A7EDE" w:rsidRPr="002B2A8B" w:rsidRDefault="001A7EDE" w:rsidP="00873D02">
            <w:pPr>
              <w:rPr>
                <w:rFonts w:ascii="Helvetica" w:hAnsi="Helvetica" w:cs="Helvetica"/>
                <w:b/>
                <w:bCs/>
                <w:sz w:val="20"/>
                <w:szCs w:val="20"/>
              </w:rPr>
            </w:pPr>
            <w:r w:rsidRPr="002B2A8B">
              <w:rPr>
                <w:rFonts w:ascii="Helvetica" w:hAnsi="Helvetica" w:cs="Helvetica"/>
                <w:b/>
                <w:bCs/>
                <w:sz w:val="20"/>
                <w:szCs w:val="20"/>
              </w:rPr>
              <w:t>Outcome measures</w:t>
            </w:r>
          </w:p>
          <w:p w14:paraId="115742D3"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CQ: compliance questionnaire</w:t>
            </w:r>
          </w:p>
          <w:p w14:paraId="5BAB654D" w14:textId="77777777" w:rsidR="001A7EDE" w:rsidRPr="002B2A8B" w:rsidRDefault="001A7EDE" w:rsidP="00873D02">
            <w:pPr>
              <w:rPr>
                <w:rFonts w:ascii="Helvetica" w:hAnsi="Helvetica" w:cs="Helvetica"/>
                <w:b/>
                <w:bCs/>
                <w:sz w:val="20"/>
                <w:szCs w:val="20"/>
              </w:rPr>
            </w:pPr>
          </w:p>
          <w:p w14:paraId="595A3435"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SQ: satisfaction questionnaire (6+ cm = +)</w:t>
            </w:r>
          </w:p>
          <w:p w14:paraId="7491AB0B" w14:textId="77777777" w:rsidR="001A7EDE" w:rsidRPr="002B2A8B" w:rsidRDefault="001A7EDE" w:rsidP="00873D02">
            <w:pPr>
              <w:rPr>
                <w:rFonts w:ascii="Helvetica" w:hAnsi="Helvetica" w:cs="Helvetica"/>
                <w:sz w:val="20"/>
                <w:szCs w:val="20"/>
              </w:rPr>
            </w:pPr>
          </w:p>
          <w:p w14:paraId="135BC461"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CCKNOW: checks for understanding of IBD, medication, diet, complications of IBD</w:t>
            </w:r>
          </w:p>
          <w:p w14:paraId="4289689F" w14:textId="77777777" w:rsidR="001A7EDE" w:rsidRPr="002B2A8B" w:rsidRDefault="001A7EDE" w:rsidP="00873D02">
            <w:pPr>
              <w:rPr>
                <w:rFonts w:ascii="Helvetica" w:hAnsi="Helvetica" w:cs="Helvetica"/>
                <w:b/>
                <w:bCs/>
                <w:sz w:val="20"/>
                <w:szCs w:val="20"/>
              </w:rPr>
            </w:pPr>
          </w:p>
          <w:p w14:paraId="2C7F7C1F" w14:textId="5B3575DE" w:rsidR="001A7EDE" w:rsidRPr="002B2A8B" w:rsidRDefault="001A7EDE" w:rsidP="00873D02">
            <w:pPr>
              <w:rPr>
                <w:rFonts w:ascii="Helvetica" w:hAnsi="Helvetica" w:cs="Helvetica"/>
                <w:sz w:val="20"/>
                <w:szCs w:val="20"/>
              </w:rPr>
            </w:pPr>
            <w:r w:rsidRPr="002B2A8B">
              <w:rPr>
                <w:rFonts w:ascii="Helvetica" w:hAnsi="Helvetica" w:cs="Helvetica"/>
                <w:sz w:val="20"/>
                <w:szCs w:val="20"/>
              </w:rPr>
              <w:t>S-IBDQ: short IBD QoL questionnaire checking for bowel s</w:t>
            </w:r>
            <w:r w:rsidR="00F3159D">
              <w:rPr>
                <w:rFonts w:ascii="Helvetica" w:hAnsi="Helvetica" w:cs="Helvetica"/>
                <w:sz w:val="20"/>
                <w:szCs w:val="20"/>
              </w:rPr>
              <w:t>ymptoms</w:t>
            </w:r>
            <w:r w:rsidRPr="002B2A8B">
              <w:rPr>
                <w:rFonts w:ascii="Helvetica" w:hAnsi="Helvetica" w:cs="Helvetica"/>
                <w:sz w:val="20"/>
                <w:szCs w:val="20"/>
              </w:rPr>
              <w:t>, systemic s</w:t>
            </w:r>
            <w:r w:rsidR="00F3159D">
              <w:rPr>
                <w:rFonts w:ascii="Helvetica" w:hAnsi="Helvetica" w:cs="Helvetica"/>
                <w:sz w:val="20"/>
                <w:szCs w:val="20"/>
              </w:rPr>
              <w:t>ymptoms</w:t>
            </w:r>
            <w:r w:rsidRPr="002B2A8B">
              <w:rPr>
                <w:rFonts w:ascii="Helvetica" w:hAnsi="Helvetica" w:cs="Helvetica"/>
                <w:sz w:val="20"/>
                <w:szCs w:val="20"/>
              </w:rPr>
              <w:t>, emotional and social functions (10</w:t>
            </w:r>
            <w:r w:rsidRPr="002B2A8B">
              <w:rPr>
                <w:rFonts w:ascii="Helvetica" w:hAnsi="Helvetica" w:cs="Helvetica"/>
                <w:sz w:val="20"/>
                <w:szCs w:val="20"/>
              </w:rPr>
              <w:sym w:font="Wingdings" w:char="F0E0"/>
            </w:r>
            <w:r w:rsidRPr="002B2A8B">
              <w:rPr>
                <w:rFonts w:ascii="Helvetica" w:hAnsi="Helvetica" w:cs="Helvetica"/>
                <w:sz w:val="20"/>
                <w:szCs w:val="20"/>
              </w:rPr>
              <w:t>70)</w:t>
            </w:r>
          </w:p>
          <w:p w14:paraId="31C97B5E" w14:textId="77777777" w:rsidR="001A7EDE" w:rsidRPr="002B2A8B" w:rsidRDefault="001A7EDE" w:rsidP="00873D02">
            <w:pPr>
              <w:rPr>
                <w:rFonts w:ascii="Helvetica" w:hAnsi="Helvetica" w:cs="Helvetica"/>
                <w:sz w:val="20"/>
                <w:szCs w:val="20"/>
              </w:rPr>
            </w:pPr>
          </w:p>
          <w:p w14:paraId="198E9147"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lastRenderedPageBreak/>
              <w:t xml:space="preserve">SF-36 for Denmark and SF-12 for Ireland: health survey </w:t>
            </w:r>
          </w:p>
          <w:p w14:paraId="0D681941" w14:textId="77777777" w:rsidR="001A7EDE" w:rsidRPr="002B2A8B" w:rsidRDefault="001A7EDE" w:rsidP="00873D02">
            <w:pPr>
              <w:rPr>
                <w:rFonts w:ascii="Helvetica" w:hAnsi="Helvetica" w:cs="Helvetica"/>
                <w:sz w:val="20"/>
                <w:szCs w:val="20"/>
              </w:rPr>
            </w:pPr>
          </w:p>
          <w:p w14:paraId="6D9D7886"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 xml:space="preserve">HADS: anxiety and depression questionnaires; 0-7 = normal, 8-10 = borderline, 11+ = anxious/depressed </w:t>
            </w:r>
          </w:p>
          <w:p w14:paraId="4D25A96F" w14:textId="77777777" w:rsidR="001A7EDE" w:rsidRPr="002B2A8B" w:rsidRDefault="001A7EDE" w:rsidP="00873D02">
            <w:pPr>
              <w:rPr>
                <w:rFonts w:ascii="Helvetica" w:hAnsi="Helvetica" w:cs="Helvetica"/>
                <w:sz w:val="20"/>
                <w:szCs w:val="20"/>
              </w:rPr>
            </w:pPr>
          </w:p>
          <w:p w14:paraId="38E1F1CC"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 xml:space="preserve">SCCAI: disease activity; &gt;5 = relapse </w:t>
            </w:r>
          </w:p>
          <w:p w14:paraId="4F05FD38" w14:textId="77777777" w:rsidR="001A7EDE" w:rsidRPr="002B2A8B" w:rsidRDefault="001A7EDE" w:rsidP="00873D02">
            <w:pPr>
              <w:rPr>
                <w:rFonts w:ascii="Helvetica" w:hAnsi="Helvetica" w:cs="Helvetica"/>
                <w:sz w:val="20"/>
                <w:szCs w:val="20"/>
              </w:rPr>
            </w:pPr>
          </w:p>
          <w:p w14:paraId="33D02C94"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FC: Fecal calprotectin; blinded for both investigators and pts until the end of the trial. Then compared with SCCAI to identify overtreatment. ≤ 50 mg/kg = normal</w:t>
            </w:r>
          </w:p>
          <w:p w14:paraId="544AFE6F" w14:textId="77777777" w:rsidR="001A7EDE" w:rsidRPr="002B2A8B" w:rsidRDefault="001A7EDE" w:rsidP="00873D02">
            <w:pPr>
              <w:rPr>
                <w:rFonts w:ascii="Helvetica" w:hAnsi="Helvetica" w:cs="Helvetica"/>
                <w:b/>
                <w:bCs/>
                <w:sz w:val="20"/>
                <w:szCs w:val="20"/>
              </w:rPr>
            </w:pPr>
          </w:p>
        </w:tc>
        <w:tc>
          <w:tcPr>
            <w:tcW w:w="5670" w:type="dxa"/>
            <w:shd w:val="clear" w:color="auto" w:fill="auto"/>
          </w:tcPr>
          <w:p w14:paraId="5C0FCBE7" w14:textId="77777777" w:rsidR="001A7EDE" w:rsidRPr="002B2A8B" w:rsidRDefault="001A7EDE" w:rsidP="00873D02">
            <w:pPr>
              <w:rPr>
                <w:rFonts w:ascii="Helvetica" w:hAnsi="Helvetica" w:cs="Helvetica"/>
                <w:b/>
                <w:bCs/>
                <w:sz w:val="20"/>
                <w:szCs w:val="20"/>
              </w:rPr>
            </w:pPr>
            <w:r w:rsidRPr="002B2A8B">
              <w:rPr>
                <w:rFonts w:ascii="Helvetica" w:hAnsi="Helvetica" w:cs="Helvetica"/>
                <w:b/>
                <w:bCs/>
                <w:sz w:val="20"/>
                <w:szCs w:val="20"/>
              </w:rPr>
              <w:lastRenderedPageBreak/>
              <w:t>Intervention</w:t>
            </w:r>
          </w:p>
          <w:p w14:paraId="650E461E"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Web-group receiving disease specific education and self-treatment via http://www.constant-care.dk</w:t>
            </w:r>
          </w:p>
          <w:p w14:paraId="6FA4C7A2" w14:textId="77777777" w:rsidR="001A7EDE" w:rsidRPr="002B2A8B" w:rsidRDefault="001A7EDE" w:rsidP="00873D02">
            <w:pPr>
              <w:rPr>
                <w:rFonts w:ascii="Helvetica" w:hAnsi="Helvetica" w:cs="Helvetica"/>
                <w:b/>
                <w:bCs/>
                <w:sz w:val="20"/>
                <w:szCs w:val="20"/>
              </w:rPr>
            </w:pPr>
          </w:p>
          <w:p w14:paraId="1F8B90C8"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All patients/relatives received educational training: 1.5h disease specific + 1.5h training on using website – aim was for patients to recognize relapse and start treatment guided by e-health program.</w:t>
            </w:r>
          </w:p>
          <w:p w14:paraId="483E171B" w14:textId="77777777" w:rsidR="001A7EDE" w:rsidRPr="002B2A8B" w:rsidRDefault="001A7EDE" w:rsidP="00873D02">
            <w:pPr>
              <w:rPr>
                <w:rFonts w:ascii="Helvetica" w:hAnsi="Helvetica" w:cs="Helvetica"/>
                <w:sz w:val="20"/>
                <w:szCs w:val="20"/>
              </w:rPr>
            </w:pPr>
          </w:p>
          <w:p w14:paraId="22CFB14C" w14:textId="63D6F75C" w:rsidR="001A7EDE" w:rsidRDefault="001A7EDE" w:rsidP="00873D02">
            <w:pPr>
              <w:rPr>
                <w:rFonts w:ascii="Helvetica" w:hAnsi="Helvetica" w:cs="Helvetica"/>
                <w:sz w:val="20"/>
                <w:szCs w:val="20"/>
              </w:rPr>
            </w:pPr>
            <w:r w:rsidRPr="002B2A8B">
              <w:rPr>
                <w:rFonts w:ascii="Helvetica" w:hAnsi="Helvetica" w:cs="Helvetica"/>
                <w:sz w:val="20"/>
                <w:szCs w:val="20"/>
              </w:rPr>
              <w:t xml:space="preserve">If there was a </w:t>
            </w:r>
            <w:r>
              <w:rPr>
                <w:rFonts w:ascii="Helvetica" w:hAnsi="Helvetica" w:cs="Helvetica"/>
                <w:sz w:val="20"/>
                <w:szCs w:val="20"/>
              </w:rPr>
              <w:t>relapse</w:t>
            </w:r>
            <w:r w:rsidRPr="002B2A8B">
              <w:rPr>
                <w:rFonts w:ascii="Helvetica" w:hAnsi="Helvetica" w:cs="Helvetica"/>
                <w:sz w:val="20"/>
                <w:szCs w:val="20"/>
              </w:rPr>
              <w:t xml:space="preserve">, patients completed SCCAI daily until they entered “green zone”, then they would complete SCCAI once a week for 4 weeks. S-IBDQ at the beginning and end </w:t>
            </w:r>
            <w:r w:rsidRPr="002B2A8B">
              <w:rPr>
                <w:rFonts w:ascii="Helvetica" w:hAnsi="Helvetica" w:cs="Helvetica"/>
                <w:sz w:val="20"/>
                <w:szCs w:val="20"/>
              </w:rPr>
              <w:lastRenderedPageBreak/>
              <w:t>of each episode of relapse. 4 gram of 5-ASA daily for 28 days (could extend 28 more days) for acute flare. Additional treatment with topical 5-ASA and/or prednisolone based on patient’s experience.</w:t>
            </w:r>
          </w:p>
          <w:p w14:paraId="48DC6754" w14:textId="77777777" w:rsidR="00A456C8" w:rsidRPr="00A456C8" w:rsidRDefault="00A456C8" w:rsidP="00873D02">
            <w:pPr>
              <w:rPr>
                <w:rFonts w:ascii="Helvetica" w:hAnsi="Helvetica" w:cs="Helvetica"/>
                <w:sz w:val="20"/>
                <w:szCs w:val="20"/>
              </w:rPr>
            </w:pPr>
          </w:p>
          <w:p w14:paraId="14D16ECE" w14:textId="77777777" w:rsidR="001A7EDE" w:rsidRPr="002B2A8B" w:rsidRDefault="001A7EDE" w:rsidP="00873D02">
            <w:pPr>
              <w:rPr>
                <w:rFonts w:ascii="Helvetica" w:hAnsi="Helvetica" w:cs="Helvetica"/>
                <w:b/>
                <w:bCs/>
                <w:sz w:val="20"/>
                <w:szCs w:val="20"/>
              </w:rPr>
            </w:pPr>
            <w:r w:rsidRPr="002B2A8B">
              <w:rPr>
                <w:rFonts w:ascii="Helvetica" w:hAnsi="Helvetica" w:cs="Helvetica"/>
                <w:b/>
                <w:bCs/>
                <w:sz w:val="20"/>
                <w:szCs w:val="20"/>
              </w:rPr>
              <w:t>Control</w:t>
            </w:r>
          </w:p>
          <w:p w14:paraId="41947F2C" w14:textId="635B7541" w:rsidR="001A7EDE" w:rsidRDefault="001A7EDE" w:rsidP="00873D02">
            <w:pPr>
              <w:rPr>
                <w:rFonts w:ascii="Helvetica" w:hAnsi="Helvetica" w:cs="Helvetica"/>
                <w:sz w:val="20"/>
                <w:szCs w:val="20"/>
              </w:rPr>
            </w:pPr>
            <w:r w:rsidRPr="002B2A8B">
              <w:rPr>
                <w:rFonts w:ascii="Helvetica" w:hAnsi="Helvetica" w:cs="Helvetica"/>
                <w:sz w:val="20"/>
                <w:szCs w:val="20"/>
              </w:rPr>
              <w:t>Routine appointments and the possibility to advance appointments if patients experienced symptoms of relapse. If patient’s had a relapse, they would send a paper form of SCCAI and s-IBDQ.</w:t>
            </w:r>
          </w:p>
          <w:p w14:paraId="46AE2ABD" w14:textId="22AA6343" w:rsidR="00000264" w:rsidRDefault="00000264" w:rsidP="00873D02">
            <w:pPr>
              <w:rPr>
                <w:rFonts w:ascii="Helvetica" w:hAnsi="Helvetica" w:cs="Helvetica"/>
                <w:sz w:val="20"/>
                <w:szCs w:val="20"/>
              </w:rPr>
            </w:pPr>
          </w:p>
          <w:p w14:paraId="64BD3A04" w14:textId="77777777" w:rsidR="00000264" w:rsidRDefault="00000264" w:rsidP="00000264">
            <w:pPr>
              <w:rPr>
                <w:rFonts w:ascii="Helvetica" w:hAnsi="Helvetica" w:cs="Helvetica"/>
                <w:sz w:val="20"/>
                <w:szCs w:val="20"/>
              </w:rPr>
            </w:pPr>
            <w:r>
              <w:rPr>
                <w:rFonts w:ascii="Helvetica" w:hAnsi="Helvetica" w:cs="Helvetica"/>
                <w:sz w:val="20"/>
                <w:szCs w:val="20"/>
              </w:rPr>
              <w:t xml:space="preserve">All randomized patients (including control) had visits at baseline, 6 and 12 months where SCCAI, s-IBDQ, CCKNOW, SF-36/SF-12, HADS, and CQ were filled each time. Satisfaction questionnaire (SQ) was filled at 12 mo. </w:t>
            </w:r>
          </w:p>
          <w:p w14:paraId="4A67A36A" w14:textId="77777777" w:rsidR="00000264" w:rsidRDefault="00000264" w:rsidP="00000264">
            <w:pPr>
              <w:rPr>
                <w:rFonts w:ascii="Helvetica" w:hAnsi="Helvetica" w:cs="Helvetica"/>
                <w:sz w:val="20"/>
                <w:szCs w:val="20"/>
              </w:rPr>
            </w:pPr>
          </w:p>
          <w:p w14:paraId="7DAEC991" w14:textId="04F4EBEF" w:rsidR="00000264" w:rsidRPr="002B2A8B" w:rsidRDefault="00000264" w:rsidP="00000264">
            <w:pPr>
              <w:rPr>
                <w:rFonts w:ascii="Helvetica" w:hAnsi="Helvetica" w:cs="Helvetica"/>
                <w:sz w:val="20"/>
                <w:szCs w:val="20"/>
              </w:rPr>
            </w:pPr>
            <w:r>
              <w:rPr>
                <w:rFonts w:ascii="Helvetica" w:hAnsi="Helvetica" w:cs="Helvetica"/>
                <w:sz w:val="20"/>
                <w:szCs w:val="20"/>
              </w:rPr>
              <w:t>Data analyzed as intention to treat</w:t>
            </w:r>
          </w:p>
          <w:p w14:paraId="78DF8682" w14:textId="77777777" w:rsidR="001A7EDE" w:rsidRPr="002B2A8B" w:rsidRDefault="001A7EDE" w:rsidP="00873D02">
            <w:pPr>
              <w:rPr>
                <w:rFonts w:ascii="Helvetica" w:hAnsi="Helvetica" w:cs="Helvetica"/>
                <w:sz w:val="20"/>
                <w:szCs w:val="20"/>
              </w:rPr>
            </w:pPr>
          </w:p>
        </w:tc>
      </w:tr>
      <w:tr w:rsidR="001A7EDE" w:rsidRPr="002B2A8B" w14:paraId="4B281801" w14:textId="77777777" w:rsidTr="00B57657">
        <w:trPr>
          <w:trHeight w:val="226"/>
        </w:trPr>
        <w:tc>
          <w:tcPr>
            <w:tcW w:w="1080" w:type="dxa"/>
          </w:tcPr>
          <w:p w14:paraId="30242C80" w14:textId="77777777" w:rsidR="001A7EDE" w:rsidRPr="002B2A8B" w:rsidRDefault="001A7EDE" w:rsidP="00873D02">
            <w:pPr>
              <w:rPr>
                <w:rFonts w:ascii="Helvetica" w:hAnsi="Helvetica" w:cs="Helvetica"/>
                <w:sz w:val="20"/>
                <w:szCs w:val="20"/>
              </w:rPr>
            </w:pPr>
            <w:r>
              <w:rPr>
                <w:rFonts w:ascii="Helvetica" w:hAnsi="Helvetica" w:cs="Helvetica"/>
                <w:sz w:val="20"/>
                <w:szCs w:val="20"/>
              </w:rPr>
              <w:lastRenderedPageBreak/>
              <w:t>5</w:t>
            </w:r>
          </w:p>
        </w:tc>
        <w:tc>
          <w:tcPr>
            <w:tcW w:w="1710" w:type="dxa"/>
          </w:tcPr>
          <w:p w14:paraId="76CC04DC" w14:textId="77777777" w:rsidR="001A7EDE" w:rsidRPr="002B2A8B" w:rsidRDefault="001A7EDE" w:rsidP="00873D02">
            <w:pPr>
              <w:rPr>
                <w:rFonts w:ascii="Helvetica" w:hAnsi="Helvetica" w:cs="Helvetica"/>
                <w:sz w:val="20"/>
                <w:szCs w:val="20"/>
              </w:rPr>
            </w:pPr>
            <w:proofErr w:type="spellStart"/>
            <w:r w:rsidRPr="002B2A8B">
              <w:rPr>
                <w:rFonts w:ascii="Helvetica" w:hAnsi="Helvetica" w:cs="Helvetica"/>
                <w:sz w:val="20"/>
                <w:szCs w:val="20"/>
              </w:rPr>
              <w:t>Krier</w:t>
            </w:r>
            <w:proofErr w:type="spellEnd"/>
            <w:r w:rsidRPr="002B2A8B">
              <w:rPr>
                <w:rFonts w:ascii="Helvetica" w:hAnsi="Helvetica" w:cs="Helvetica"/>
                <w:sz w:val="20"/>
                <w:szCs w:val="20"/>
              </w:rPr>
              <w:t xml:space="preserve"> M, 2011</w:t>
            </w:r>
          </w:p>
        </w:tc>
        <w:tc>
          <w:tcPr>
            <w:tcW w:w="5490" w:type="dxa"/>
          </w:tcPr>
          <w:p w14:paraId="29E11AED" w14:textId="319EA147" w:rsidR="001A7EDE" w:rsidRPr="002B2A8B" w:rsidRDefault="001A7EDE" w:rsidP="00873D02">
            <w:pPr>
              <w:rPr>
                <w:rFonts w:ascii="Helvetica" w:hAnsi="Helvetica" w:cs="Helvetica"/>
                <w:sz w:val="20"/>
                <w:szCs w:val="20"/>
              </w:rPr>
            </w:pPr>
            <w:r w:rsidRPr="002B2A8B">
              <w:rPr>
                <w:rFonts w:ascii="Helvetica" w:hAnsi="Helvetica" w:cs="Helvetica"/>
                <w:b/>
                <w:bCs/>
                <w:sz w:val="20"/>
                <w:szCs w:val="20"/>
              </w:rPr>
              <w:t xml:space="preserve">Primary outcomes: </w:t>
            </w:r>
            <w:r w:rsidRPr="002B2A8B">
              <w:rPr>
                <w:rFonts w:ascii="Helvetica" w:hAnsi="Helvetica" w:cs="Helvetica"/>
                <w:sz w:val="20"/>
                <w:szCs w:val="20"/>
              </w:rPr>
              <w:t xml:space="preserve">Measurement of clinical experience (Ware Specific Visit Questionnaire; 14-item questionnaire on doctor-patient interactions; based on 5 point scale), patient’s overall satisfaction on quality of audio and visual presentation in the </w:t>
            </w:r>
            <w:r w:rsidR="00033C54">
              <w:rPr>
                <w:rFonts w:ascii="Helvetica" w:hAnsi="Helvetica" w:cs="Helvetica"/>
                <w:sz w:val="20"/>
                <w:szCs w:val="20"/>
              </w:rPr>
              <w:t>telemedicine</w:t>
            </w:r>
            <w:r w:rsidRPr="002B2A8B">
              <w:rPr>
                <w:rFonts w:ascii="Helvetica" w:hAnsi="Helvetica" w:cs="Helvetica"/>
                <w:sz w:val="20"/>
                <w:szCs w:val="20"/>
              </w:rPr>
              <w:t xml:space="preserve"> group</w:t>
            </w:r>
          </w:p>
          <w:p w14:paraId="3BD2CCA4" w14:textId="77777777" w:rsidR="001A7EDE" w:rsidRPr="002B2A8B" w:rsidRDefault="001A7EDE" w:rsidP="00873D02">
            <w:pPr>
              <w:rPr>
                <w:rFonts w:ascii="Helvetica" w:hAnsi="Helvetica" w:cs="Helvetica"/>
                <w:sz w:val="20"/>
                <w:szCs w:val="20"/>
              </w:rPr>
            </w:pPr>
          </w:p>
          <w:p w14:paraId="2101818D" w14:textId="5F09EE24" w:rsidR="001A7EDE" w:rsidRPr="002B2A8B" w:rsidRDefault="001A7EDE" w:rsidP="00873D02">
            <w:pPr>
              <w:rPr>
                <w:rFonts w:ascii="Helvetica" w:hAnsi="Helvetica" w:cs="Helvetica"/>
                <w:sz w:val="20"/>
                <w:szCs w:val="20"/>
              </w:rPr>
            </w:pPr>
            <w:r w:rsidRPr="002B2A8B">
              <w:rPr>
                <w:rFonts w:ascii="Helvetica" w:hAnsi="Helvetica" w:cs="Helvetica"/>
                <w:b/>
                <w:bCs/>
                <w:sz w:val="20"/>
                <w:szCs w:val="20"/>
              </w:rPr>
              <w:t xml:space="preserve">Secondary outcomes: </w:t>
            </w:r>
            <w:r w:rsidRPr="002B2A8B">
              <w:rPr>
                <w:rFonts w:ascii="Helvetica" w:hAnsi="Helvetica" w:cs="Helvetica"/>
                <w:sz w:val="20"/>
                <w:szCs w:val="20"/>
              </w:rPr>
              <w:t xml:space="preserve">duration of appointment visit, wait time, number of patients seen per clinic day, trainee and physician satisfaction using </w:t>
            </w:r>
            <w:r w:rsidR="00033C54">
              <w:rPr>
                <w:rFonts w:ascii="Helvetica" w:hAnsi="Helvetica" w:cs="Helvetica"/>
                <w:sz w:val="20"/>
                <w:szCs w:val="20"/>
              </w:rPr>
              <w:t>telemedicine</w:t>
            </w:r>
            <w:r w:rsidRPr="002B2A8B">
              <w:rPr>
                <w:rFonts w:ascii="Helvetica" w:hAnsi="Helvetica" w:cs="Helvetica"/>
                <w:sz w:val="20"/>
                <w:szCs w:val="20"/>
              </w:rPr>
              <w:t xml:space="preserve"> system, utilization of the network to gain insight into bandwidth requirements need for use</w:t>
            </w:r>
          </w:p>
          <w:p w14:paraId="51D3CD1F" w14:textId="77777777" w:rsidR="001A7EDE" w:rsidRPr="002B2A8B" w:rsidRDefault="001A7EDE" w:rsidP="00873D02">
            <w:pPr>
              <w:rPr>
                <w:rFonts w:ascii="Helvetica" w:hAnsi="Helvetica" w:cs="Helvetica"/>
                <w:b/>
                <w:bCs/>
                <w:sz w:val="20"/>
                <w:szCs w:val="20"/>
              </w:rPr>
            </w:pPr>
          </w:p>
        </w:tc>
        <w:tc>
          <w:tcPr>
            <w:tcW w:w="5670" w:type="dxa"/>
          </w:tcPr>
          <w:p w14:paraId="4571025E" w14:textId="77777777" w:rsidR="001A7EDE" w:rsidRPr="002B2A8B" w:rsidRDefault="001A7EDE" w:rsidP="00873D02">
            <w:pPr>
              <w:rPr>
                <w:rFonts w:ascii="Helvetica" w:hAnsi="Helvetica" w:cs="Helvetica"/>
                <w:b/>
                <w:bCs/>
                <w:sz w:val="20"/>
                <w:szCs w:val="20"/>
              </w:rPr>
            </w:pPr>
            <w:r w:rsidRPr="002B2A8B">
              <w:rPr>
                <w:rFonts w:ascii="Helvetica" w:hAnsi="Helvetica" w:cs="Helvetica"/>
                <w:b/>
                <w:bCs/>
                <w:sz w:val="20"/>
                <w:szCs w:val="20"/>
              </w:rPr>
              <w:t>Intervention</w:t>
            </w:r>
          </w:p>
          <w:p w14:paraId="1B749D67"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 xml:space="preserve">GI fellow at VA Palo Alto obtained evaluated the patient and presented the case to an attending using the Collaborative Imaging system and had real-time or offline consultation with local/remote radiologist, interventional endoscopist, surgeon, and/or pathologist. The GI fellow then returned to the patient-room for a real time Telemedicine Encounter session which included the fellow, patient and remotely located attending. </w:t>
            </w:r>
          </w:p>
          <w:p w14:paraId="63C7364F" w14:textId="77777777" w:rsidR="001A7EDE" w:rsidRPr="002B2A8B" w:rsidRDefault="001A7EDE" w:rsidP="00873D02">
            <w:pPr>
              <w:rPr>
                <w:rFonts w:ascii="Helvetica" w:hAnsi="Helvetica" w:cs="Helvetica"/>
                <w:b/>
                <w:bCs/>
                <w:sz w:val="20"/>
                <w:szCs w:val="20"/>
              </w:rPr>
            </w:pPr>
          </w:p>
          <w:p w14:paraId="6C7B4FE2"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Telemedicine encounter with IBD specialist remotely located.</w:t>
            </w:r>
          </w:p>
          <w:p w14:paraId="51B4937A" w14:textId="77777777" w:rsidR="001A7EDE" w:rsidRPr="002B2A8B" w:rsidRDefault="001A7EDE" w:rsidP="00873D02">
            <w:pPr>
              <w:rPr>
                <w:rFonts w:ascii="Helvetica" w:hAnsi="Helvetica" w:cs="Helvetica"/>
                <w:b/>
                <w:bCs/>
                <w:sz w:val="20"/>
                <w:szCs w:val="20"/>
              </w:rPr>
            </w:pPr>
          </w:p>
          <w:p w14:paraId="178A8B43" w14:textId="77777777" w:rsidR="001A7EDE" w:rsidRPr="002B2A8B" w:rsidRDefault="001A7EDE" w:rsidP="00873D02">
            <w:pPr>
              <w:rPr>
                <w:rFonts w:ascii="Helvetica" w:hAnsi="Helvetica" w:cs="Helvetica"/>
                <w:b/>
                <w:bCs/>
                <w:sz w:val="20"/>
                <w:szCs w:val="20"/>
              </w:rPr>
            </w:pPr>
            <w:r w:rsidRPr="002B2A8B">
              <w:rPr>
                <w:rFonts w:ascii="Helvetica" w:hAnsi="Helvetica" w:cs="Helvetica"/>
                <w:b/>
                <w:bCs/>
                <w:sz w:val="20"/>
                <w:szCs w:val="20"/>
              </w:rPr>
              <w:t>Control</w:t>
            </w:r>
          </w:p>
          <w:p w14:paraId="390D37F2"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Standard encounter with fellow and attending in the clinic</w:t>
            </w:r>
          </w:p>
        </w:tc>
      </w:tr>
      <w:tr w:rsidR="001A7EDE" w:rsidRPr="002B2A8B" w14:paraId="18E9E3F3" w14:textId="77777777" w:rsidTr="00B57657">
        <w:trPr>
          <w:trHeight w:val="226"/>
        </w:trPr>
        <w:tc>
          <w:tcPr>
            <w:tcW w:w="1080" w:type="dxa"/>
          </w:tcPr>
          <w:p w14:paraId="5C2DB714" w14:textId="77777777" w:rsidR="001A7EDE" w:rsidRPr="002B2A8B" w:rsidRDefault="001A7EDE" w:rsidP="00873D02">
            <w:pPr>
              <w:rPr>
                <w:rFonts w:ascii="Helvetica" w:hAnsi="Helvetica" w:cs="Helvetica"/>
                <w:sz w:val="20"/>
                <w:szCs w:val="20"/>
              </w:rPr>
            </w:pPr>
            <w:r>
              <w:rPr>
                <w:rFonts w:ascii="Helvetica" w:hAnsi="Helvetica" w:cs="Helvetica"/>
                <w:sz w:val="20"/>
                <w:szCs w:val="20"/>
              </w:rPr>
              <w:t>6</w:t>
            </w:r>
          </w:p>
        </w:tc>
        <w:tc>
          <w:tcPr>
            <w:tcW w:w="1710" w:type="dxa"/>
          </w:tcPr>
          <w:p w14:paraId="60D55680"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Linn AJ, 2018</w:t>
            </w:r>
          </w:p>
        </w:tc>
        <w:tc>
          <w:tcPr>
            <w:tcW w:w="5490" w:type="dxa"/>
          </w:tcPr>
          <w:p w14:paraId="3032455D" w14:textId="77777777" w:rsidR="001A7EDE" w:rsidRPr="002B2A8B" w:rsidRDefault="001A7EDE" w:rsidP="00873D02">
            <w:pPr>
              <w:rPr>
                <w:rFonts w:ascii="Helvetica" w:hAnsi="Helvetica" w:cs="Helvetica"/>
                <w:sz w:val="20"/>
                <w:szCs w:val="20"/>
              </w:rPr>
            </w:pPr>
            <w:r w:rsidRPr="002B2A8B">
              <w:rPr>
                <w:rFonts w:ascii="Helvetica" w:hAnsi="Helvetica" w:cs="Helvetica"/>
                <w:b/>
                <w:bCs/>
                <w:sz w:val="20"/>
                <w:szCs w:val="20"/>
              </w:rPr>
              <w:t xml:space="preserve">Patient satisfaction: </w:t>
            </w:r>
            <w:r w:rsidRPr="002B2A8B">
              <w:rPr>
                <w:rFonts w:ascii="Helvetica" w:hAnsi="Helvetica" w:cs="Helvetica"/>
                <w:sz w:val="20"/>
                <w:szCs w:val="20"/>
              </w:rPr>
              <w:t>29-item questionnaire with three scales.</w:t>
            </w:r>
          </w:p>
          <w:p w14:paraId="139BBFF4" w14:textId="77777777" w:rsidR="001A7EDE" w:rsidRPr="002B2A8B" w:rsidRDefault="001A7EDE" w:rsidP="00873D02">
            <w:pPr>
              <w:rPr>
                <w:rFonts w:ascii="Helvetica" w:hAnsi="Helvetica" w:cs="Helvetica"/>
                <w:sz w:val="20"/>
                <w:szCs w:val="20"/>
              </w:rPr>
            </w:pPr>
          </w:p>
          <w:p w14:paraId="591FABD6" w14:textId="77777777" w:rsidR="001A7EDE" w:rsidRPr="002B2A8B" w:rsidRDefault="001A7EDE" w:rsidP="00873D02">
            <w:pPr>
              <w:rPr>
                <w:rFonts w:ascii="Helvetica" w:hAnsi="Helvetica" w:cs="Helvetica"/>
                <w:sz w:val="20"/>
                <w:szCs w:val="20"/>
              </w:rPr>
            </w:pPr>
            <w:r w:rsidRPr="002B2A8B">
              <w:rPr>
                <w:rFonts w:ascii="Helvetica" w:hAnsi="Helvetica" w:cs="Helvetica"/>
                <w:b/>
                <w:bCs/>
                <w:sz w:val="20"/>
                <w:szCs w:val="20"/>
              </w:rPr>
              <w:t xml:space="preserve">Patients’ beliefs about medication: </w:t>
            </w:r>
            <w:r w:rsidRPr="002B2A8B">
              <w:rPr>
                <w:rFonts w:ascii="Helvetica" w:hAnsi="Helvetica" w:cs="Helvetica"/>
                <w:sz w:val="20"/>
                <w:szCs w:val="20"/>
              </w:rPr>
              <w:t>Beliefs about Medicines Questionnaire (BMQ-Specific). 10-item scale with regards to patients’ concerns about taking their medications.</w:t>
            </w:r>
          </w:p>
          <w:p w14:paraId="2F10136D" w14:textId="77777777" w:rsidR="001A7EDE" w:rsidRPr="002B2A8B" w:rsidRDefault="001A7EDE" w:rsidP="00873D02">
            <w:pPr>
              <w:rPr>
                <w:rFonts w:ascii="Helvetica" w:hAnsi="Helvetica" w:cs="Helvetica"/>
                <w:sz w:val="20"/>
                <w:szCs w:val="20"/>
              </w:rPr>
            </w:pPr>
          </w:p>
          <w:p w14:paraId="16C5F88B" w14:textId="77777777" w:rsidR="001A7EDE" w:rsidRPr="002B2A8B" w:rsidRDefault="001A7EDE" w:rsidP="00873D02">
            <w:pPr>
              <w:rPr>
                <w:rFonts w:ascii="Helvetica" w:hAnsi="Helvetica" w:cs="Helvetica"/>
                <w:b/>
                <w:bCs/>
                <w:sz w:val="20"/>
                <w:szCs w:val="20"/>
              </w:rPr>
            </w:pPr>
            <w:r w:rsidRPr="002B2A8B">
              <w:rPr>
                <w:rFonts w:ascii="Helvetica" w:hAnsi="Helvetica" w:cs="Helvetica"/>
                <w:b/>
                <w:bCs/>
                <w:sz w:val="20"/>
                <w:szCs w:val="20"/>
              </w:rPr>
              <w:t>Patients’ self-efficacy</w:t>
            </w:r>
          </w:p>
          <w:p w14:paraId="43DCABF6"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Medication Understanding and Use Self-Efficacy Scale (MUSE). Utilized to assess patients’ self-efficacy of understanding and taking medication.</w:t>
            </w:r>
          </w:p>
          <w:p w14:paraId="03BDD071" w14:textId="77777777" w:rsidR="001A7EDE" w:rsidRPr="002B2A8B" w:rsidRDefault="001A7EDE" w:rsidP="00873D02">
            <w:pPr>
              <w:rPr>
                <w:rFonts w:ascii="Helvetica" w:hAnsi="Helvetica" w:cs="Helvetica"/>
                <w:sz w:val="20"/>
                <w:szCs w:val="20"/>
              </w:rPr>
            </w:pPr>
          </w:p>
          <w:p w14:paraId="23F22AE3" w14:textId="77777777" w:rsidR="001A7EDE" w:rsidRPr="002B2A8B" w:rsidRDefault="001A7EDE" w:rsidP="00873D02">
            <w:pPr>
              <w:rPr>
                <w:rFonts w:ascii="Helvetica" w:hAnsi="Helvetica" w:cs="Helvetica"/>
                <w:b/>
                <w:bCs/>
                <w:sz w:val="20"/>
                <w:szCs w:val="20"/>
              </w:rPr>
            </w:pPr>
            <w:r w:rsidRPr="002B2A8B">
              <w:rPr>
                <w:rFonts w:ascii="Helvetica" w:hAnsi="Helvetica" w:cs="Helvetica"/>
                <w:b/>
                <w:bCs/>
                <w:sz w:val="20"/>
                <w:szCs w:val="20"/>
              </w:rPr>
              <w:t>Medication adherence</w:t>
            </w:r>
          </w:p>
          <w:p w14:paraId="1C6403E9"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5-item Medication Adherence Report Scale (MARS)</w:t>
            </w:r>
          </w:p>
          <w:p w14:paraId="43F6B306" w14:textId="77777777" w:rsidR="001A7EDE" w:rsidRPr="002B2A8B" w:rsidRDefault="001A7EDE" w:rsidP="00873D02">
            <w:pPr>
              <w:rPr>
                <w:rFonts w:ascii="Helvetica" w:hAnsi="Helvetica" w:cs="Helvetica"/>
                <w:sz w:val="20"/>
                <w:szCs w:val="20"/>
              </w:rPr>
            </w:pPr>
          </w:p>
        </w:tc>
        <w:tc>
          <w:tcPr>
            <w:tcW w:w="5670" w:type="dxa"/>
          </w:tcPr>
          <w:p w14:paraId="6A3EBB8D" w14:textId="77777777" w:rsidR="001A7EDE" w:rsidRPr="002B2A8B" w:rsidRDefault="001A7EDE" w:rsidP="00873D02">
            <w:pPr>
              <w:rPr>
                <w:rFonts w:ascii="Helvetica" w:hAnsi="Helvetica" w:cs="Helvetica"/>
                <w:b/>
                <w:bCs/>
                <w:sz w:val="20"/>
                <w:szCs w:val="20"/>
              </w:rPr>
            </w:pPr>
            <w:r w:rsidRPr="002B2A8B">
              <w:rPr>
                <w:rFonts w:ascii="Helvetica" w:hAnsi="Helvetica" w:cs="Helvetica"/>
                <w:b/>
                <w:bCs/>
                <w:sz w:val="20"/>
                <w:szCs w:val="20"/>
              </w:rPr>
              <w:lastRenderedPageBreak/>
              <w:t>Intervention</w:t>
            </w:r>
          </w:p>
          <w:p w14:paraId="03AE1047" w14:textId="200F5D0C" w:rsidR="001A7EDE" w:rsidRPr="002B2A8B" w:rsidRDefault="001A7EDE" w:rsidP="00873D02">
            <w:pPr>
              <w:rPr>
                <w:rFonts w:ascii="Helvetica" w:hAnsi="Helvetica" w:cs="Helvetica"/>
                <w:sz w:val="20"/>
                <w:szCs w:val="20"/>
              </w:rPr>
            </w:pPr>
            <w:r w:rsidRPr="002B2A8B">
              <w:rPr>
                <w:rFonts w:ascii="Helvetica" w:hAnsi="Helvetica" w:cs="Helvetica"/>
                <w:sz w:val="20"/>
                <w:szCs w:val="20"/>
              </w:rPr>
              <w:t>Tailored Multimedia Intervention (TMI) to improve medication adherence. Performed by IBD nurses.</w:t>
            </w:r>
            <w:r>
              <w:rPr>
                <w:rFonts w:ascii="Helvetica" w:hAnsi="Helvetica" w:cs="Helvetica"/>
                <w:sz w:val="20"/>
                <w:szCs w:val="20"/>
              </w:rPr>
              <w:t xml:space="preserve"> TMI consisted of an Online Preparatory Assessment (OPA) for nurses and patients, communication skills training for nurses, and personalized text messages for patients. </w:t>
            </w:r>
            <w:r w:rsidR="000F737A">
              <w:rPr>
                <w:rFonts w:ascii="Helvetica" w:hAnsi="Helvetica" w:cs="Helvetica"/>
                <w:sz w:val="20"/>
                <w:szCs w:val="20"/>
              </w:rPr>
              <w:t xml:space="preserve">The intervention group was a combination of </w:t>
            </w:r>
            <w:r w:rsidR="007079CD">
              <w:rPr>
                <w:rFonts w:ascii="Helvetica" w:hAnsi="Helvetica" w:cs="Helvetica"/>
                <w:sz w:val="20"/>
                <w:szCs w:val="20"/>
              </w:rPr>
              <w:t>technology and counseling.</w:t>
            </w:r>
          </w:p>
          <w:p w14:paraId="47B33787" w14:textId="77777777" w:rsidR="001A7EDE" w:rsidRPr="002B2A8B" w:rsidRDefault="001A7EDE" w:rsidP="00873D02">
            <w:pPr>
              <w:rPr>
                <w:rFonts w:ascii="Helvetica" w:hAnsi="Helvetica" w:cs="Helvetica"/>
                <w:sz w:val="20"/>
                <w:szCs w:val="20"/>
              </w:rPr>
            </w:pPr>
          </w:p>
          <w:p w14:paraId="416617AD" w14:textId="77777777" w:rsidR="001A7EDE" w:rsidRPr="002B2A8B" w:rsidRDefault="001A7EDE" w:rsidP="00873D02">
            <w:pPr>
              <w:rPr>
                <w:rFonts w:ascii="Helvetica" w:hAnsi="Helvetica" w:cs="Helvetica"/>
                <w:b/>
                <w:bCs/>
                <w:sz w:val="20"/>
                <w:szCs w:val="20"/>
              </w:rPr>
            </w:pPr>
            <w:r w:rsidRPr="002B2A8B">
              <w:rPr>
                <w:rFonts w:ascii="Helvetica" w:hAnsi="Helvetica" w:cs="Helvetica"/>
                <w:b/>
                <w:bCs/>
                <w:sz w:val="20"/>
                <w:szCs w:val="20"/>
              </w:rPr>
              <w:t>Control</w:t>
            </w:r>
          </w:p>
          <w:p w14:paraId="04A71554"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Received standard care – usual education.</w:t>
            </w:r>
          </w:p>
        </w:tc>
      </w:tr>
      <w:tr w:rsidR="001A7EDE" w:rsidRPr="002B2A8B" w14:paraId="642BE7A9" w14:textId="77777777" w:rsidTr="00B57657">
        <w:trPr>
          <w:trHeight w:val="226"/>
        </w:trPr>
        <w:tc>
          <w:tcPr>
            <w:tcW w:w="1080" w:type="dxa"/>
          </w:tcPr>
          <w:p w14:paraId="5FDAB01A" w14:textId="77777777" w:rsidR="001A7EDE" w:rsidRPr="002B2A8B" w:rsidRDefault="001A7EDE" w:rsidP="00873D02">
            <w:pPr>
              <w:rPr>
                <w:rFonts w:ascii="Helvetica" w:hAnsi="Helvetica" w:cs="Helvetica"/>
                <w:sz w:val="20"/>
                <w:szCs w:val="20"/>
              </w:rPr>
            </w:pPr>
            <w:r>
              <w:rPr>
                <w:rFonts w:ascii="Helvetica" w:hAnsi="Helvetica" w:cs="Helvetica"/>
                <w:sz w:val="20"/>
                <w:szCs w:val="20"/>
              </w:rPr>
              <w:lastRenderedPageBreak/>
              <w:t>7</w:t>
            </w:r>
          </w:p>
        </w:tc>
        <w:tc>
          <w:tcPr>
            <w:tcW w:w="1710" w:type="dxa"/>
          </w:tcPr>
          <w:p w14:paraId="63A2B294" w14:textId="77777777" w:rsidR="001A7EDE" w:rsidRPr="002B2A8B" w:rsidRDefault="001A7EDE" w:rsidP="00873D02">
            <w:pPr>
              <w:rPr>
                <w:rFonts w:ascii="Helvetica" w:hAnsi="Helvetica" w:cs="Helvetica"/>
                <w:sz w:val="20"/>
                <w:szCs w:val="20"/>
              </w:rPr>
            </w:pPr>
            <w:proofErr w:type="spellStart"/>
            <w:r w:rsidRPr="002B2A8B">
              <w:rPr>
                <w:rFonts w:ascii="Helvetica" w:hAnsi="Helvetica" w:cs="Helvetica"/>
                <w:sz w:val="20"/>
                <w:szCs w:val="20"/>
              </w:rPr>
              <w:t>Akobeng</w:t>
            </w:r>
            <w:proofErr w:type="spellEnd"/>
            <w:r w:rsidRPr="002B2A8B">
              <w:rPr>
                <w:rFonts w:ascii="Helvetica" w:hAnsi="Helvetica" w:cs="Helvetica"/>
                <w:sz w:val="20"/>
                <w:szCs w:val="20"/>
              </w:rPr>
              <w:t xml:space="preserve"> AK, 2015</w:t>
            </w:r>
          </w:p>
        </w:tc>
        <w:tc>
          <w:tcPr>
            <w:tcW w:w="5490" w:type="dxa"/>
          </w:tcPr>
          <w:p w14:paraId="60B058E9" w14:textId="77777777" w:rsidR="001A7EDE" w:rsidRPr="002B2A8B" w:rsidRDefault="001A7EDE" w:rsidP="00873D02">
            <w:pPr>
              <w:rPr>
                <w:rFonts w:ascii="Helvetica" w:hAnsi="Helvetica" w:cs="Helvetica"/>
                <w:sz w:val="20"/>
                <w:szCs w:val="20"/>
              </w:rPr>
            </w:pPr>
            <w:r w:rsidRPr="002B2A8B">
              <w:rPr>
                <w:rFonts w:ascii="Helvetica" w:hAnsi="Helvetica" w:cs="Helvetica"/>
                <w:b/>
                <w:bCs/>
                <w:sz w:val="20"/>
                <w:szCs w:val="20"/>
              </w:rPr>
              <w:t xml:space="preserve">Primary outcome - </w:t>
            </w:r>
          </w:p>
          <w:p w14:paraId="684FDF8C" w14:textId="77777777" w:rsidR="001A7EDE" w:rsidRPr="002B2A8B" w:rsidRDefault="001A7EDE" w:rsidP="00873D02">
            <w:pPr>
              <w:rPr>
                <w:rFonts w:ascii="Helvetica" w:hAnsi="Helvetica" w:cs="Helvetica"/>
                <w:b/>
                <w:bCs/>
                <w:sz w:val="20"/>
                <w:szCs w:val="20"/>
              </w:rPr>
            </w:pPr>
            <w:r w:rsidRPr="002B2A8B">
              <w:rPr>
                <w:rFonts w:ascii="Helvetica" w:hAnsi="Helvetica" w:cs="Helvetica"/>
                <w:sz w:val="20"/>
                <w:szCs w:val="20"/>
              </w:rPr>
              <w:t>Pediatric IBD-specific IMPACT quality of life (QOL)</w:t>
            </w:r>
            <w:r w:rsidRPr="002B2A8B">
              <w:rPr>
                <w:rFonts w:ascii="Helvetica" w:hAnsi="Helvetica" w:cs="Helvetica"/>
                <w:b/>
                <w:bCs/>
                <w:sz w:val="20"/>
                <w:szCs w:val="20"/>
              </w:rPr>
              <w:t xml:space="preserve"> </w:t>
            </w:r>
            <w:r w:rsidRPr="002B2A8B">
              <w:rPr>
                <w:rFonts w:ascii="Helvetica" w:hAnsi="Helvetica" w:cs="Helvetica"/>
                <w:sz w:val="20"/>
                <w:szCs w:val="20"/>
              </w:rPr>
              <w:t>at 12 months of follow-up</w:t>
            </w:r>
          </w:p>
          <w:p w14:paraId="5B3FF631" w14:textId="77777777" w:rsidR="001A7EDE" w:rsidRPr="002B2A8B" w:rsidRDefault="001A7EDE" w:rsidP="00873D02">
            <w:pPr>
              <w:rPr>
                <w:rFonts w:ascii="Helvetica" w:hAnsi="Helvetica" w:cs="Helvetica"/>
                <w:b/>
                <w:bCs/>
                <w:sz w:val="20"/>
                <w:szCs w:val="20"/>
              </w:rPr>
            </w:pPr>
          </w:p>
          <w:p w14:paraId="3FD4AB10" w14:textId="77777777" w:rsidR="001A7EDE" w:rsidRPr="002B2A8B" w:rsidRDefault="001A7EDE" w:rsidP="00873D02">
            <w:pPr>
              <w:rPr>
                <w:rFonts w:ascii="Helvetica" w:hAnsi="Helvetica" w:cs="Helvetica"/>
                <w:b/>
                <w:bCs/>
                <w:sz w:val="20"/>
                <w:szCs w:val="20"/>
              </w:rPr>
            </w:pPr>
            <w:r w:rsidRPr="002B2A8B">
              <w:rPr>
                <w:rFonts w:ascii="Helvetica" w:hAnsi="Helvetica" w:cs="Helvetica"/>
                <w:b/>
                <w:bCs/>
                <w:sz w:val="20"/>
                <w:szCs w:val="20"/>
              </w:rPr>
              <w:t xml:space="preserve">Secondary outcomes – </w:t>
            </w:r>
            <w:r w:rsidRPr="002B2A8B">
              <w:rPr>
                <w:rFonts w:ascii="Helvetica" w:hAnsi="Helvetica" w:cs="Helvetica"/>
                <w:sz w:val="20"/>
                <w:szCs w:val="20"/>
              </w:rPr>
              <w:t>patient and parent satisfaction with consultations using Consultation Satisfaction Questionnaire), number of disease relapses defined by abbreviated Pediatric Crohn’s Disease Activity Index (</w:t>
            </w:r>
            <w:proofErr w:type="spellStart"/>
            <w:r w:rsidRPr="002B2A8B">
              <w:rPr>
                <w:rFonts w:ascii="Helvetica" w:hAnsi="Helvetica" w:cs="Helvetica"/>
                <w:sz w:val="20"/>
                <w:szCs w:val="20"/>
              </w:rPr>
              <w:t>aPCDAI</w:t>
            </w:r>
            <w:proofErr w:type="spellEnd"/>
            <w:r w:rsidRPr="002B2A8B">
              <w:rPr>
                <w:rFonts w:ascii="Helvetica" w:hAnsi="Helvetica" w:cs="Helvetica"/>
                <w:sz w:val="20"/>
                <w:szCs w:val="20"/>
              </w:rPr>
              <w:t xml:space="preserve">; clinical remission defined as </w:t>
            </w:r>
            <w:r w:rsidRPr="002B2A8B">
              <w:rPr>
                <w:rFonts w:ascii="Helvetica" w:hAnsi="Helvetica" w:cs="Helvetica"/>
                <w:sz w:val="20"/>
                <w:szCs w:val="20"/>
                <w:u w:val="single"/>
              </w:rPr>
              <w:t>&lt;</w:t>
            </w:r>
            <w:r w:rsidRPr="002B2A8B">
              <w:rPr>
                <w:rFonts w:ascii="Helvetica" w:hAnsi="Helvetica" w:cs="Helvetica"/>
                <w:sz w:val="20"/>
                <w:szCs w:val="20"/>
              </w:rPr>
              <w:t>10) and Pediatric Ulcerative Colitis Activity Index (PUCAI; clinical remission defined as &lt;10)</w:t>
            </w:r>
            <w:r w:rsidRPr="002B2A8B">
              <w:rPr>
                <w:rFonts w:ascii="Helvetica" w:hAnsi="Helvetica" w:cs="Helvetica"/>
                <w:b/>
                <w:bCs/>
                <w:sz w:val="20"/>
                <w:szCs w:val="20"/>
              </w:rPr>
              <w:t>,</w:t>
            </w:r>
            <w:r w:rsidRPr="002B2A8B">
              <w:rPr>
                <w:rFonts w:ascii="Helvetica" w:hAnsi="Helvetica" w:cs="Helvetica"/>
                <w:sz w:val="20"/>
                <w:szCs w:val="20"/>
              </w:rPr>
              <w:t xml:space="preserve"> anthropometric measures, number of hospital admissions, proportion of consultations attended, duration of consultations, and costs to the UK National Health Service</w:t>
            </w:r>
          </w:p>
        </w:tc>
        <w:tc>
          <w:tcPr>
            <w:tcW w:w="5670" w:type="dxa"/>
          </w:tcPr>
          <w:p w14:paraId="70D2D403" w14:textId="77777777" w:rsidR="001A7EDE" w:rsidRPr="002B2A8B" w:rsidRDefault="001A7EDE" w:rsidP="00873D02">
            <w:pPr>
              <w:rPr>
                <w:rFonts w:ascii="Helvetica" w:hAnsi="Helvetica" w:cs="Helvetica"/>
                <w:sz w:val="20"/>
                <w:szCs w:val="20"/>
              </w:rPr>
            </w:pPr>
            <w:r w:rsidRPr="002B2A8B">
              <w:rPr>
                <w:rFonts w:ascii="Helvetica" w:hAnsi="Helvetica" w:cs="Helvetica"/>
                <w:b/>
                <w:bCs/>
                <w:sz w:val="20"/>
                <w:szCs w:val="20"/>
              </w:rPr>
              <w:t xml:space="preserve">Intervention – </w:t>
            </w:r>
            <w:r w:rsidRPr="002B2A8B">
              <w:rPr>
                <w:rFonts w:ascii="Helvetica" w:hAnsi="Helvetica" w:cs="Helvetica"/>
                <w:sz w:val="20"/>
                <w:szCs w:val="20"/>
              </w:rPr>
              <w:t>Gastroenterology doctor would contact the patient and parents via telephone number</w:t>
            </w:r>
            <w:r>
              <w:rPr>
                <w:rFonts w:ascii="Helvetica" w:hAnsi="Helvetica" w:cs="Helvetica"/>
                <w:sz w:val="20"/>
                <w:szCs w:val="20"/>
              </w:rPr>
              <w:t xml:space="preserve"> that the parents and patient would provide</w:t>
            </w:r>
          </w:p>
          <w:p w14:paraId="631C78A4" w14:textId="77777777" w:rsidR="001A7EDE" w:rsidRPr="002B2A8B" w:rsidRDefault="001A7EDE" w:rsidP="00873D02">
            <w:pPr>
              <w:rPr>
                <w:rFonts w:ascii="Helvetica" w:hAnsi="Helvetica" w:cs="Helvetica"/>
                <w:sz w:val="20"/>
                <w:szCs w:val="20"/>
              </w:rPr>
            </w:pPr>
          </w:p>
          <w:p w14:paraId="564D07AA" w14:textId="77777777" w:rsidR="001A7EDE" w:rsidRPr="002B2A8B" w:rsidRDefault="001A7EDE" w:rsidP="00873D02">
            <w:pPr>
              <w:rPr>
                <w:rFonts w:ascii="Helvetica" w:hAnsi="Helvetica" w:cs="Helvetica"/>
                <w:sz w:val="20"/>
                <w:szCs w:val="20"/>
              </w:rPr>
            </w:pPr>
            <w:r w:rsidRPr="002B2A8B">
              <w:rPr>
                <w:rFonts w:ascii="Helvetica" w:hAnsi="Helvetica" w:cs="Helvetica"/>
                <w:b/>
                <w:bCs/>
                <w:sz w:val="20"/>
                <w:szCs w:val="20"/>
              </w:rPr>
              <w:t xml:space="preserve">Control – </w:t>
            </w:r>
            <w:r w:rsidRPr="002B2A8B">
              <w:rPr>
                <w:rFonts w:ascii="Helvetica" w:hAnsi="Helvetica" w:cs="Helvetica"/>
                <w:sz w:val="20"/>
                <w:szCs w:val="20"/>
              </w:rPr>
              <w:t>routine face-to-face care</w:t>
            </w:r>
          </w:p>
        </w:tc>
      </w:tr>
      <w:tr w:rsidR="001A7EDE" w:rsidRPr="002B2A8B" w14:paraId="6ED1DAC5" w14:textId="77777777" w:rsidTr="00B57657">
        <w:trPr>
          <w:trHeight w:val="226"/>
        </w:trPr>
        <w:tc>
          <w:tcPr>
            <w:tcW w:w="1080" w:type="dxa"/>
          </w:tcPr>
          <w:p w14:paraId="0363359C" w14:textId="77777777" w:rsidR="001A7EDE" w:rsidRPr="002B2A8B" w:rsidRDefault="001A7EDE" w:rsidP="00873D02">
            <w:pPr>
              <w:rPr>
                <w:rFonts w:ascii="Helvetica" w:hAnsi="Helvetica" w:cs="Helvetica"/>
                <w:sz w:val="20"/>
                <w:szCs w:val="20"/>
              </w:rPr>
            </w:pPr>
            <w:r>
              <w:rPr>
                <w:rFonts w:ascii="Helvetica" w:hAnsi="Helvetica" w:cs="Helvetica"/>
                <w:sz w:val="20"/>
                <w:szCs w:val="20"/>
              </w:rPr>
              <w:t>8</w:t>
            </w:r>
          </w:p>
        </w:tc>
        <w:tc>
          <w:tcPr>
            <w:tcW w:w="1710" w:type="dxa"/>
          </w:tcPr>
          <w:p w14:paraId="100C54C7"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Carlsen K, 2017</w:t>
            </w:r>
            <w:r>
              <w:rPr>
                <w:rFonts w:ascii="Helvetica" w:hAnsi="Helvetica" w:cs="Helvetica"/>
                <w:sz w:val="20"/>
                <w:szCs w:val="20"/>
              </w:rPr>
              <w:t xml:space="preserve"> </w:t>
            </w:r>
          </w:p>
        </w:tc>
        <w:tc>
          <w:tcPr>
            <w:tcW w:w="5490" w:type="dxa"/>
          </w:tcPr>
          <w:p w14:paraId="1B148C65"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Patients were required to record data on their disease activity – Pediatric Ulcerative Colitis Activity Index (PUCAI) and the abbreviated Pediatric Crohn’s Disease Activity Index (</w:t>
            </w:r>
            <w:proofErr w:type="spellStart"/>
            <w:r w:rsidRPr="002B2A8B">
              <w:rPr>
                <w:rFonts w:ascii="Helvetica" w:hAnsi="Helvetica" w:cs="Helvetica"/>
                <w:sz w:val="20"/>
                <w:szCs w:val="20"/>
              </w:rPr>
              <w:t>abbrPCDAI</w:t>
            </w:r>
            <w:proofErr w:type="spellEnd"/>
            <w:r w:rsidRPr="002B2A8B">
              <w:rPr>
                <w:rFonts w:ascii="Helvetica" w:hAnsi="Helvetica" w:cs="Helvetica"/>
                <w:sz w:val="20"/>
                <w:szCs w:val="20"/>
              </w:rPr>
              <w:t xml:space="preserve">) – using the web program. </w:t>
            </w:r>
          </w:p>
          <w:p w14:paraId="7E5ABD41" w14:textId="77777777" w:rsidR="001A7EDE" w:rsidRPr="002B2A8B" w:rsidRDefault="001A7EDE" w:rsidP="00873D02">
            <w:pPr>
              <w:rPr>
                <w:rFonts w:ascii="Helvetica" w:hAnsi="Helvetica" w:cs="Helvetica"/>
                <w:sz w:val="20"/>
                <w:szCs w:val="20"/>
              </w:rPr>
            </w:pPr>
          </w:p>
          <w:p w14:paraId="7A1B5A26" w14:textId="77777777" w:rsidR="001A7EDE" w:rsidRPr="002B2A8B" w:rsidRDefault="001A7EDE" w:rsidP="00873D02">
            <w:pPr>
              <w:rPr>
                <w:rFonts w:ascii="Helvetica" w:hAnsi="Helvetica" w:cs="Helvetica"/>
                <w:sz w:val="20"/>
                <w:szCs w:val="20"/>
              </w:rPr>
            </w:pPr>
            <w:r w:rsidRPr="002B2A8B">
              <w:rPr>
                <w:rFonts w:ascii="Helvetica" w:hAnsi="Helvetica" w:cs="Helvetica"/>
                <w:b/>
                <w:bCs/>
                <w:sz w:val="20"/>
                <w:szCs w:val="20"/>
              </w:rPr>
              <w:t xml:space="preserve">Primary outcomes - </w:t>
            </w:r>
            <w:r w:rsidRPr="002B2A8B">
              <w:rPr>
                <w:rFonts w:ascii="Helvetica" w:hAnsi="Helvetica" w:cs="Helvetica"/>
                <w:sz w:val="20"/>
                <w:szCs w:val="20"/>
              </w:rPr>
              <w:t>Disease activity, contacts to the hospital, medical adherence (using medication adherence report scale – MARS).</w:t>
            </w:r>
          </w:p>
          <w:p w14:paraId="065E679B" w14:textId="77777777" w:rsidR="001A7EDE" w:rsidRPr="002B2A8B" w:rsidRDefault="001A7EDE" w:rsidP="00873D02">
            <w:pPr>
              <w:rPr>
                <w:rFonts w:ascii="Helvetica" w:hAnsi="Helvetica" w:cs="Helvetica"/>
                <w:sz w:val="20"/>
                <w:szCs w:val="20"/>
              </w:rPr>
            </w:pPr>
          </w:p>
          <w:p w14:paraId="6EB96C43" w14:textId="77777777" w:rsidR="001A7EDE" w:rsidRPr="002B2A8B" w:rsidRDefault="001A7EDE" w:rsidP="00873D02">
            <w:pPr>
              <w:rPr>
                <w:rFonts w:ascii="Helvetica" w:hAnsi="Helvetica" w:cs="Helvetica"/>
                <w:sz w:val="20"/>
                <w:szCs w:val="20"/>
              </w:rPr>
            </w:pPr>
            <w:r w:rsidRPr="002B2A8B">
              <w:rPr>
                <w:rFonts w:ascii="Helvetica" w:hAnsi="Helvetica" w:cs="Helvetica"/>
                <w:b/>
                <w:bCs/>
                <w:sz w:val="20"/>
                <w:szCs w:val="20"/>
              </w:rPr>
              <w:t xml:space="preserve">Secondary outcomes </w:t>
            </w:r>
            <w:r w:rsidRPr="002B2A8B">
              <w:rPr>
                <w:rFonts w:ascii="Helvetica" w:hAnsi="Helvetica" w:cs="Helvetica"/>
                <w:sz w:val="20"/>
                <w:szCs w:val="20"/>
              </w:rPr>
              <w:t xml:space="preserve">– school absence and </w:t>
            </w:r>
            <w:proofErr w:type="spellStart"/>
            <w:r w:rsidRPr="002B2A8B">
              <w:rPr>
                <w:rFonts w:ascii="Helvetica" w:hAnsi="Helvetica" w:cs="Helvetica"/>
                <w:sz w:val="20"/>
                <w:szCs w:val="20"/>
              </w:rPr>
              <w:t>HRQoL</w:t>
            </w:r>
            <w:proofErr w:type="spellEnd"/>
            <w:r>
              <w:rPr>
                <w:rFonts w:ascii="Helvetica" w:hAnsi="Helvetica" w:cs="Helvetica"/>
                <w:sz w:val="20"/>
                <w:szCs w:val="20"/>
              </w:rPr>
              <w:t xml:space="preserve"> (measured using IMPACT III)</w:t>
            </w:r>
            <w:r w:rsidRPr="002B2A8B">
              <w:rPr>
                <w:rFonts w:ascii="Helvetica" w:hAnsi="Helvetica" w:cs="Helvetica"/>
                <w:sz w:val="20"/>
                <w:szCs w:val="20"/>
              </w:rPr>
              <w:t xml:space="preserve"> to the eHealth program</w:t>
            </w:r>
          </w:p>
        </w:tc>
        <w:tc>
          <w:tcPr>
            <w:tcW w:w="5670" w:type="dxa"/>
          </w:tcPr>
          <w:p w14:paraId="59F205B4" w14:textId="77777777" w:rsidR="00D154F5" w:rsidRPr="002B2A8B" w:rsidRDefault="001A7EDE" w:rsidP="00D154F5">
            <w:pPr>
              <w:rPr>
                <w:rFonts w:ascii="Helvetica" w:hAnsi="Helvetica" w:cs="Helvetica"/>
                <w:sz w:val="20"/>
                <w:szCs w:val="20"/>
              </w:rPr>
            </w:pPr>
            <w:r w:rsidRPr="002B2A8B">
              <w:rPr>
                <w:rFonts w:ascii="Helvetica" w:hAnsi="Helvetica" w:cs="Helvetica"/>
                <w:b/>
                <w:bCs/>
                <w:sz w:val="20"/>
                <w:szCs w:val="20"/>
              </w:rPr>
              <w:t>Intervention</w:t>
            </w:r>
            <w:r w:rsidRPr="002B2A8B">
              <w:rPr>
                <w:rFonts w:ascii="Helvetica" w:hAnsi="Helvetica" w:cs="Helvetica"/>
                <w:sz w:val="20"/>
                <w:szCs w:val="20"/>
              </w:rPr>
              <w:t xml:space="preserve"> – The pediatric adult eHealth program (www.young.constant-care.com) was based on the adult eHealth web program (</w:t>
            </w:r>
            <w:hyperlink r:id="rId5" w:history="1">
              <w:r w:rsidRPr="002B2A8B">
                <w:rPr>
                  <w:rStyle w:val="Hyperlink"/>
                  <w:rFonts w:ascii="Helvetica" w:hAnsi="Helvetica" w:cs="Helvetica"/>
                  <w:sz w:val="20"/>
                  <w:szCs w:val="20"/>
                </w:rPr>
                <w:t>www.constant-care.com</w:t>
              </w:r>
            </w:hyperlink>
            <w:r w:rsidRPr="002B2A8B">
              <w:rPr>
                <w:rFonts w:ascii="Helvetica" w:hAnsi="Helvetica" w:cs="Helvetica"/>
                <w:sz w:val="20"/>
                <w:szCs w:val="20"/>
              </w:rPr>
              <w:t>). Pediatric symptom scores, QoL and school absence measures were included in the web program. Web program would include symptom score, fecal calprotectin, and algorithm in the web program – cumulative score would be represented in a traffic light system where each color was associated with different guidelines provided to the patient.</w:t>
            </w:r>
            <w:r w:rsidR="00F46411">
              <w:rPr>
                <w:rFonts w:ascii="Helvetica" w:hAnsi="Helvetica" w:cs="Helvetica"/>
                <w:sz w:val="20"/>
                <w:szCs w:val="20"/>
              </w:rPr>
              <w:t xml:space="preserve"> </w:t>
            </w:r>
            <w:r w:rsidR="00D154F5">
              <w:rPr>
                <w:rFonts w:ascii="Helvetica" w:hAnsi="Helvetica" w:cs="Helvetica"/>
                <w:sz w:val="20"/>
                <w:szCs w:val="20"/>
              </w:rPr>
              <w:t xml:space="preserve">Every month, the patients had to enter symptoms scores. </w:t>
            </w:r>
            <w:r w:rsidR="00D154F5" w:rsidRPr="002B2A8B">
              <w:rPr>
                <w:rFonts w:ascii="Helvetica" w:hAnsi="Helvetica" w:cs="Helvetica"/>
                <w:sz w:val="20"/>
                <w:szCs w:val="20"/>
              </w:rPr>
              <w:t xml:space="preserve">Every three months, the patient would forward a fecal sample through the mail for measurement of fecal calprotectin and blood samples were also taken. </w:t>
            </w:r>
            <w:r w:rsidR="00D154F5">
              <w:rPr>
                <w:rFonts w:ascii="Helvetica" w:hAnsi="Helvetica" w:cs="Helvetica"/>
                <w:sz w:val="20"/>
                <w:szCs w:val="20"/>
              </w:rPr>
              <w:t>TIBS algorithm (PUCAI/</w:t>
            </w:r>
            <w:proofErr w:type="spellStart"/>
            <w:r w:rsidR="00D154F5">
              <w:rPr>
                <w:rFonts w:ascii="Helvetica" w:hAnsi="Helvetica" w:cs="Helvetica"/>
                <w:sz w:val="20"/>
                <w:szCs w:val="20"/>
              </w:rPr>
              <w:t>abbrPCDAI</w:t>
            </w:r>
            <w:proofErr w:type="spellEnd"/>
            <w:r w:rsidR="00D154F5">
              <w:rPr>
                <w:rFonts w:ascii="Helvetica" w:hAnsi="Helvetica" w:cs="Helvetica"/>
                <w:sz w:val="20"/>
                <w:szCs w:val="20"/>
              </w:rPr>
              <w:t xml:space="preserve"> + FC). </w:t>
            </w:r>
          </w:p>
          <w:p w14:paraId="405B33FD" w14:textId="41F10C47" w:rsidR="001A7EDE" w:rsidRPr="002B2A8B" w:rsidRDefault="00F46411" w:rsidP="00873D02">
            <w:pPr>
              <w:rPr>
                <w:rFonts w:ascii="Helvetica" w:hAnsi="Helvetica" w:cs="Helvetica"/>
                <w:sz w:val="20"/>
                <w:szCs w:val="20"/>
              </w:rPr>
            </w:pPr>
            <w:r>
              <w:rPr>
                <w:rFonts w:ascii="Helvetica" w:hAnsi="Helvetica" w:cs="Helvetica"/>
                <w:sz w:val="20"/>
                <w:szCs w:val="20"/>
              </w:rPr>
              <w:t xml:space="preserve">Patients (and parents if they wanted) received text message reminders before each deadline for entering data, or </w:t>
            </w:r>
            <w:r>
              <w:rPr>
                <w:rFonts w:ascii="Helvetica" w:hAnsi="Helvetica" w:cs="Helvetica"/>
                <w:sz w:val="20"/>
                <w:szCs w:val="20"/>
              </w:rPr>
              <w:lastRenderedPageBreak/>
              <w:t xml:space="preserve">submitting blood or stool. </w:t>
            </w:r>
            <w:r w:rsidR="00800D94">
              <w:rPr>
                <w:rFonts w:ascii="Helvetica" w:hAnsi="Helvetica" w:cs="Helvetica"/>
                <w:sz w:val="20"/>
                <w:szCs w:val="20"/>
              </w:rPr>
              <w:t>One planned annual visit plus on-demand outpatient visits.</w:t>
            </w:r>
          </w:p>
          <w:p w14:paraId="05E63985" w14:textId="77777777" w:rsidR="001A7EDE" w:rsidRPr="002B2A8B" w:rsidRDefault="001A7EDE" w:rsidP="00873D02">
            <w:pPr>
              <w:rPr>
                <w:rFonts w:ascii="Helvetica" w:hAnsi="Helvetica" w:cs="Helvetica"/>
                <w:sz w:val="20"/>
                <w:szCs w:val="20"/>
              </w:rPr>
            </w:pPr>
          </w:p>
          <w:p w14:paraId="6C39572A" w14:textId="77777777" w:rsidR="001A7EDE" w:rsidRPr="002B2A8B" w:rsidRDefault="001A7EDE" w:rsidP="00873D02">
            <w:pPr>
              <w:rPr>
                <w:rFonts w:ascii="Helvetica" w:hAnsi="Helvetica" w:cs="Helvetica"/>
                <w:sz w:val="20"/>
                <w:szCs w:val="20"/>
              </w:rPr>
            </w:pPr>
            <w:r w:rsidRPr="002B2A8B">
              <w:rPr>
                <w:rFonts w:ascii="Helvetica" w:hAnsi="Helvetica" w:cs="Helvetica"/>
                <w:b/>
                <w:bCs/>
                <w:sz w:val="20"/>
                <w:szCs w:val="20"/>
              </w:rPr>
              <w:t xml:space="preserve">Control – </w:t>
            </w:r>
            <w:r w:rsidRPr="002B2A8B">
              <w:rPr>
                <w:rFonts w:ascii="Helvetica" w:hAnsi="Helvetica" w:cs="Helvetica"/>
                <w:sz w:val="20"/>
                <w:szCs w:val="20"/>
              </w:rPr>
              <w:t>patients were man</w:t>
            </w:r>
            <w:r>
              <w:rPr>
                <w:rFonts w:ascii="Helvetica" w:hAnsi="Helvetica" w:cs="Helvetica"/>
                <w:sz w:val="20"/>
                <w:szCs w:val="20"/>
              </w:rPr>
              <w:t>a</w:t>
            </w:r>
            <w:r w:rsidRPr="002B2A8B">
              <w:rPr>
                <w:rFonts w:ascii="Helvetica" w:hAnsi="Helvetica" w:cs="Helvetica"/>
                <w:sz w:val="20"/>
                <w:szCs w:val="20"/>
              </w:rPr>
              <w:t>ged according to the national pediatric IBD standard care in Denmark.</w:t>
            </w:r>
          </w:p>
        </w:tc>
      </w:tr>
      <w:tr w:rsidR="001A7EDE" w:rsidRPr="002B2A8B" w14:paraId="7F4CE533" w14:textId="77777777" w:rsidTr="00B57657">
        <w:trPr>
          <w:trHeight w:val="226"/>
        </w:trPr>
        <w:tc>
          <w:tcPr>
            <w:tcW w:w="1080" w:type="dxa"/>
          </w:tcPr>
          <w:p w14:paraId="03C2A2CB" w14:textId="77777777" w:rsidR="001A7EDE" w:rsidRPr="002B2A8B" w:rsidRDefault="001A7EDE" w:rsidP="00873D02">
            <w:pPr>
              <w:rPr>
                <w:rFonts w:ascii="Helvetica" w:hAnsi="Helvetica" w:cs="Helvetica"/>
                <w:sz w:val="20"/>
                <w:szCs w:val="20"/>
              </w:rPr>
            </w:pPr>
            <w:r>
              <w:rPr>
                <w:rFonts w:ascii="Helvetica" w:hAnsi="Helvetica" w:cs="Helvetica"/>
                <w:sz w:val="20"/>
                <w:szCs w:val="20"/>
              </w:rPr>
              <w:lastRenderedPageBreak/>
              <w:t>9</w:t>
            </w:r>
          </w:p>
        </w:tc>
        <w:tc>
          <w:tcPr>
            <w:tcW w:w="1710" w:type="dxa"/>
          </w:tcPr>
          <w:p w14:paraId="5CEBF686"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Carlsen K, 2017</w:t>
            </w:r>
          </w:p>
        </w:tc>
        <w:tc>
          <w:tcPr>
            <w:tcW w:w="5490" w:type="dxa"/>
          </w:tcPr>
          <w:p w14:paraId="3B9398D0" w14:textId="0F15E18A" w:rsidR="001A7EDE" w:rsidRPr="0037647D" w:rsidRDefault="001A7EDE" w:rsidP="00873D02">
            <w:pPr>
              <w:rPr>
                <w:rFonts w:ascii="Helvetica" w:hAnsi="Helvetica" w:cs="Helvetica"/>
                <w:sz w:val="20"/>
                <w:szCs w:val="20"/>
              </w:rPr>
            </w:pPr>
            <w:r w:rsidRPr="002B2A8B">
              <w:rPr>
                <w:rFonts w:ascii="Helvetica" w:hAnsi="Helvetica" w:cs="Helvetica"/>
                <w:sz w:val="20"/>
                <w:szCs w:val="20"/>
              </w:rPr>
              <w:t xml:space="preserve">Patients were required to record data on their disease activity – Pediatric Ulcerative Colitis Activity Index (PUCAI) and the abbreviated Pediatric Crohn’s Disease Activity Index (PCDAI) – using the web program. </w:t>
            </w:r>
          </w:p>
          <w:p w14:paraId="285A2A12" w14:textId="77777777" w:rsidR="001A7EDE" w:rsidRDefault="001A7EDE" w:rsidP="00873D02">
            <w:pPr>
              <w:rPr>
                <w:rFonts w:ascii="Helvetica" w:hAnsi="Helvetica" w:cs="Helvetica"/>
                <w:b/>
                <w:bCs/>
                <w:sz w:val="20"/>
                <w:szCs w:val="20"/>
              </w:rPr>
            </w:pPr>
          </w:p>
          <w:p w14:paraId="260CCB75" w14:textId="77777777" w:rsidR="001A7EDE" w:rsidRDefault="001A7EDE" w:rsidP="00873D02">
            <w:pPr>
              <w:rPr>
                <w:rFonts w:ascii="Helvetica" w:hAnsi="Helvetica" w:cs="Helvetica"/>
                <w:b/>
                <w:bCs/>
                <w:sz w:val="20"/>
                <w:szCs w:val="20"/>
              </w:rPr>
            </w:pPr>
            <w:r>
              <w:rPr>
                <w:rFonts w:ascii="Helvetica" w:hAnsi="Helvetica" w:cs="Helvetica"/>
                <w:b/>
                <w:bCs/>
                <w:sz w:val="20"/>
                <w:szCs w:val="20"/>
              </w:rPr>
              <w:t xml:space="preserve">Primary outcomes – </w:t>
            </w:r>
          </w:p>
          <w:p w14:paraId="53E615F4" w14:textId="77777777" w:rsidR="001A7EDE" w:rsidRPr="00207EE3" w:rsidRDefault="001A7EDE" w:rsidP="00873D02">
            <w:pPr>
              <w:rPr>
                <w:rFonts w:ascii="Helvetica" w:hAnsi="Helvetica" w:cs="Helvetica"/>
                <w:sz w:val="20"/>
                <w:szCs w:val="20"/>
              </w:rPr>
            </w:pPr>
            <w:r>
              <w:rPr>
                <w:rFonts w:ascii="Helvetica" w:hAnsi="Helvetica" w:cs="Helvetica"/>
                <w:sz w:val="20"/>
                <w:szCs w:val="20"/>
              </w:rPr>
              <w:t>Individual treatment intervals were calculated to assess whether the eHealth program was able to facilitate personalization of IFX treatment.</w:t>
            </w:r>
          </w:p>
          <w:p w14:paraId="3CE5124C" w14:textId="77777777" w:rsidR="001A7EDE" w:rsidRDefault="001A7EDE" w:rsidP="00873D02">
            <w:pPr>
              <w:rPr>
                <w:rFonts w:ascii="Helvetica" w:hAnsi="Helvetica" w:cs="Helvetica"/>
                <w:b/>
                <w:bCs/>
                <w:sz w:val="20"/>
                <w:szCs w:val="20"/>
              </w:rPr>
            </w:pPr>
          </w:p>
          <w:p w14:paraId="3AFBD396" w14:textId="77777777" w:rsidR="001A7EDE" w:rsidRDefault="001A7EDE" w:rsidP="00873D02">
            <w:pPr>
              <w:rPr>
                <w:rFonts w:ascii="Helvetica" w:hAnsi="Helvetica" w:cs="Helvetica"/>
                <w:sz w:val="20"/>
                <w:szCs w:val="20"/>
              </w:rPr>
            </w:pPr>
            <w:r>
              <w:rPr>
                <w:rFonts w:ascii="Helvetica" w:hAnsi="Helvetica" w:cs="Helvetica"/>
                <w:b/>
                <w:bCs/>
                <w:sz w:val="20"/>
                <w:szCs w:val="20"/>
              </w:rPr>
              <w:t xml:space="preserve">Secondary outcomes – </w:t>
            </w:r>
            <w:r>
              <w:rPr>
                <w:rFonts w:ascii="Helvetica" w:hAnsi="Helvetica" w:cs="Helvetica"/>
                <w:sz w:val="20"/>
                <w:szCs w:val="20"/>
              </w:rPr>
              <w:t>safety. Blood samples were taken before IFX infusions to measure trough levels and levels of antibodies.</w:t>
            </w:r>
          </w:p>
          <w:p w14:paraId="69F1037F" w14:textId="77777777" w:rsidR="001A7EDE" w:rsidRDefault="001A7EDE" w:rsidP="00873D02">
            <w:pPr>
              <w:rPr>
                <w:rFonts w:ascii="Helvetica" w:hAnsi="Helvetica" w:cs="Helvetica"/>
                <w:sz w:val="20"/>
                <w:szCs w:val="20"/>
              </w:rPr>
            </w:pPr>
          </w:p>
          <w:p w14:paraId="5E200F74" w14:textId="77777777" w:rsidR="001A7EDE" w:rsidRPr="0037647D" w:rsidRDefault="001A7EDE" w:rsidP="00873D02">
            <w:pPr>
              <w:rPr>
                <w:rFonts w:ascii="Helvetica" w:hAnsi="Helvetica" w:cs="Helvetica"/>
                <w:sz w:val="20"/>
                <w:szCs w:val="20"/>
              </w:rPr>
            </w:pPr>
            <w:proofErr w:type="spellStart"/>
            <w:r>
              <w:rPr>
                <w:rFonts w:ascii="Helvetica" w:hAnsi="Helvetica" w:cs="Helvetica"/>
                <w:sz w:val="20"/>
                <w:szCs w:val="20"/>
              </w:rPr>
              <w:t>HRQoL</w:t>
            </w:r>
            <w:proofErr w:type="spellEnd"/>
            <w:r>
              <w:rPr>
                <w:rFonts w:ascii="Helvetica" w:hAnsi="Helvetica" w:cs="Helvetica"/>
                <w:sz w:val="20"/>
                <w:szCs w:val="20"/>
              </w:rPr>
              <w:t xml:space="preserve"> and IMPACT III.</w:t>
            </w:r>
          </w:p>
          <w:p w14:paraId="0EFDB9B3" w14:textId="77777777" w:rsidR="001A7EDE" w:rsidRPr="00207EE3" w:rsidRDefault="001A7EDE" w:rsidP="00873D02">
            <w:pPr>
              <w:rPr>
                <w:rFonts w:ascii="Helvetica" w:hAnsi="Helvetica" w:cs="Helvetica"/>
                <w:b/>
                <w:bCs/>
                <w:sz w:val="20"/>
                <w:szCs w:val="20"/>
              </w:rPr>
            </w:pPr>
          </w:p>
        </w:tc>
        <w:tc>
          <w:tcPr>
            <w:tcW w:w="5670" w:type="dxa"/>
          </w:tcPr>
          <w:p w14:paraId="36C9B25D" w14:textId="77777777" w:rsidR="001A7EDE" w:rsidRPr="00207EE3" w:rsidRDefault="001A7EDE" w:rsidP="00873D02">
            <w:pPr>
              <w:rPr>
                <w:rFonts w:ascii="Helvetica" w:hAnsi="Helvetica" w:cs="Helvetica"/>
                <w:sz w:val="20"/>
                <w:szCs w:val="20"/>
              </w:rPr>
            </w:pPr>
            <w:r>
              <w:rPr>
                <w:rFonts w:ascii="Helvetica" w:hAnsi="Helvetica" w:cs="Helvetica"/>
                <w:sz w:val="20"/>
                <w:szCs w:val="20"/>
              </w:rPr>
              <w:t>Open-label intervention study of a web-based disease monitoring system to personalize infliximab treatment. TIBS algorithm was used to determine interval between IFX treatments (4 – 12 weeks).</w:t>
            </w:r>
          </w:p>
          <w:p w14:paraId="72CC654F" w14:textId="77777777" w:rsidR="001A7EDE" w:rsidRDefault="001A7EDE" w:rsidP="00873D02">
            <w:pPr>
              <w:rPr>
                <w:rFonts w:ascii="Helvetica" w:hAnsi="Helvetica" w:cs="Helvetica"/>
                <w:b/>
                <w:bCs/>
                <w:sz w:val="20"/>
                <w:szCs w:val="20"/>
              </w:rPr>
            </w:pPr>
          </w:p>
          <w:p w14:paraId="26578B80" w14:textId="77777777" w:rsidR="001A7EDE" w:rsidRPr="0037647D" w:rsidRDefault="001A7EDE" w:rsidP="00873D02">
            <w:pPr>
              <w:rPr>
                <w:rFonts w:ascii="Helvetica" w:hAnsi="Helvetica" w:cs="Helvetica"/>
                <w:sz w:val="20"/>
                <w:szCs w:val="20"/>
              </w:rPr>
            </w:pPr>
            <w:r>
              <w:rPr>
                <w:rFonts w:ascii="Helvetica" w:hAnsi="Helvetica" w:cs="Helvetica"/>
                <w:b/>
                <w:bCs/>
                <w:sz w:val="20"/>
                <w:szCs w:val="20"/>
              </w:rPr>
              <w:t xml:space="preserve">Intervention – </w:t>
            </w:r>
            <w:r w:rsidRPr="0013047B">
              <w:rPr>
                <w:rFonts w:ascii="Helvetica" w:hAnsi="Helvetica" w:cs="Helvetica"/>
                <w:sz w:val="20"/>
                <w:szCs w:val="20"/>
              </w:rPr>
              <w:t>patients would enter weekly PUCAI/</w:t>
            </w:r>
            <w:proofErr w:type="spellStart"/>
            <w:r w:rsidRPr="0013047B">
              <w:rPr>
                <w:rFonts w:ascii="Helvetica" w:hAnsi="Helvetica" w:cs="Helvetica"/>
                <w:sz w:val="20"/>
                <w:szCs w:val="20"/>
              </w:rPr>
              <w:t>abbrPCDAI</w:t>
            </w:r>
            <w:proofErr w:type="spellEnd"/>
            <w:r w:rsidRPr="0013047B">
              <w:rPr>
                <w:rFonts w:ascii="Helvetica" w:hAnsi="Helvetica" w:cs="Helvetica"/>
                <w:sz w:val="20"/>
                <w:szCs w:val="20"/>
              </w:rPr>
              <w:t xml:space="preserve"> weekly until next IF</w:t>
            </w:r>
            <w:r>
              <w:rPr>
                <w:rFonts w:ascii="Helvetica" w:hAnsi="Helvetica" w:cs="Helvetica"/>
                <w:sz w:val="20"/>
                <w:szCs w:val="20"/>
              </w:rPr>
              <w:t>X</w:t>
            </w:r>
            <w:r w:rsidRPr="0013047B">
              <w:rPr>
                <w:rFonts w:ascii="Helvetica" w:hAnsi="Helvetica" w:cs="Helvetica"/>
                <w:sz w:val="20"/>
                <w:szCs w:val="20"/>
              </w:rPr>
              <w:t xml:space="preserve"> treatment</w:t>
            </w:r>
            <w:r>
              <w:rPr>
                <w:rFonts w:ascii="Helvetica" w:hAnsi="Helvetica" w:cs="Helvetica"/>
                <w:sz w:val="20"/>
                <w:szCs w:val="20"/>
              </w:rPr>
              <w:t>. A fecal calprotectin stool sample was also collected. The TIBS score was reflected in a traffic light system where alarm symptoms would prompt the families to consult IBD provider for treatment decisions.</w:t>
            </w:r>
          </w:p>
          <w:p w14:paraId="078F7476" w14:textId="77777777" w:rsidR="001A7EDE" w:rsidRDefault="001A7EDE" w:rsidP="00873D02">
            <w:pPr>
              <w:rPr>
                <w:rFonts w:ascii="Helvetica" w:hAnsi="Helvetica" w:cs="Helvetica"/>
                <w:b/>
                <w:bCs/>
                <w:sz w:val="20"/>
                <w:szCs w:val="20"/>
              </w:rPr>
            </w:pPr>
          </w:p>
          <w:p w14:paraId="257386DF" w14:textId="77777777" w:rsidR="001A7EDE" w:rsidRPr="0085292C" w:rsidRDefault="001A7EDE" w:rsidP="00873D02">
            <w:pPr>
              <w:rPr>
                <w:rFonts w:ascii="Helvetica" w:hAnsi="Helvetica" w:cs="Helvetica"/>
                <w:sz w:val="20"/>
                <w:szCs w:val="20"/>
              </w:rPr>
            </w:pPr>
            <w:r>
              <w:rPr>
                <w:rFonts w:ascii="Helvetica" w:hAnsi="Helvetica" w:cs="Helvetica"/>
                <w:b/>
                <w:bCs/>
                <w:sz w:val="20"/>
                <w:szCs w:val="20"/>
              </w:rPr>
              <w:t xml:space="preserve">Control – </w:t>
            </w:r>
            <w:r>
              <w:rPr>
                <w:rFonts w:ascii="Helvetica" w:hAnsi="Helvetica" w:cs="Helvetica"/>
                <w:sz w:val="20"/>
                <w:szCs w:val="20"/>
              </w:rPr>
              <w:t>patients received IFX infusion every 8 weeks but intervals could be altered as needed to gain control of the disease.</w:t>
            </w:r>
          </w:p>
          <w:p w14:paraId="5C09CEBC" w14:textId="77777777" w:rsidR="001A7EDE" w:rsidRPr="002B2A8B" w:rsidRDefault="001A7EDE" w:rsidP="00873D02">
            <w:pPr>
              <w:rPr>
                <w:rFonts w:ascii="Helvetica" w:hAnsi="Helvetica" w:cs="Helvetica"/>
                <w:b/>
                <w:bCs/>
                <w:sz w:val="20"/>
                <w:szCs w:val="20"/>
              </w:rPr>
            </w:pPr>
          </w:p>
        </w:tc>
      </w:tr>
      <w:tr w:rsidR="001A7EDE" w:rsidRPr="002B2A8B" w14:paraId="6CBF6FDB" w14:textId="77777777" w:rsidTr="00B57657">
        <w:trPr>
          <w:trHeight w:val="226"/>
        </w:trPr>
        <w:tc>
          <w:tcPr>
            <w:tcW w:w="1080" w:type="dxa"/>
          </w:tcPr>
          <w:p w14:paraId="4401CCBD" w14:textId="77777777" w:rsidR="001A7EDE" w:rsidRPr="002B2A8B" w:rsidRDefault="001A7EDE" w:rsidP="00873D02">
            <w:pPr>
              <w:rPr>
                <w:rFonts w:ascii="Helvetica" w:hAnsi="Helvetica" w:cs="Helvetica"/>
                <w:sz w:val="20"/>
                <w:szCs w:val="20"/>
              </w:rPr>
            </w:pPr>
            <w:r>
              <w:rPr>
                <w:rFonts w:ascii="Helvetica" w:hAnsi="Helvetica" w:cs="Helvetica"/>
                <w:sz w:val="20"/>
                <w:szCs w:val="20"/>
              </w:rPr>
              <w:t>10</w:t>
            </w:r>
          </w:p>
        </w:tc>
        <w:tc>
          <w:tcPr>
            <w:tcW w:w="1710" w:type="dxa"/>
          </w:tcPr>
          <w:p w14:paraId="14184834"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 xml:space="preserve">Del </w:t>
            </w:r>
            <w:proofErr w:type="spellStart"/>
            <w:r w:rsidRPr="002B2A8B">
              <w:rPr>
                <w:rFonts w:ascii="Helvetica" w:hAnsi="Helvetica" w:cs="Helvetica"/>
                <w:sz w:val="20"/>
                <w:szCs w:val="20"/>
              </w:rPr>
              <w:t>Hoyo</w:t>
            </w:r>
            <w:proofErr w:type="spellEnd"/>
            <w:r w:rsidRPr="002B2A8B">
              <w:rPr>
                <w:rFonts w:ascii="Helvetica" w:hAnsi="Helvetica" w:cs="Helvetica"/>
                <w:sz w:val="20"/>
                <w:szCs w:val="20"/>
              </w:rPr>
              <w:t>, 2019</w:t>
            </w:r>
          </w:p>
        </w:tc>
        <w:tc>
          <w:tcPr>
            <w:tcW w:w="5490" w:type="dxa"/>
          </w:tcPr>
          <w:p w14:paraId="2850112F" w14:textId="77777777" w:rsidR="001A7EDE" w:rsidRDefault="001A7EDE" w:rsidP="00873D02">
            <w:pPr>
              <w:rPr>
                <w:rFonts w:ascii="Helvetica" w:hAnsi="Helvetica" w:cs="Helvetica"/>
                <w:sz w:val="20"/>
                <w:szCs w:val="20"/>
              </w:rPr>
            </w:pPr>
            <w:r>
              <w:rPr>
                <w:rFonts w:ascii="Helvetica" w:hAnsi="Helvetica" w:cs="Helvetica"/>
                <w:b/>
                <w:bCs/>
                <w:sz w:val="20"/>
                <w:szCs w:val="20"/>
              </w:rPr>
              <w:t xml:space="preserve">Primary outcome – </w:t>
            </w:r>
            <w:r>
              <w:rPr>
                <w:rFonts w:ascii="Helvetica" w:hAnsi="Helvetica" w:cs="Helvetica"/>
                <w:sz w:val="20"/>
                <w:szCs w:val="20"/>
              </w:rPr>
              <w:t xml:space="preserve">Clinical remission at 24 weeks (Harvey-Bradshaw index [HBI] for Crohn’s patients; Simple Clinical Colitis Activity Index [SCCAI] for UC patients – for remote check-ups. Partial Mayo score was used for face-to-face visits. </w:t>
            </w:r>
          </w:p>
          <w:p w14:paraId="22B005A1" w14:textId="77777777" w:rsidR="001A7EDE" w:rsidRDefault="001A7EDE" w:rsidP="00873D02">
            <w:pPr>
              <w:rPr>
                <w:rFonts w:ascii="Helvetica" w:hAnsi="Helvetica" w:cs="Helvetica"/>
                <w:sz w:val="20"/>
                <w:szCs w:val="20"/>
              </w:rPr>
            </w:pPr>
          </w:p>
          <w:p w14:paraId="55D4A4E3" w14:textId="77777777" w:rsidR="001A7EDE" w:rsidRDefault="001A7EDE" w:rsidP="00873D02">
            <w:pPr>
              <w:rPr>
                <w:rFonts w:ascii="Helvetica" w:hAnsi="Helvetica" w:cs="Helvetica"/>
                <w:sz w:val="20"/>
                <w:szCs w:val="20"/>
              </w:rPr>
            </w:pPr>
            <w:r>
              <w:rPr>
                <w:rFonts w:ascii="Helvetica" w:hAnsi="Helvetica" w:cs="Helvetica"/>
                <w:sz w:val="20"/>
                <w:szCs w:val="20"/>
              </w:rPr>
              <w:t xml:space="preserve">Patients with CD and HBI &lt;5 were deemed to be in remission while SCCAI </w:t>
            </w:r>
            <w:r>
              <w:rPr>
                <w:rFonts w:ascii="Helvetica" w:hAnsi="Helvetica" w:cs="Helvetica"/>
                <w:sz w:val="20"/>
                <w:szCs w:val="20"/>
                <w:u w:val="single"/>
              </w:rPr>
              <w:t>&lt;</w:t>
            </w:r>
            <w:r>
              <w:rPr>
                <w:rFonts w:ascii="Helvetica" w:hAnsi="Helvetica" w:cs="Helvetica"/>
                <w:sz w:val="20"/>
                <w:szCs w:val="20"/>
              </w:rPr>
              <w:t xml:space="preserve">2 was remission for UC patients and a partial Mayo Score </w:t>
            </w:r>
            <w:r w:rsidRPr="00F341B6">
              <w:rPr>
                <w:rFonts w:ascii="Helvetica" w:hAnsi="Helvetica" w:cs="Helvetica"/>
                <w:sz w:val="20"/>
                <w:szCs w:val="20"/>
                <w:u w:val="single"/>
              </w:rPr>
              <w:t>&lt;</w:t>
            </w:r>
            <w:r w:rsidRPr="00F341B6">
              <w:rPr>
                <w:rFonts w:ascii="Helvetica" w:hAnsi="Helvetica" w:cs="Helvetica"/>
                <w:sz w:val="20"/>
                <w:szCs w:val="20"/>
              </w:rPr>
              <w:t>2 and</w:t>
            </w:r>
            <w:r>
              <w:rPr>
                <w:rFonts w:ascii="Helvetica" w:hAnsi="Helvetica" w:cs="Helvetica"/>
                <w:sz w:val="20"/>
                <w:szCs w:val="20"/>
                <w:u w:val="single"/>
              </w:rPr>
              <w:t xml:space="preserve"> </w:t>
            </w:r>
            <w:r w:rsidRPr="00F341B6">
              <w:rPr>
                <w:rFonts w:ascii="Helvetica" w:hAnsi="Helvetica" w:cs="Helvetica"/>
                <w:sz w:val="20"/>
                <w:szCs w:val="20"/>
              </w:rPr>
              <w:t xml:space="preserve">no individual Mayo </w:t>
            </w:r>
            <w:proofErr w:type="spellStart"/>
            <w:r w:rsidRPr="00F341B6">
              <w:rPr>
                <w:rFonts w:ascii="Helvetica" w:hAnsi="Helvetica" w:cs="Helvetica"/>
                <w:sz w:val="20"/>
                <w:szCs w:val="20"/>
              </w:rPr>
              <w:t>subscore</w:t>
            </w:r>
            <w:proofErr w:type="spellEnd"/>
            <w:r w:rsidRPr="00F341B6">
              <w:rPr>
                <w:rFonts w:ascii="Helvetica" w:hAnsi="Helvetica" w:cs="Helvetica"/>
                <w:sz w:val="20"/>
                <w:szCs w:val="20"/>
              </w:rPr>
              <w:t xml:space="preserve"> &gt;1</w:t>
            </w:r>
            <w:r>
              <w:rPr>
                <w:rFonts w:ascii="Helvetica" w:hAnsi="Helvetica" w:cs="Helvetica"/>
                <w:sz w:val="20"/>
                <w:szCs w:val="20"/>
              </w:rPr>
              <w:t xml:space="preserve"> was defined as remission.</w:t>
            </w:r>
          </w:p>
          <w:p w14:paraId="59C68988" w14:textId="77777777" w:rsidR="001A7EDE" w:rsidRDefault="001A7EDE" w:rsidP="00873D02">
            <w:pPr>
              <w:rPr>
                <w:rFonts w:ascii="Helvetica" w:hAnsi="Helvetica" w:cs="Helvetica"/>
                <w:sz w:val="20"/>
                <w:szCs w:val="20"/>
              </w:rPr>
            </w:pPr>
          </w:p>
          <w:p w14:paraId="309703EB" w14:textId="77777777" w:rsidR="001A7EDE" w:rsidRPr="00F341B6" w:rsidRDefault="001A7EDE" w:rsidP="00873D02">
            <w:pPr>
              <w:rPr>
                <w:rFonts w:ascii="Helvetica" w:hAnsi="Helvetica" w:cs="Helvetica"/>
                <w:sz w:val="20"/>
                <w:szCs w:val="20"/>
              </w:rPr>
            </w:pPr>
            <w:r>
              <w:rPr>
                <w:rFonts w:ascii="Helvetica" w:hAnsi="Helvetica" w:cs="Helvetica"/>
                <w:b/>
                <w:bCs/>
                <w:sz w:val="20"/>
                <w:szCs w:val="20"/>
              </w:rPr>
              <w:t xml:space="preserve">Secondary outcomes – </w:t>
            </w:r>
            <w:r w:rsidRPr="00F2623A">
              <w:rPr>
                <w:rFonts w:ascii="Helvetica" w:hAnsi="Helvetica" w:cs="Helvetica"/>
                <w:sz w:val="20"/>
                <w:szCs w:val="20"/>
              </w:rPr>
              <w:t>Health-Related Quality of Life (</w:t>
            </w:r>
            <w:proofErr w:type="spellStart"/>
            <w:r w:rsidRPr="00F2623A">
              <w:rPr>
                <w:rFonts w:ascii="Helvetica" w:hAnsi="Helvetica" w:cs="Helvetica"/>
                <w:sz w:val="20"/>
                <w:szCs w:val="20"/>
              </w:rPr>
              <w:t>HRQoL</w:t>
            </w:r>
            <w:proofErr w:type="spellEnd"/>
            <w:r w:rsidRPr="00F2623A">
              <w:rPr>
                <w:rFonts w:ascii="Helvetica" w:hAnsi="Helvetica" w:cs="Helvetica"/>
                <w:sz w:val="20"/>
                <w:szCs w:val="20"/>
              </w:rPr>
              <w:t>)</w:t>
            </w:r>
            <w:r>
              <w:rPr>
                <w:rFonts w:ascii="Helvetica" w:hAnsi="Helvetica" w:cs="Helvetica"/>
                <w:sz w:val="20"/>
                <w:szCs w:val="20"/>
              </w:rPr>
              <w:t xml:space="preserve"> as captured by Inflammatory Bowel Disease Questionnaire 9 (IBDQ-9). Work productivity and activities of daily living with Work Productivity and Activity Impairment (WPAI) questionnaire. Medication adherence was evaluated using the </w:t>
            </w:r>
            <w:proofErr w:type="spellStart"/>
            <w:r>
              <w:rPr>
                <w:rFonts w:ascii="Helvetica" w:hAnsi="Helvetica" w:cs="Helvetica"/>
                <w:sz w:val="20"/>
                <w:szCs w:val="20"/>
              </w:rPr>
              <w:t>Morisky</w:t>
            </w:r>
            <w:proofErr w:type="spellEnd"/>
            <w:r>
              <w:rPr>
                <w:rFonts w:ascii="Helvetica" w:hAnsi="Helvetica" w:cs="Helvetica"/>
                <w:sz w:val="20"/>
                <w:szCs w:val="20"/>
              </w:rPr>
              <w:t xml:space="preserve">-Green index. Healthcare </w:t>
            </w:r>
            <w:r>
              <w:rPr>
                <w:rFonts w:ascii="Helvetica" w:hAnsi="Helvetica" w:cs="Helvetica"/>
                <w:sz w:val="20"/>
                <w:szCs w:val="20"/>
              </w:rPr>
              <w:lastRenderedPageBreak/>
              <w:t>utilization and safety. Safety was a composite of ER visits, hospitalizations, IBD-related surgeries, corticosteroid courses, and adverse effects to medication. Patient satisfaction.</w:t>
            </w:r>
          </w:p>
        </w:tc>
        <w:tc>
          <w:tcPr>
            <w:tcW w:w="5670" w:type="dxa"/>
          </w:tcPr>
          <w:p w14:paraId="2C7E1C39" w14:textId="77777777" w:rsidR="001A7EDE" w:rsidRDefault="001A7EDE" w:rsidP="00873D02">
            <w:pPr>
              <w:rPr>
                <w:rFonts w:ascii="Helvetica" w:hAnsi="Helvetica" w:cs="Helvetica"/>
                <w:sz w:val="20"/>
                <w:szCs w:val="20"/>
              </w:rPr>
            </w:pPr>
            <w:r>
              <w:rPr>
                <w:rFonts w:ascii="Helvetica" w:hAnsi="Helvetica" w:cs="Helvetica"/>
                <w:b/>
                <w:bCs/>
                <w:sz w:val="20"/>
                <w:szCs w:val="20"/>
              </w:rPr>
              <w:lastRenderedPageBreak/>
              <w:t xml:space="preserve">Intervention </w:t>
            </w:r>
            <w:r>
              <w:rPr>
                <w:rFonts w:ascii="Helvetica" w:hAnsi="Helvetica" w:cs="Helvetica"/>
                <w:sz w:val="20"/>
                <w:szCs w:val="20"/>
              </w:rPr>
              <w:t xml:space="preserve">– web-based telemanagement system (Telemonitoring of Crohn’s Disease and Ulcerative Colitis – TECCU) for remote monitoring of disease activity in patients on corticosteroids, immunosuppressants, and biological agents. </w:t>
            </w:r>
          </w:p>
          <w:p w14:paraId="7D0D85FA" w14:textId="77777777" w:rsidR="001A7EDE" w:rsidRDefault="001A7EDE" w:rsidP="00873D02">
            <w:pPr>
              <w:rPr>
                <w:rFonts w:ascii="Helvetica" w:hAnsi="Helvetica" w:cs="Helvetica"/>
                <w:sz w:val="20"/>
                <w:szCs w:val="20"/>
              </w:rPr>
            </w:pPr>
          </w:p>
          <w:p w14:paraId="0AD9CEC5" w14:textId="2D3CE8F8" w:rsidR="001A7EDE" w:rsidRDefault="001A7EDE" w:rsidP="00873D02">
            <w:pPr>
              <w:rPr>
                <w:rFonts w:ascii="Helvetica" w:hAnsi="Helvetica" w:cs="Helvetica"/>
                <w:sz w:val="20"/>
                <w:szCs w:val="20"/>
              </w:rPr>
            </w:pPr>
            <w:r>
              <w:rPr>
                <w:rFonts w:ascii="Helvetica" w:hAnsi="Helvetica" w:cs="Helvetica"/>
                <w:sz w:val="20"/>
                <w:szCs w:val="20"/>
              </w:rPr>
              <w:t>TECCU is a secure webpage with an application for mobile phones, tablets, and computers. Patients interacted with the platform to inform the medical team regarding their symptoms and possible adverse effects.</w:t>
            </w:r>
          </w:p>
          <w:p w14:paraId="14C22E44" w14:textId="787594B5" w:rsidR="00DA5583" w:rsidRDefault="00DA5583" w:rsidP="00873D02">
            <w:pPr>
              <w:rPr>
                <w:rFonts w:ascii="Helvetica" w:hAnsi="Helvetica" w:cs="Helvetica"/>
                <w:sz w:val="20"/>
                <w:szCs w:val="20"/>
              </w:rPr>
            </w:pPr>
          </w:p>
          <w:p w14:paraId="51D6D1D3" w14:textId="393C5F0C" w:rsidR="00DA5583" w:rsidRDefault="00DA5583" w:rsidP="00873D02">
            <w:pPr>
              <w:rPr>
                <w:rFonts w:ascii="Helvetica" w:hAnsi="Helvetica" w:cs="Helvetica"/>
                <w:sz w:val="20"/>
                <w:szCs w:val="20"/>
              </w:rPr>
            </w:pPr>
            <w:r>
              <w:rPr>
                <w:rFonts w:ascii="Helvetica" w:hAnsi="Helvetica" w:cs="Helvetica"/>
                <w:sz w:val="20"/>
                <w:szCs w:val="20"/>
              </w:rPr>
              <w:t>Telephone calls or in-persons visits were available to train patients for administration of medications.</w:t>
            </w:r>
          </w:p>
          <w:p w14:paraId="60DE1449" w14:textId="77777777" w:rsidR="001A7EDE" w:rsidRDefault="001A7EDE" w:rsidP="00873D02">
            <w:pPr>
              <w:rPr>
                <w:rFonts w:ascii="Helvetica" w:hAnsi="Helvetica" w:cs="Helvetica"/>
                <w:sz w:val="20"/>
                <w:szCs w:val="20"/>
              </w:rPr>
            </w:pPr>
          </w:p>
          <w:p w14:paraId="42BD219E" w14:textId="77777777" w:rsidR="001A7EDE" w:rsidRPr="00B522E0" w:rsidRDefault="001A7EDE" w:rsidP="00873D02">
            <w:pPr>
              <w:rPr>
                <w:rFonts w:ascii="Helvetica" w:hAnsi="Helvetica" w:cs="Helvetica"/>
                <w:sz w:val="20"/>
                <w:szCs w:val="20"/>
              </w:rPr>
            </w:pPr>
            <w:r>
              <w:rPr>
                <w:rFonts w:ascii="Helvetica" w:hAnsi="Helvetica" w:cs="Helvetica"/>
                <w:b/>
                <w:bCs/>
                <w:sz w:val="20"/>
                <w:szCs w:val="20"/>
              </w:rPr>
              <w:t xml:space="preserve">Control – </w:t>
            </w:r>
            <w:r>
              <w:rPr>
                <w:rFonts w:ascii="Helvetica" w:hAnsi="Helvetica" w:cs="Helvetica"/>
                <w:sz w:val="20"/>
                <w:szCs w:val="20"/>
              </w:rPr>
              <w:t>two groups. Nurse-assisted telephone care or standard face-to-face visits.</w:t>
            </w:r>
          </w:p>
        </w:tc>
      </w:tr>
      <w:tr w:rsidR="001A7EDE" w:rsidRPr="002B2A8B" w14:paraId="7AAACEC9" w14:textId="77777777" w:rsidTr="00B57657">
        <w:trPr>
          <w:trHeight w:val="226"/>
        </w:trPr>
        <w:tc>
          <w:tcPr>
            <w:tcW w:w="1080" w:type="dxa"/>
          </w:tcPr>
          <w:p w14:paraId="07330D03" w14:textId="77777777" w:rsidR="001A7EDE" w:rsidRPr="002B2A8B" w:rsidRDefault="001A7EDE" w:rsidP="00873D02">
            <w:pPr>
              <w:rPr>
                <w:rFonts w:ascii="Helvetica" w:hAnsi="Helvetica" w:cs="Helvetica"/>
                <w:sz w:val="20"/>
                <w:szCs w:val="20"/>
              </w:rPr>
            </w:pPr>
            <w:r>
              <w:rPr>
                <w:rFonts w:ascii="Helvetica" w:hAnsi="Helvetica" w:cs="Helvetica"/>
                <w:sz w:val="20"/>
                <w:szCs w:val="20"/>
              </w:rPr>
              <w:t>11</w:t>
            </w:r>
          </w:p>
        </w:tc>
        <w:tc>
          <w:tcPr>
            <w:tcW w:w="1710" w:type="dxa"/>
          </w:tcPr>
          <w:p w14:paraId="4C86E7A8" w14:textId="77777777" w:rsidR="001A7EDE" w:rsidRPr="002B2A8B" w:rsidRDefault="001A7EDE" w:rsidP="00873D02">
            <w:pPr>
              <w:rPr>
                <w:rFonts w:ascii="Helvetica" w:hAnsi="Helvetica" w:cs="Helvetica"/>
                <w:sz w:val="20"/>
                <w:szCs w:val="20"/>
              </w:rPr>
            </w:pPr>
            <w:proofErr w:type="spellStart"/>
            <w:r w:rsidRPr="002B2A8B">
              <w:rPr>
                <w:rFonts w:ascii="Helvetica" w:hAnsi="Helvetica" w:cs="Helvetica"/>
                <w:sz w:val="20"/>
                <w:szCs w:val="20"/>
              </w:rPr>
              <w:t>Heida</w:t>
            </w:r>
            <w:proofErr w:type="spellEnd"/>
            <w:r>
              <w:rPr>
                <w:rFonts w:ascii="Helvetica" w:hAnsi="Helvetica" w:cs="Helvetica"/>
                <w:sz w:val="20"/>
                <w:szCs w:val="20"/>
              </w:rPr>
              <w:t xml:space="preserve"> A</w:t>
            </w:r>
            <w:r w:rsidRPr="002B2A8B">
              <w:rPr>
                <w:rFonts w:ascii="Helvetica" w:hAnsi="Helvetica" w:cs="Helvetica"/>
                <w:sz w:val="20"/>
                <w:szCs w:val="20"/>
              </w:rPr>
              <w:t>, 2017</w:t>
            </w:r>
          </w:p>
        </w:tc>
        <w:tc>
          <w:tcPr>
            <w:tcW w:w="5490" w:type="dxa"/>
          </w:tcPr>
          <w:p w14:paraId="21C6610B" w14:textId="77777777" w:rsidR="001A7EDE" w:rsidRDefault="001A7EDE" w:rsidP="00873D02">
            <w:pPr>
              <w:rPr>
                <w:rFonts w:ascii="Helvetica" w:hAnsi="Helvetica" w:cs="Helvetica"/>
                <w:sz w:val="20"/>
                <w:szCs w:val="20"/>
              </w:rPr>
            </w:pPr>
            <w:r>
              <w:rPr>
                <w:rFonts w:ascii="Helvetica" w:hAnsi="Helvetica" w:cs="Helvetica"/>
                <w:sz w:val="20"/>
                <w:szCs w:val="20"/>
              </w:rPr>
              <w:t>Disease activity was assessed by Pediatric Ulcerative Colitis Activity Index (PUCAI) and the shortened Pediatric Crohn’s Disease Activity Index (</w:t>
            </w:r>
            <w:proofErr w:type="spellStart"/>
            <w:r>
              <w:rPr>
                <w:rFonts w:ascii="Helvetica" w:hAnsi="Helvetica" w:cs="Helvetica"/>
                <w:sz w:val="20"/>
                <w:szCs w:val="20"/>
              </w:rPr>
              <w:t>shPCDAI</w:t>
            </w:r>
            <w:proofErr w:type="spellEnd"/>
            <w:r>
              <w:rPr>
                <w:rFonts w:ascii="Helvetica" w:hAnsi="Helvetica" w:cs="Helvetica"/>
                <w:sz w:val="20"/>
                <w:szCs w:val="20"/>
              </w:rPr>
              <w:t xml:space="preserve">). </w:t>
            </w:r>
          </w:p>
          <w:p w14:paraId="5285B68A" w14:textId="77777777" w:rsidR="001A7EDE" w:rsidRDefault="001A7EDE" w:rsidP="00873D02">
            <w:pPr>
              <w:rPr>
                <w:rFonts w:ascii="Helvetica" w:hAnsi="Helvetica" w:cs="Helvetica"/>
                <w:b/>
                <w:bCs/>
                <w:sz w:val="20"/>
                <w:szCs w:val="20"/>
              </w:rPr>
            </w:pPr>
          </w:p>
          <w:p w14:paraId="6EB8BA46" w14:textId="77777777" w:rsidR="001A7EDE" w:rsidRDefault="001A7EDE" w:rsidP="00873D02">
            <w:pPr>
              <w:rPr>
                <w:rFonts w:ascii="Helvetica" w:hAnsi="Helvetica" w:cs="Helvetica"/>
                <w:sz w:val="20"/>
                <w:szCs w:val="20"/>
              </w:rPr>
            </w:pPr>
            <w:r>
              <w:rPr>
                <w:rFonts w:ascii="Helvetica" w:hAnsi="Helvetica" w:cs="Helvetica"/>
                <w:b/>
                <w:bCs/>
                <w:sz w:val="20"/>
                <w:szCs w:val="20"/>
              </w:rPr>
              <w:t xml:space="preserve">Primary outcome – </w:t>
            </w:r>
            <w:r>
              <w:rPr>
                <w:rFonts w:ascii="Helvetica" w:hAnsi="Helvetica" w:cs="Helvetica"/>
                <w:sz w:val="20"/>
                <w:szCs w:val="20"/>
              </w:rPr>
              <w:t xml:space="preserve">cumulative incidence of disease flares, which was defined as disease activity requiring treatment intensification (e.g., steroid therapy, exclusive enteral nutrition, </w:t>
            </w:r>
            <w:proofErr w:type="spellStart"/>
            <w:r>
              <w:rPr>
                <w:rFonts w:ascii="Helvetica" w:hAnsi="Helvetica" w:cs="Helvetica"/>
                <w:sz w:val="20"/>
                <w:szCs w:val="20"/>
              </w:rPr>
              <w:t>aminosalicylate</w:t>
            </w:r>
            <w:proofErr w:type="spellEnd"/>
            <w:r>
              <w:rPr>
                <w:rFonts w:ascii="Helvetica" w:hAnsi="Helvetica" w:cs="Helvetica"/>
                <w:sz w:val="20"/>
                <w:szCs w:val="20"/>
              </w:rPr>
              <w:t xml:space="preserve"> dose escalation or introduction of anti-TNF). </w:t>
            </w:r>
          </w:p>
          <w:p w14:paraId="3FCF1015" w14:textId="77777777" w:rsidR="001A7EDE" w:rsidRDefault="001A7EDE" w:rsidP="00873D02">
            <w:pPr>
              <w:rPr>
                <w:rFonts w:ascii="Helvetica" w:hAnsi="Helvetica" w:cs="Helvetica"/>
                <w:sz w:val="20"/>
                <w:szCs w:val="20"/>
              </w:rPr>
            </w:pPr>
          </w:p>
          <w:p w14:paraId="05A8CAD4" w14:textId="77777777" w:rsidR="001A7EDE" w:rsidRPr="00D62E43" w:rsidRDefault="001A7EDE" w:rsidP="00873D02">
            <w:pPr>
              <w:rPr>
                <w:rFonts w:ascii="Helvetica" w:hAnsi="Helvetica" w:cs="Helvetica"/>
                <w:sz w:val="20"/>
                <w:szCs w:val="20"/>
              </w:rPr>
            </w:pPr>
            <w:r>
              <w:rPr>
                <w:rFonts w:ascii="Helvetica" w:hAnsi="Helvetica" w:cs="Helvetica"/>
                <w:b/>
                <w:bCs/>
                <w:sz w:val="20"/>
                <w:szCs w:val="20"/>
              </w:rPr>
              <w:t xml:space="preserve">Secondary outcomes </w:t>
            </w:r>
            <w:r>
              <w:rPr>
                <w:rFonts w:ascii="Helvetica" w:hAnsi="Helvetica" w:cs="Helvetica"/>
                <w:sz w:val="20"/>
                <w:szCs w:val="20"/>
              </w:rPr>
              <w:t xml:space="preserve">– quality of life and cost-effectiveness. QoL was measured with IBD-specific IMPACT-III. The cost-effectiveness analysis included direct and indirect medical and non-medical costs. </w:t>
            </w:r>
          </w:p>
        </w:tc>
        <w:tc>
          <w:tcPr>
            <w:tcW w:w="5670" w:type="dxa"/>
          </w:tcPr>
          <w:p w14:paraId="3779C849" w14:textId="77777777" w:rsidR="001A7EDE" w:rsidRPr="00AF3C11" w:rsidRDefault="001A7EDE" w:rsidP="00873D02">
            <w:pPr>
              <w:rPr>
                <w:rFonts w:ascii="Helvetica" w:hAnsi="Helvetica" w:cs="Helvetica"/>
                <w:b/>
                <w:bCs/>
                <w:sz w:val="20"/>
                <w:szCs w:val="20"/>
              </w:rPr>
            </w:pPr>
            <w:r w:rsidRPr="006812E1">
              <w:rPr>
                <w:rFonts w:ascii="Helvetica" w:hAnsi="Helvetica" w:cs="Helvetica"/>
                <w:b/>
                <w:bCs/>
                <w:sz w:val="20"/>
                <w:szCs w:val="20"/>
              </w:rPr>
              <w:t xml:space="preserve">Intervention – </w:t>
            </w:r>
            <w:r>
              <w:rPr>
                <w:rFonts w:ascii="Helvetica" w:hAnsi="Helvetica" w:cs="Helvetica"/>
                <w:sz w:val="20"/>
                <w:szCs w:val="20"/>
              </w:rPr>
              <w:t>Patients received automated email alerts to complete symptom score and send a stool sample for fecal calprotectin assessment. Symptom score and calprotectin stool test was uploaded to an IBD-live website and a color-coded system was used to advise patients the next best course of action.</w:t>
            </w:r>
          </w:p>
          <w:p w14:paraId="560564DF" w14:textId="77777777" w:rsidR="001A7EDE" w:rsidRDefault="001A7EDE" w:rsidP="00873D02">
            <w:pPr>
              <w:rPr>
                <w:rFonts w:ascii="Helvetica" w:hAnsi="Helvetica" w:cs="Helvetica"/>
                <w:sz w:val="20"/>
                <w:szCs w:val="20"/>
              </w:rPr>
            </w:pPr>
          </w:p>
          <w:p w14:paraId="27FB9C60" w14:textId="77777777" w:rsidR="001A7EDE" w:rsidRPr="004205C7" w:rsidRDefault="001A7EDE" w:rsidP="00873D02">
            <w:pPr>
              <w:rPr>
                <w:rFonts w:ascii="Helvetica" w:hAnsi="Helvetica" w:cs="Helvetica"/>
                <w:sz w:val="20"/>
                <w:szCs w:val="20"/>
              </w:rPr>
            </w:pPr>
            <w:r>
              <w:rPr>
                <w:rFonts w:ascii="Helvetica" w:hAnsi="Helvetica" w:cs="Helvetica"/>
                <w:b/>
                <w:bCs/>
                <w:sz w:val="20"/>
                <w:szCs w:val="20"/>
              </w:rPr>
              <w:t xml:space="preserve">Control – </w:t>
            </w:r>
            <w:r>
              <w:rPr>
                <w:rFonts w:ascii="Helvetica" w:hAnsi="Helvetica" w:cs="Helvetica"/>
                <w:sz w:val="20"/>
                <w:szCs w:val="20"/>
              </w:rPr>
              <w:t xml:space="preserve">Participants had regular checks and the interval of visits was based on the physician’s discretion. </w:t>
            </w:r>
          </w:p>
        </w:tc>
      </w:tr>
      <w:tr w:rsidR="001A7EDE" w:rsidRPr="002B2A8B" w14:paraId="6923CAF4" w14:textId="77777777" w:rsidTr="00B57657">
        <w:trPr>
          <w:trHeight w:val="226"/>
        </w:trPr>
        <w:tc>
          <w:tcPr>
            <w:tcW w:w="1080" w:type="dxa"/>
          </w:tcPr>
          <w:p w14:paraId="05CBF2E7" w14:textId="77777777" w:rsidR="001A7EDE" w:rsidRPr="002B2A8B" w:rsidRDefault="001A7EDE" w:rsidP="00873D02">
            <w:pPr>
              <w:rPr>
                <w:rFonts w:ascii="Helvetica" w:hAnsi="Helvetica" w:cs="Helvetica"/>
                <w:sz w:val="20"/>
                <w:szCs w:val="20"/>
              </w:rPr>
            </w:pPr>
            <w:r>
              <w:rPr>
                <w:rFonts w:ascii="Helvetica" w:hAnsi="Helvetica" w:cs="Helvetica"/>
                <w:sz w:val="20"/>
                <w:szCs w:val="20"/>
              </w:rPr>
              <w:t>12</w:t>
            </w:r>
          </w:p>
        </w:tc>
        <w:tc>
          <w:tcPr>
            <w:tcW w:w="1710" w:type="dxa"/>
          </w:tcPr>
          <w:p w14:paraId="7C324162" w14:textId="77777777" w:rsidR="001A7EDE" w:rsidRPr="002B2A8B" w:rsidRDefault="001A7EDE" w:rsidP="00873D02">
            <w:pPr>
              <w:rPr>
                <w:rFonts w:ascii="Helvetica" w:hAnsi="Helvetica" w:cs="Helvetica"/>
                <w:sz w:val="20"/>
                <w:szCs w:val="20"/>
              </w:rPr>
            </w:pPr>
            <w:r w:rsidRPr="002B2A8B">
              <w:rPr>
                <w:rFonts w:ascii="Helvetica" w:hAnsi="Helvetica" w:cs="Helvetica"/>
                <w:sz w:val="20"/>
                <w:szCs w:val="20"/>
              </w:rPr>
              <w:t>McCombie</w:t>
            </w:r>
            <w:r>
              <w:rPr>
                <w:rFonts w:ascii="Helvetica" w:hAnsi="Helvetica" w:cs="Helvetica"/>
                <w:sz w:val="20"/>
                <w:szCs w:val="20"/>
              </w:rPr>
              <w:t xml:space="preserve"> A</w:t>
            </w:r>
            <w:r w:rsidRPr="002B2A8B">
              <w:rPr>
                <w:rFonts w:ascii="Helvetica" w:hAnsi="Helvetica" w:cs="Helvetica"/>
                <w:sz w:val="20"/>
                <w:szCs w:val="20"/>
              </w:rPr>
              <w:t>, 2020</w:t>
            </w:r>
          </w:p>
        </w:tc>
        <w:tc>
          <w:tcPr>
            <w:tcW w:w="5490" w:type="dxa"/>
          </w:tcPr>
          <w:p w14:paraId="600DA73A" w14:textId="77777777" w:rsidR="001A7EDE" w:rsidRPr="004B1847" w:rsidRDefault="001A7EDE" w:rsidP="00873D02">
            <w:pPr>
              <w:rPr>
                <w:rFonts w:ascii="Helvetica" w:hAnsi="Helvetica" w:cs="Helvetica"/>
                <w:sz w:val="20"/>
                <w:szCs w:val="20"/>
              </w:rPr>
            </w:pPr>
            <w:r>
              <w:rPr>
                <w:rFonts w:ascii="Helvetica" w:hAnsi="Helvetica" w:cs="Helvetica"/>
                <w:b/>
                <w:bCs/>
                <w:sz w:val="20"/>
                <w:szCs w:val="20"/>
              </w:rPr>
              <w:t xml:space="preserve">Primary outcomes – </w:t>
            </w:r>
            <w:r>
              <w:rPr>
                <w:rFonts w:ascii="Helvetica" w:hAnsi="Helvetica" w:cs="Helvetica"/>
                <w:sz w:val="20"/>
                <w:szCs w:val="20"/>
              </w:rPr>
              <w:t xml:space="preserve">test whether </w:t>
            </w:r>
            <w:proofErr w:type="spellStart"/>
            <w:r>
              <w:rPr>
                <w:rFonts w:ascii="Helvetica" w:hAnsi="Helvetica" w:cs="Helvetica"/>
                <w:sz w:val="20"/>
                <w:szCs w:val="20"/>
              </w:rPr>
              <w:t>IBDsmart</w:t>
            </w:r>
            <w:proofErr w:type="spellEnd"/>
            <w:r>
              <w:rPr>
                <w:rFonts w:ascii="Helvetica" w:hAnsi="Helvetica" w:cs="Helvetica"/>
                <w:sz w:val="20"/>
                <w:szCs w:val="20"/>
              </w:rPr>
              <w:t xml:space="preserve"> and </w:t>
            </w:r>
            <w:proofErr w:type="spellStart"/>
            <w:r>
              <w:rPr>
                <w:rFonts w:ascii="Helvetica" w:hAnsi="Helvetica" w:cs="Helvetica"/>
                <w:sz w:val="20"/>
                <w:szCs w:val="20"/>
              </w:rPr>
              <w:t>IBDoc</w:t>
            </w:r>
            <w:proofErr w:type="spellEnd"/>
            <w:r>
              <w:rPr>
                <w:rFonts w:ascii="Helvetica" w:hAnsi="Helvetica" w:cs="Helvetica"/>
                <w:sz w:val="20"/>
                <w:szCs w:val="20"/>
              </w:rPr>
              <w:t xml:space="preserve"> are noninferior to standard care in terms of IBD symptoms (HBI or SCCAI) and Health Related Quality of Life (HRQOL). HRQOL was measured using IBDQ. Remission was defined as SCCAI </w:t>
            </w:r>
            <w:r>
              <w:rPr>
                <w:rFonts w:ascii="Helvetica" w:hAnsi="Helvetica" w:cs="Helvetica"/>
                <w:sz w:val="20"/>
                <w:szCs w:val="20"/>
                <w:u w:val="single"/>
              </w:rPr>
              <w:t>&lt;</w:t>
            </w:r>
            <w:r>
              <w:rPr>
                <w:rFonts w:ascii="Helvetica" w:hAnsi="Helvetica" w:cs="Helvetica"/>
                <w:sz w:val="20"/>
                <w:szCs w:val="20"/>
              </w:rPr>
              <w:t xml:space="preserve">2 or HBI </w:t>
            </w:r>
            <w:r>
              <w:rPr>
                <w:rFonts w:ascii="Helvetica" w:hAnsi="Helvetica" w:cs="Helvetica"/>
                <w:sz w:val="20"/>
                <w:szCs w:val="20"/>
                <w:u w:val="single"/>
              </w:rPr>
              <w:t>&lt;</w:t>
            </w:r>
            <w:r>
              <w:rPr>
                <w:rFonts w:ascii="Helvetica" w:hAnsi="Helvetica" w:cs="Helvetica"/>
                <w:sz w:val="20"/>
                <w:szCs w:val="20"/>
              </w:rPr>
              <w:t xml:space="preserve">4. </w:t>
            </w:r>
          </w:p>
          <w:p w14:paraId="06D54CB1" w14:textId="77777777" w:rsidR="001A7EDE" w:rsidRDefault="001A7EDE" w:rsidP="00873D02">
            <w:pPr>
              <w:rPr>
                <w:rFonts w:ascii="Helvetica" w:hAnsi="Helvetica" w:cs="Helvetica"/>
                <w:sz w:val="20"/>
                <w:szCs w:val="20"/>
              </w:rPr>
            </w:pPr>
          </w:p>
          <w:p w14:paraId="3FEBD600" w14:textId="77777777" w:rsidR="001A7EDE" w:rsidRPr="009F0EF0" w:rsidRDefault="001A7EDE" w:rsidP="00873D02">
            <w:pPr>
              <w:rPr>
                <w:rFonts w:ascii="Helvetica" w:hAnsi="Helvetica" w:cs="Helvetica"/>
                <w:sz w:val="20"/>
                <w:szCs w:val="20"/>
              </w:rPr>
            </w:pPr>
            <w:r>
              <w:rPr>
                <w:rFonts w:ascii="Helvetica" w:hAnsi="Helvetica" w:cs="Helvetica"/>
                <w:b/>
                <w:bCs/>
                <w:sz w:val="20"/>
                <w:szCs w:val="20"/>
              </w:rPr>
              <w:t xml:space="preserve">Secondary outcomes – </w:t>
            </w:r>
            <w:r>
              <w:rPr>
                <w:rFonts w:ascii="Helvetica" w:hAnsi="Helvetica" w:cs="Helvetica"/>
                <w:sz w:val="20"/>
                <w:szCs w:val="20"/>
              </w:rPr>
              <w:t xml:space="preserve">Usability and acceptability of </w:t>
            </w:r>
            <w:proofErr w:type="spellStart"/>
            <w:r>
              <w:rPr>
                <w:rFonts w:ascii="Helvetica" w:hAnsi="Helvetica" w:cs="Helvetica"/>
                <w:sz w:val="20"/>
                <w:szCs w:val="20"/>
              </w:rPr>
              <w:t>IBDsmart</w:t>
            </w:r>
            <w:proofErr w:type="spellEnd"/>
            <w:r>
              <w:rPr>
                <w:rFonts w:ascii="Helvetica" w:hAnsi="Helvetica" w:cs="Helvetica"/>
                <w:sz w:val="20"/>
                <w:szCs w:val="20"/>
              </w:rPr>
              <w:t xml:space="preserve"> and </w:t>
            </w:r>
            <w:proofErr w:type="spellStart"/>
            <w:r>
              <w:rPr>
                <w:rFonts w:ascii="Helvetica" w:hAnsi="Helvetica" w:cs="Helvetica"/>
                <w:sz w:val="20"/>
                <w:szCs w:val="20"/>
              </w:rPr>
              <w:t>IBDoc</w:t>
            </w:r>
            <w:proofErr w:type="spellEnd"/>
            <w:r>
              <w:rPr>
                <w:rFonts w:ascii="Helvetica" w:hAnsi="Helvetica" w:cs="Helvetica"/>
                <w:sz w:val="20"/>
                <w:szCs w:val="20"/>
              </w:rPr>
              <w:t xml:space="preserve">. Adherence as measured by utilization of applications. </w:t>
            </w:r>
          </w:p>
        </w:tc>
        <w:tc>
          <w:tcPr>
            <w:tcW w:w="5670" w:type="dxa"/>
          </w:tcPr>
          <w:p w14:paraId="557DA493" w14:textId="77777777" w:rsidR="001A7EDE" w:rsidRDefault="001A7EDE" w:rsidP="00873D02">
            <w:pPr>
              <w:rPr>
                <w:rFonts w:ascii="Helvetica" w:hAnsi="Helvetica" w:cs="Helvetica"/>
                <w:b/>
                <w:bCs/>
                <w:sz w:val="20"/>
                <w:szCs w:val="20"/>
              </w:rPr>
            </w:pPr>
            <w:r>
              <w:rPr>
                <w:rFonts w:ascii="Helvetica" w:hAnsi="Helvetica" w:cs="Helvetica"/>
                <w:b/>
                <w:bCs/>
                <w:sz w:val="20"/>
                <w:szCs w:val="20"/>
              </w:rPr>
              <w:t xml:space="preserve">Intervention – </w:t>
            </w:r>
          </w:p>
          <w:p w14:paraId="501F8ECB" w14:textId="60EC07A3" w:rsidR="001A7EDE" w:rsidRPr="00EF4883" w:rsidRDefault="001A7EDE" w:rsidP="00873D02">
            <w:pPr>
              <w:rPr>
                <w:rFonts w:ascii="Helvetica" w:hAnsi="Helvetica" w:cs="Helvetica"/>
                <w:sz w:val="20"/>
                <w:szCs w:val="20"/>
              </w:rPr>
            </w:pPr>
            <w:r>
              <w:rPr>
                <w:rFonts w:ascii="Helvetica" w:hAnsi="Helvetica" w:cs="Helvetica"/>
                <w:sz w:val="20"/>
                <w:szCs w:val="20"/>
              </w:rPr>
              <w:t xml:space="preserve">2 smartphone applications for IBD monitoring and management with </w:t>
            </w:r>
            <w:proofErr w:type="spellStart"/>
            <w:r>
              <w:rPr>
                <w:rFonts w:ascii="Helvetica" w:hAnsi="Helvetica" w:cs="Helvetica"/>
                <w:sz w:val="20"/>
                <w:szCs w:val="20"/>
              </w:rPr>
              <w:t>IBDsmart</w:t>
            </w:r>
            <w:proofErr w:type="spellEnd"/>
            <w:r>
              <w:rPr>
                <w:rFonts w:ascii="Helvetica" w:hAnsi="Helvetica" w:cs="Helvetica"/>
                <w:sz w:val="20"/>
                <w:szCs w:val="20"/>
              </w:rPr>
              <w:t xml:space="preserve"> and </w:t>
            </w:r>
            <w:proofErr w:type="spellStart"/>
            <w:r>
              <w:rPr>
                <w:rFonts w:ascii="Helvetica" w:hAnsi="Helvetica" w:cs="Helvetica"/>
                <w:sz w:val="20"/>
                <w:szCs w:val="20"/>
              </w:rPr>
              <w:t>IBDoc</w:t>
            </w:r>
            <w:proofErr w:type="spellEnd"/>
            <w:r>
              <w:rPr>
                <w:rFonts w:ascii="Helvetica" w:hAnsi="Helvetica" w:cs="Helvetica"/>
                <w:sz w:val="20"/>
                <w:szCs w:val="20"/>
              </w:rPr>
              <w:t xml:space="preserve">. </w:t>
            </w:r>
            <w:proofErr w:type="spellStart"/>
            <w:r>
              <w:rPr>
                <w:rFonts w:ascii="Helvetica" w:hAnsi="Helvetica" w:cs="Helvetica"/>
                <w:sz w:val="20"/>
                <w:szCs w:val="20"/>
              </w:rPr>
              <w:t>IBDsmart</w:t>
            </w:r>
            <w:proofErr w:type="spellEnd"/>
            <w:r>
              <w:rPr>
                <w:rFonts w:ascii="Helvetica" w:hAnsi="Helvetica" w:cs="Helvetica"/>
                <w:sz w:val="20"/>
                <w:szCs w:val="20"/>
              </w:rPr>
              <w:t xml:space="preserve"> records symptom disease activity indices with Harvey Bradshaw Index (HBI) and the Simple Clinical Colitis Activity Index (SCCAI). The symptom scores are sent to health care providers. </w:t>
            </w:r>
            <w:proofErr w:type="spellStart"/>
            <w:r>
              <w:rPr>
                <w:rFonts w:ascii="Helvetica" w:hAnsi="Helvetica" w:cs="Helvetica"/>
                <w:sz w:val="20"/>
                <w:szCs w:val="20"/>
              </w:rPr>
              <w:t>IBDoc</w:t>
            </w:r>
            <w:proofErr w:type="spellEnd"/>
            <w:r>
              <w:rPr>
                <w:rFonts w:ascii="Helvetica" w:hAnsi="Helvetica" w:cs="Helvetica"/>
                <w:sz w:val="20"/>
                <w:szCs w:val="20"/>
              </w:rPr>
              <w:t xml:space="preserve"> calculates fecal calprotectin scores from stool samples provided by IBD patients at home.</w:t>
            </w:r>
            <w:r w:rsidR="00305C17">
              <w:rPr>
                <w:rFonts w:ascii="Helvetica" w:hAnsi="Helvetica" w:cs="Helvetica"/>
                <w:sz w:val="20"/>
                <w:szCs w:val="20"/>
              </w:rPr>
              <w:t xml:space="preserve"> Patients self-completed HBI/SCCAI through the applications at least quarterly while in person visits were at baseline and 12 months.</w:t>
            </w:r>
          </w:p>
          <w:p w14:paraId="65B5D118" w14:textId="77777777" w:rsidR="001A7EDE" w:rsidRDefault="001A7EDE" w:rsidP="00873D02">
            <w:pPr>
              <w:rPr>
                <w:rFonts w:ascii="Helvetica" w:hAnsi="Helvetica" w:cs="Helvetica"/>
                <w:b/>
                <w:bCs/>
                <w:sz w:val="20"/>
                <w:szCs w:val="20"/>
              </w:rPr>
            </w:pPr>
          </w:p>
          <w:p w14:paraId="0B236D46" w14:textId="77777777" w:rsidR="001A7EDE" w:rsidRPr="00D715DC" w:rsidRDefault="001A7EDE" w:rsidP="00873D02">
            <w:pPr>
              <w:rPr>
                <w:rFonts w:ascii="Helvetica" w:hAnsi="Helvetica" w:cs="Helvetica"/>
                <w:sz w:val="20"/>
                <w:szCs w:val="20"/>
              </w:rPr>
            </w:pPr>
            <w:r>
              <w:rPr>
                <w:rFonts w:ascii="Helvetica" w:hAnsi="Helvetica" w:cs="Helvetica"/>
                <w:b/>
                <w:bCs/>
                <w:sz w:val="20"/>
                <w:szCs w:val="20"/>
              </w:rPr>
              <w:t xml:space="preserve">Control – </w:t>
            </w:r>
            <w:r>
              <w:rPr>
                <w:rFonts w:ascii="Helvetica" w:hAnsi="Helvetica" w:cs="Helvetica"/>
                <w:sz w:val="20"/>
                <w:szCs w:val="20"/>
              </w:rPr>
              <w:t>usual IBD care from their physician.</w:t>
            </w:r>
          </w:p>
        </w:tc>
      </w:tr>
      <w:tr w:rsidR="001A7EDE" w:rsidRPr="002B2A8B" w14:paraId="567F0B73" w14:textId="77777777" w:rsidTr="00B57657">
        <w:trPr>
          <w:trHeight w:val="226"/>
        </w:trPr>
        <w:tc>
          <w:tcPr>
            <w:tcW w:w="1080" w:type="dxa"/>
          </w:tcPr>
          <w:p w14:paraId="1D2DD925" w14:textId="77777777" w:rsidR="001A7EDE" w:rsidRPr="002B2A8B" w:rsidRDefault="001A7EDE" w:rsidP="00873D02">
            <w:pPr>
              <w:rPr>
                <w:rFonts w:ascii="Helvetica" w:hAnsi="Helvetica" w:cs="Helvetica"/>
                <w:sz w:val="20"/>
                <w:szCs w:val="20"/>
              </w:rPr>
            </w:pPr>
            <w:r>
              <w:rPr>
                <w:rFonts w:ascii="Helvetica" w:hAnsi="Helvetica" w:cs="Helvetica"/>
                <w:sz w:val="20"/>
                <w:szCs w:val="20"/>
              </w:rPr>
              <w:t>13</w:t>
            </w:r>
          </w:p>
        </w:tc>
        <w:tc>
          <w:tcPr>
            <w:tcW w:w="1710" w:type="dxa"/>
          </w:tcPr>
          <w:p w14:paraId="02F02681" w14:textId="77777777" w:rsidR="001A7EDE" w:rsidRPr="002B2A8B" w:rsidRDefault="001A7EDE" w:rsidP="00873D02">
            <w:pPr>
              <w:rPr>
                <w:rFonts w:ascii="Helvetica" w:hAnsi="Helvetica" w:cs="Helvetica"/>
                <w:sz w:val="20"/>
                <w:szCs w:val="20"/>
              </w:rPr>
            </w:pPr>
            <w:proofErr w:type="spellStart"/>
            <w:r w:rsidRPr="002B2A8B">
              <w:rPr>
                <w:rFonts w:ascii="Helvetica" w:hAnsi="Helvetica" w:cs="Helvetica"/>
                <w:sz w:val="20"/>
                <w:szCs w:val="20"/>
              </w:rPr>
              <w:t>Miloh</w:t>
            </w:r>
            <w:proofErr w:type="spellEnd"/>
            <w:r>
              <w:rPr>
                <w:rFonts w:ascii="Helvetica" w:hAnsi="Helvetica" w:cs="Helvetica"/>
                <w:sz w:val="20"/>
                <w:szCs w:val="20"/>
              </w:rPr>
              <w:t xml:space="preserve"> T</w:t>
            </w:r>
            <w:r w:rsidRPr="002B2A8B">
              <w:rPr>
                <w:rFonts w:ascii="Helvetica" w:hAnsi="Helvetica" w:cs="Helvetica"/>
                <w:sz w:val="20"/>
                <w:szCs w:val="20"/>
              </w:rPr>
              <w:t>, 2017</w:t>
            </w:r>
          </w:p>
        </w:tc>
        <w:tc>
          <w:tcPr>
            <w:tcW w:w="5490" w:type="dxa"/>
          </w:tcPr>
          <w:p w14:paraId="26296D5C" w14:textId="77777777" w:rsidR="001A7EDE" w:rsidRDefault="001A7EDE" w:rsidP="00873D02">
            <w:pPr>
              <w:rPr>
                <w:rFonts w:ascii="Helvetica" w:hAnsi="Helvetica" w:cs="Helvetica"/>
                <w:sz w:val="20"/>
                <w:szCs w:val="20"/>
              </w:rPr>
            </w:pPr>
            <w:r w:rsidRPr="00B43DC7">
              <w:rPr>
                <w:rFonts w:ascii="Helvetica" w:hAnsi="Helvetica" w:cs="Helvetica"/>
                <w:sz w:val="20"/>
                <w:szCs w:val="20"/>
              </w:rPr>
              <w:t>Clinical score using Pediatric Crohn Disease Activity Index for patients with Crohn’s and Pediatric Ulcerative Colitis Activity Index for patients with ulcerative colitis.</w:t>
            </w:r>
          </w:p>
          <w:p w14:paraId="1E551BE5" w14:textId="77777777" w:rsidR="001A7EDE" w:rsidRDefault="001A7EDE" w:rsidP="00873D02">
            <w:pPr>
              <w:rPr>
                <w:rFonts w:ascii="Helvetica" w:hAnsi="Helvetica" w:cs="Helvetica"/>
                <w:sz w:val="20"/>
                <w:szCs w:val="20"/>
              </w:rPr>
            </w:pPr>
          </w:p>
          <w:p w14:paraId="421BDFE1" w14:textId="77777777" w:rsidR="001A7EDE" w:rsidRPr="00B43DC7" w:rsidRDefault="001A7EDE" w:rsidP="00873D02">
            <w:pPr>
              <w:rPr>
                <w:rFonts w:ascii="Helvetica" w:hAnsi="Helvetica" w:cs="Helvetica"/>
                <w:sz w:val="20"/>
                <w:szCs w:val="20"/>
              </w:rPr>
            </w:pPr>
            <w:r>
              <w:rPr>
                <w:rFonts w:ascii="Helvetica" w:hAnsi="Helvetica" w:cs="Helvetica"/>
                <w:sz w:val="20"/>
                <w:szCs w:val="20"/>
              </w:rPr>
              <w:t xml:space="preserve">Medication adherence was assessed using </w:t>
            </w:r>
            <w:proofErr w:type="spellStart"/>
            <w:r>
              <w:rPr>
                <w:rFonts w:ascii="Helvetica" w:hAnsi="Helvetica" w:cs="Helvetica"/>
                <w:sz w:val="20"/>
                <w:szCs w:val="20"/>
              </w:rPr>
              <w:t>Morisky</w:t>
            </w:r>
            <w:proofErr w:type="spellEnd"/>
            <w:r>
              <w:rPr>
                <w:rFonts w:ascii="Helvetica" w:hAnsi="Helvetica" w:cs="Helvetica"/>
                <w:sz w:val="20"/>
                <w:szCs w:val="20"/>
              </w:rPr>
              <w:t xml:space="preserve"> questionnaire.</w:t>
            </w:r>
          </w:p>
        </w:tc>
        <w:tc>
          <w:tcPr>
            <w:tcW w:w="5670" w:type="dxa"/>
          </w:tcPr>
          <w:p w14:paraId="4268A3B7" w14:textId="6493BA43" w:rsidR="001A7EDE" w:rsidRPr="00B43DC7" w:rsidRDefault="001A7EDE" w:rsidP="00873D02">
            <w:pPr>
              <w:rPr>
                <w:rFonts w:ascii="Helvetica" w:hAnsi="Helvetica" w:cs="Helvetica"/>
                <w:sz w:val="20"/>
                <w:szCs w:val="20"/>
              </w:rPr>
            </w:pPr>
            <w:r>
              <w:rPr>
                <w:rFonts w:ascii="Helvetica" w:hAnsi="Helvetica" w:cs="Helvetica"/>
                <w:b/>
                <w:bCs/>
                <w:sz w:val="20"/>
                <w:szCs w:val="20"/>
              </w:rPr>
              <w:t xml:space="preserve">Intervention – </w:t>
            </w:r>
            <w:r>
              <w:rPr>
                <w:rFonts w:ascii="Helvetica" w:hAnsi="Helvetica" w:cs="Helvetica"/>
                <w:sz w:val="20"/>
                <w:szCs w:val="20"/>
              </w:rPr>
              <w:t xml:space="preserve">2-way texting messaging (TM) group to improve medication adherence. </w:t>
            </w:r>
            <w:r w:rsidR="006A10DD">
              <w:rPr>
                <w:rFonts w:ascii="Helvetica" w:hAnsi="Helvetica" w:cs="Helvetica"/>
                <w:sz w:val="20"/>
                <w:szCs w:val="20"/>
              </w:rPr>
              <w:t xml:space="preserve">Patients and/or caregivers required to use </w:t>
            </w:r>
            <w:proofErr w:type="spellStart"/>
            <w:r w:rsidR="006A10DD">
              <w:rPr>
                <w:rFonts w:ascii="Helvetica" w:hAnsi="Helvetica" w:cs="Helvetica"/>
                <w:sz w:val="20"/>
                <w:szCs w:val="20"/>
              </w:rPr>
              <w:t>MediM</w:t>
            </w:r>
            <w:proofErr w:type="spellEnd"/>
            <w:r w:rsidR="006A10DD">
              <w:rPr>
                <w:rFonts w:ascii="Helvetica" w:hAnsi="Helvetica" w:cs="Helvetica"/>
                <w:sz w:val="20"/>
                <w:szCs w:val="20"/>
              </w:rPr>
              <w:t xml:space="preserve"> system</w:t>
            </w:r>
            <w:r w:rsidR="004629B8">
              <w:rPr>
                <w:rFonts w:ascii="Helvetica" w:hAnsi="Helvetica" w:cs="Helvetica"/>
                <w:sz w:val="20"/>
                <w:szCs w:val="20"/>
              </w:rPr>
              <w:t xml:space="preserve"> to log their contact information, frequency of prescribed information and when alerts would be </w:t>
            </w:r>
            <w:r w:rsidR="0002375E">
              <w:rPr>
                <w:rFonts w:ascii="Helvetica" w:hAnsi="Helvetica" w:cs="Helvetica"/>
                <w:sz w:val="20"/>
                <w:szCs w:val="20"/>
              </w:rPr>
              <w:t>sent to the patient/caregiver. The text messages were sent at individually set times based on patient preference.</w:t>
            </w:r>
          </w:p>
          <w:p w14:paraId="435D6950" w14:textId="77777777" w:rsidR="001A7EDE" w:rsidRDefault="001A7EDE" w:rsidP="00873D02">
            <w:pPr>
              <w:rPr>
                <w:rFonts w:ascii="Helvetica" w:hAnsi="Helvetica" w:cs="Helvetica"/>
                <w:b/>
                <w:bCs/>
                <w:sz w:val="20"/>
                <w:szCs w:val="20"/>
              </w:rPr>
            </w:pPr>
          </w:p>
          <w:p w14:paraId="29EFAD54" w14:textId="77777777" w:rsidR="001A7EDE" w:rsidRDefault="001A7EDE" w:rsidP="00873D02">
            <w:pPr>
              <w:rPr>
                <w:rFonts w:ascii="Helvetica" w:hAnsi="Helvetica" w:cs="Helvetica"/>
                <w:sz w:val="20"/>
                <w:szCs w:val="20"/>
              </w:rPr>
            </w:pPr>
            <w:r>
              <w:rPr>
                <w:rFonts w:ascii="Helvetica" w:hAnsi="Helvetica" w:cs="Helvetica"/>
                <w:b/>
                <w:bCs/>
                <w:sz w:val="20"/>
                <w:szCs w:val="20"/>
              </w:rPr>
              <w:t xml:space="preserve">Control – </w:t>
            </w:r>
            <w:r>
              <w:rPr>
                <w:rFonts w:ascii="Helvetica" w:hAnsi="Helvetica" w:cs="Helvetica"/>
                <w:sz w:val="20"/>
                <w:szCs w:val="20"/>
              </w:rPr>
              <w:t>standard of care</w:t>
            </w:r>
          </w:p>
          <w:p w14:paraId="2A4517BC" w14:textId="77777777" w:rsidR="00C37420" w:rsidRDefault="00C37420" w:rsidP="00873D02">
            <w:pPr>
              <w:rPr>
                <w:rFonts w:ascii="Helvetica" w:hAnsi="Helvetica" w:cs="Helvetica"/>
                <w:sz w:val="20"/>
                <w:szCs w:val="20"/>
              </w:rPr>
            </w:pPr>
          </w:p>
          <w:p w14:paraId="719E06FD" w14:textId="4E78DC90" w:rsidR="00C37420" w:rsidRPr="008574C8" w:rsidRDefault="00C37420" w:rsidP="00873D02">
            <w:pPr>
              <w:rPr>
                <w:rFonts w:ascii="Helvetica" w:hAnsi="Helvetica" w:cs="Helvetica"/>
                <w:sz w:val="20"/>
                <w:szCs w:val="20"/>
              </w:rPr>
            </w:pPr>
            <w:r>
              <w:rPr>
                <w:rFonts w:ascii="Helvetica" w:hAnsi="Helvetica" w:cs="Helvetica"/>
                <w:sz w:val="20"/>
                <w:szCs w:val="20"/>
              </w:rPr>
              <w:t>All patients were followed in the pediatric gastroenterology clinic according to their condition and needs for 12 months. They had to complete the adherence questionnaire at entry, 6 months, and after completion of the study at 12 months.</w:t>
            </w:r>
          </w:p>
        </w:tc>
      </w:tr>
      <w:tr w:rsidR="001A7EDE" w:rsidRPr="002B2A8B" w14:paraId="19C7A7D9" w14:textId="77777777" w:rsidTr="00B57657">
        <w:trPr>
          <w:trHeight w:val="226"/>
        </w:trPr>
        <w:tc>
          <w:tcPr>
            <w:tcW w:w="1080" w:type="dxa"/>
          </w:tcPr>
          <w:p w14:paraId="62E71836" w14:textId="77777777" w:rsidR="001A7EDE" w:rsidRPr="002B2A8B" w:rsidRDefault="001A7EDE" w:rsidP="00873D02">
            <w:pPr>
              <w:rPr>
                <w:rFonts w:ascii="Helvetica" w:hAnsi="Helvetica" w:cs="Helvetica"/>
                <w:sz w:val="20"/>
                <w:szCs w:val="20"/>
              </w:rPr>
            </w:pPr>
            <w:r>
              <w:rPr>
                <w:rFonts w:ascii="Helvetica" w:hAnsi="Helvetica" w:cs="Helvetica"/>
                <w:sz w:val="20"/>
                <w:szCs w:val="20"/>
              </w:rPr>
              <w:lastRenderedPageBreak/>
              <w:t>14</w:t>
            </w:r>
          </w:p>
        </w:tc>
        <w:tc>
          <w:tcPr>
            <w:tcW w:w="1710" w:type="dxa"/>
          </w:tcPr>
          <w:p w14:paraId="5698BCDD" w14:textId="77777777" w:rsidR="001A7EDE" w:rsidRPr="002B2A8B" w:rsidRDefault="001A7EDE" w:rsidP="00873D02">
            <w:pPr>
              <w:rPr>
                <w:rFonts w:ascii="Helvetica" w:hAnsi="Helvetica" w:cs="Helvetica"/>
                <w:sz w:val="20"/>
                <w:szCs w:val="20"/>
              </w:rPr>
            </w:pPr>
            <w:proofErr w:type="spellStart"/>
            <w:r w:rsidRPr="002B2A8B">
              <w:rPr>
                <w:rFonts w:ascii="Helvetica" w:hAnsi="Helvetica" w:cs="Helvetica"/>
                <w:sz w:val="20"/>
                <w:szCs w:val="20"/>
              </w:rPr>
              <w:t>Schliep</w:t>
            </w:r>
            <w:proofErr w:type="spellEnd"/>
            <w:r>
              <w:rPr>
                <w:rFonts w:ascii="Helvetica" w:hAnsi="Helvetica" w:cs="Helvetica"/>
                <w:sz w:val="20"/>
                <w:szCs w:val="20"/>
              </w:rPr>
              <w:t xml:space="preserve"> M</w:t>
            </w:r>
            <w:r w:rsidRPr="002B2A8B">
              <w:rPr>
                <w:rFonts w:ascii="Helvetica" w:hAnsi="Helvetica" w:cs="Helvetica"/>
                <w:sz w:val="20"/>
                <w:szCs w:val="20"/>
              </w:rPr>
              <w:t>, 2020</w:t>
            </w:r>
          </w:p>
        </w:tc>
        <w:tc>
          <w:tcPr>
            <w:tcW w:w="5490" w:type="dxa"/>
          </w:tcPr>
          <w:p w14:paraId="597596C9" w14:textId="77777777" w:rsidR="001A7EDE" w:rsidRPr="003C6F8A" w:rsidRDefault="001A7EDE" w:rsidP="00873D02">
            <w:pPr>
              <w:rPr>
                <w:rFonts w:ascii="Helvetica" w:hAnsi="Helvetica" w:cs="Helvetica"/>
                <w:sz w:val="20"/>
                <w:szCs w:val="20"/>
              </w:rPr>
            </w:pPr>
            <w:r>
              <w:rPr>
                <w:rFonts w:ascii="Helvetica" w:hAnsi="Helvetica" w:cs="Helvetica"/>
                <w:sz w:val="20"/>
                <w:szCs w:val="20"/>
              </w:rPr>
              <w:t xml:space="preserve">Depressive symptoms were assessed with the Mental Health Inventory 5 (MHI-5) and Quality of Life was measured by the Short Form 12 (SF-12). </w:t>
            </w:r>
          </w:p>
        </w:tc>
        <w:tc>
          <w:tcPr>
            <w:tcW w:w="5670" w:type="dxa"/>
          </w:tcPr>
          <w:p w14:paraId="0F26938F" w14:textId="77777777" w:rsidR="001A7EDE" w:rsidRPr="002B2A8B" w:rsidRDefault="001A7EDE" w:rsidP="00873D02">
            <w:pPr>
              <w:rPr>
                <w:rFonts w:ascii="Helvetica" w:hAnsi="Helvetica" w:cs="Helvetica"/>
                <w:b/>
                <w:bCs/>
                <w:sz w:val="20"/>
                <w:szCs w:val="20"/>
              </w:rPr>
            </w:pPr>
            <w:r w:rsidRPr="002B2A8B">
              <w:rPr>
                <w:rFonts w:ascii="Helvetica" w:hAnsi="Helvetica" w:cs="Helvetica"/>
                <w:b/>
                <w:bCs/>
                <w:sz w:val="20"/>
                <w:szCs w:val="20"/>
              </w:rPr>
              <w:t>Intervention</w:t>
            </w:r>
            <w:r>
              <w:rPr>
                <w:rFonts w:ascii="Helvetica" w:hAnsi="Helvetica" w:cs="Helvetica"/>
                <w:b/>
                <w:bCs/>
                <w:sz w:val="20"/>
                <w:szCs w:val="20"/>
              </w:rPr>
              <w:t xml:space="preserve"> – </w:t>
            </w:r>
          </w:p>
          <w:p w14:paraId="55F79610" w14:textId="74470491" w:rsidR="001A7EDE" w:rsidRPr="002B2A8B" w:rsidRDefault="001A7EDE" w:rsidP="00873D02">
            <w:pPr>
              <w:rPr>
                <w:rFonts w:ascii="Helvetica" w:hAnsi="Helvetica" w:cs="Helvetica"/>
                <w:sz w:val="20"/>
                <w:szCs w:val="20"/>
              </w:rPr>
            </w:pPr>
            <w:r w:rsidRPr="002B2A8B">
              <w:rPr>
                <w:rFonts w:ascii="Helvetica" w:hAnsi="Helvetica" w:cs="Helvetica"/>
                <w:sz w:val="20"/>
                <w:szCs w:val="20"/>
              </w:rPr>
              <w:t>Secure web-portal sent texts to participants based on activity zone (green – remission/mild; yellow – moderate; red – severe) to provide individualized action plans and email alerts to participant and nurse coordinator.</w:t>
            </w:r>
            <w:r w:rsidR="004A4ABB">
              <w:rPr>
                <w:rFonts w:ascii="Helvetica" w:hAnsi="Helvetica" w:cs="Helvetica"/>
                <w:sz w:val="20"/>
                <w:szCs w:val="20"/>
              </w:rPr>
              <w:t xml:space="preserve"> TELE-IBD system was designed for bidirectional communication via text messaging only</w:t>
            </w:r>
            <w:r w:rsidR="009D6E52">
              <w:rPr>
                <w:rFonts w:ascii="Helvetica" w:hAnsi="Helvetica" w:cs="Helvetica"/>
                <w:sz w:val="20"/>
                <w:szCs w:val="20"/>
              </w:rPr>
              <w:t>. Patients were also provided with electronic scales where they can record their weights. Healthcare providers had access to a secure decision support server and website that included patient clinical data from their testing sessions.</w:t>
            </w:r>
            <w:r w:rsidR="00097F46">
              <w:rPr>
                <w:rFonts w:ascii="Helvetica" w:hAnsi="Helvetica" w:cs="Helvetica"/>
                <w:sz w:val="20"/>
                <w:szCs w:val="20"/>
              </w:rPr>
              <w:t xml:space="preserve"> They continued to follow up regularly with their provider and could contact office staff via telephone or electronic messaging. </w:t>
            </w:r>
          </w:p>
          <w:p w14:paraId="1644B7BC" w14:textId="77777777" w:rsidR="001A7EDE" w:rsidRPr="002B2A8B" w:rsidRDefault="001A7EDE" w:rsidP="00873D02">
            <w:pPr>
              <w:rPr>
                <w:rFonts w:ascii="Helvetica" w:hAnsi="Helvetica" w:cs="Helvetica"/>
                <w:sz w:val="20"/>
                <w:szCs w:val="20"/>
              </w:rPr>
            </w:pPr>
          </w:p>
          <w:p w14:paraId="65496B8E" w14:textId="77777777" w:rsidR="001A7EDE" w:rsidRPr="002B2A8B" w:rsidRDefault="001A7EDE" w:rsidP="00873D02">
            <w:pPr>
              <w:rPr>
                <w:rFonts w:ascii="Helvetica" w:hAnsi="Helvetica" w:cs="Helvetica"/>
                <w:b/>
                <w:bCs/>
                <w:sz w:val="20"/>
                <w:szCs w:val="20"/>
              </w:rPr>
            </w:pPr>
            <w:r w:rsidRPr="002B2A8B">
              <w:rPr>
                <w:rFonts w:ascii="Helvetica" w:hAnsi="Helvetica" w:cs="Helvetica"/>
                <w:b/>
                <w:bCs/>
                <w:sz w:val="20"/>
                <w:szCs w:val="20"/>
              </w:rPr>
              <w:t>Control</w:t>
            </w:r>
            <w:r>
              <w:rPr>
                <w:rFonts w:ascii="Helvetica" w:hAnsi="Helvetica" w:cs="Helvetica"/>
                <w:b/>
                <w:bCs/>
                <w:sz w:val="20"/>
                <w:szCs w:val="20"/>
              </w:rPr>
              <w:t xml:space="preserve"> – </w:t>
            </w:r>
          </w:p>
          <w:p w14:paraId="4CB012A2" w14:textId="77777777" w:rsidR="001A7EDE" w:rsidRPr="002B2A8B" w:rsidRDefault="001A7EDE" w:rsidP="00873D02">
            <w:pPr>
              <w:rPr>
                <w:rFonts w:ascii="Helvetica" w:hAnsi="Helvetica" w:cs="Helvetica"/>
                <w:b/>
                <w:bCs/>
                <w:sz w:val="20"/>
                <w:szCs w:val="20"/>
              </w:rPr>
            </w:pPr>
            <w:r w:rsidRPr="002B2A8B">
              <w:rPr>
                <w:rFonts w:ascii="Helvetica" w:hAnsi="Helvetica" w:cs="Helvetica"/>
                <w:sz w:val="20"/>
                <w:szCs w:val="20"/>
              </w:rPr>
              <w:t>Care based on current evidence-based guidelines and as needed visits/calls</w:t>
            </w:r>
          </w:p>
        </w:tc>
      </w:tr>
    </w:tbl>
    <w:p w14:paraId="3E162049" w14:textId="0180A8D6" w:rsidR="009401DE" w:rsidRDefault="00227348" w:rsidP="00227348">
      <w:pPr>
        <w:spacing w:after="0" w:line="240" w:lineRule="auto"/>
        <w:rPr>
          <w:rFonts w:ascii="Helvetica" w:hAnsi="Helvetica" w:cs="Helvetica"/>
          <w:sz w:val="20"/>
          <w:szCs w:val="20"/>
        </w:rPr>
      </w:pPr>
      <w:r>
        <w:rPr>
          <w:rFonts w:ascii="Helvetica" w:hAnsi="Helvetica" w:cs="Helvetica"/>
          <w:sz w:val="20"/>
          <w:szCs w:val="20"/>
        </w:rPr>
        <w:t>HBI: Harvey Bradshaw Index</w:t>
      </w:r>
    </w:p>
    <w:p w14:paraId="3FD9D3D0" w14:textId="0AAC37A8" w:rsidR="00227348" w:rsidRDefault="00227348" w:rsidP="00227348">
      <w:pPr>
        <w:spacing w:after="0" w:line="240" w:lineRule="auto"/>
        <w:rPr>
          <w:rFonts w:ascii="Helvetica" w:hAnsi="Helvetica" w:cs="Helvetica"/>
          <w:sz w:val="20"/>
          <w:szCs w:val="20"/>
        </w:rPr>
      </w:pPr>
      <w:r>
        <w:rPr>
          <w:rFonts w:ascii="Helvetica" w:hAnsi="Helvetica" w:cs="Helvetica"/>
          <w:sz w:val="20"/>
          <w:szCs w:val="20"/>
        </w:rPr>
        <w:t xml:space="preserve">CD: Crohn’s </w:t>
      </w:r>
      <w:r w:rsidR="00C354B6">
        <w:rPr>
          <w:rFonts w:ascii="Helvetica" w:hAnsi="Helvetica" w:cs="Helvetica"/>
          <w:sz w:val="20"/>
          <w:szCs w:val="20"/>
        </w:rPr>
        <w:t>D</w:t>
      </w:r>
      <w:r>
        <w:rPr>
          <w:rFonts w:ascii="Helvetica" w:hAnsi="Helvetica" w:cs="Helvetica"/>
          <w:sz w:val="20"/>
          <w:szCs w:val="20"/>
        </w:rPr>
        <w:t>isease</w:t>
      </w:r>
    </w:p>
    <w:p w14:paraId="585C26AA" w14:textId="250366C4" w:rsidR="00D0641B" w:rsidRDefault="00D0641B" w:rsidP="00227348">
      <w:pPr>
        <w:spacing w:after="0" w:line="240" w:lineRule="auto"/>
        <w:rPr>
          <w:rFonts w:ascii="Helvetica" w:hAnsi="Helvetica" w:cs="Helvetica"/>
          <w:sz w:val="20"/>
          <w:szCs w:val="20"/>
        </w:rPr>
      </w:pPr>
      <w:r>
        <w:rPr>
          <w:rFonts w:ascii="Helvetica" w:hAnsi="Helvetica" w:cs="Helvetica"/>
          <w:sz w:val="20"/>
          <w:szCs w:val="20"/>
        </w:rPr>
        <w:t xml:space="preserve">UC: Ulcerative </w:t>
      </w:r>
      <w:r w:rsidR="00C354B6">
        <w:rPr>
          <w:rFonts w:ascii="Helvetica" w:hAnsi="Helvetica" w:cs="Helvetica"/>
          <w:sz w:val="20"/>
          <w:szCs w:val="20"/>
        </w:rPr>
        <w:t>C</w:t>
      </w:r>
      <w:r>
        <w:rPr>
          <w:rFonts w:ascii="Helvetica" w:hAnsi="Helvetica" w:cs="Helvetica"/>
          <w:sz w:val="20"/>
          <w:szCs w:val="20"/>
        </w:rPr>
        <w:t>olitis</w:t>
      </w:r>
    </w:p>
    <w:p w14:paraId="61E0BF80" w14:textId="5ADFD786" w:rsidR="00227348" w:rsidRDefault="00227348" w:rsidP="00227348">
      <w:pPr>
        <w:spacing w:after="0" w:line="240" w:lineRule="auto"/>
        <w:rPr>
          <w:rFonts w:ascii="Helvetica" w:hAnsi="Helvetica" w:cs="Helvetica"/>
          <w:sz w:val="20"/>
          <w:szCs w:val="20"/>
        </w:rPr>
      </w:pPr>
      <w:r>
        <w:rPr>
          <w:rFonts w:ascii="Helvetica" w:hAnsi="Helvetica" w:cs="Helvetica"/>
          <w:sz w:val="20"/>
          <w:szCs w:val="20"/>
        </w:rPr>
        <w:t xml:space="preserve">SCCAI: </w:t>
      </w:r>
      <w:r w:rsidR="00D0641B">
        <w:rPr>
          <w:rFonts w:ascii="Helvetica" w:hAnsi="Helvetica" w:cs="Helvetica"/>
          <w:sz w:val="20"/>
          <w:szCs w:val="20"/>
        </w:rPr>
        <w:t>Simple Clinical Colitis Activity Index</w:t>
      </w:r>
    </w:p>
    <w:p w14:paraId="72AE6B5C" w14:textId="339BB037" w:rsidR="00D0641B" w:rsidRDefault="00D0641B" w:rsidP="00227348">
      <w:pPr>
        <w:spacing w:after="0" w:line="240" w:lineRule="auto"/>
        <w:rPr>
          <w:rFonts w:ascii="Helvetica" w:hAnsi="Helvetica" w:cs="Helvetica"/>
          <w:sz w:val="20"/>
          <w:szCs w:val="20"/>
        </w:rPr>
      </w:pPr>
      <w:r>
        <w:rPr>
          <w:rFonts w:ascii="Helvetica" w:hAnsi="Helvetica" w:cs="Helvetica"/>
          <w:sz w:val="20"/>
          <w:szCs w:val="20"/>
        </w:rPr>
        <w:t xml:space="preserve">QoL: Quality of </w:t>
      </w:r>
      <w:r w:rsidR="00C354B6">
        <w:rPr>
          <w:rFonts w:ascii="Helvetica" w:hAnsi="Helvetica" w:cs="Helvetica"/>
          <w:sz w:val="20"/>
          <w:szCs w:val="20"/>
        </w:rPr>
        <w:t>L</w:t>
      </w:r>
      <w:r>
        <w:rPr>
          <w:rFonts w:ascii="Helvetica" w:hAnsi="Helvetica" w:cs="Helvetica"/>
          <w:sz w:val="20"/>
          <w:szCs w:val="20"/>
        </w:rPr>
        <w:t>ife</w:t>
      </w:r>
    </w:p>
    <w:p w14:paraId="6AFC0D45" w14:textId="22B89B38" w:rsidR="00C354B6" w:rsidRDefault="00C354B6" w:rsidP="00884E04">
      <w:pPr>
        <w:spacing w:after="0" w:line="240" w:lineRule="auto"/>
        <w:rPr>
          <w:rFonts w:ascii="Helvetica" w:hAnsi="Helvetica" w:cs="Helvetica"/>
          <w:sz w:val="20"/>
          <w:szCs w:val="20"/>
        </w:rPr>
      </w:pPr>
      <w:r>
        <w:rPr>
          <w:rFonts w:ascii="Helvetica" w:hAnsi="Helvetica" w:cs="Helvetica"/>
          <w:sz w:val="20"/>
          <w:szCs w:val="20"/>
        </w:rPr>
        <w:t>EMR: Electronic Medical Record</w:t>
      </w:r>
    </w:p>
    <w:p w14:paraId="51A1A2C9" w14:textId="77777777" w:rsidR="00884E04" w:rsidRDefault="00884E04" w:rsidP="00884E04">
      <w:pPr>
        <w:spacing w:after="0" w:line="240" w:lineRule="auto"/>
        <w:rPr>
          <w:rFonts w:ascii="Helvetica" w:hAnsi="Helvetica" w:cs="Helvetica"/>
          <w:sz w:val="20"/>
          <w:szCs w:val="20"/>
        </w:rPr>
      </w:pPr>
      <w:r>
        <w:rPr>
          <w:rFonts w:ascii="Helvetica" w:hAnsi="Helvetica" w:cs="Helvetica"/>
          <w:sz w:val="20"/>
          <w:szCs w:val="20"/>
        </w:rPr>
        <w:t>IBDQ: IBD Questionnaire</w:t>
      </w:r>
    </w:p>
    <w:p w14:paraId="5C8C2DCC" w14:textId="07E0AEE1" w:rsidR="00884E04" w:rsidRDefault="00884E04" w:rsidP="00884E04">
      <w:pPr>
        <w:spacing w:after="0" w:line="240" w:lineRule="auto"/>
        <w:rPr>
          <w:rFonts w:ascii="Helvetica" w:hAnsi="Helvetica" w:cs="Helvetica"/>
          <w:sz w:val="20"/>
          <w:szCs w:val="20"/>
        </w:rPr>
      </w:pPr>
      <w:r>
        <w:rPr>
          <w:rFonts w:ascii="Helvetica" w:hAnsi="Helvetica" w:cs="Helvetica"/>
          <w:sz w:val="20"/>
          <w:szCs w:val="20"/>
        </w:rPr>
        <w:t>IBD: Inflammatory bowel disease</w:t>
      </w:r>
    </w:p>
    <w:p w14:paraId="4CD86203" w14:textId="5BC819D3" w:rsidR="00BA5974" w:rsidRPr="008F3BFF" w:rsidRDefault="00BA5974" w:rsidP="00884E04">
      <w:pPr>
        <w:spacing w:after="0" w:line="240" w:lineRule="auto"/>
        <w:rPr>
          <w:rFonts w:ascii="Helvetica" w:hAnsi="Helvetica" w:cs="Helvetica"/>
          <w:sz w:val="20"/>
          <w:szCs w:val="20"/>
        </w:rPr>
      </w:pPr>
      <w:r w:rsidRPr="008F3BFF">
        <w:rPr>
          <w:rFonts w:ascii="Helvetica" w:hAnsi="Helvetica" w:cs="Helvetica"/>
          <w:sz w:val="20"/>
          <w:szCs w:val="20"/>
        </w:rPr>
        <w:t>SIBDQ:</w:t>
      </w:r>
      <w:r w:rsidR="00F3159D">
        <w:rPr>
          <w:rFonts w:ascii="Helvetica" w:hAnsi="Helvetica" w:cs="Helvetica"/>
          <w:sz w:val="20"/>
          <w:szCs w:val="20"/>
        </w:rPr>
        <w:t xml:space="preserve"> Short IBD Questionnaire</w:t>
      </w:r>
    </w:p>
    <w:p w14:paraId="723E6B2D" w14:textId="77777777" w:rsidR="00F3159D" w:rsidRDefault="00BA5974" w:rsidP="00884E04">
      <w:pPr>
        <w:spacing w:after="0" w:line="240" w:lineRule="auto"/>
        <w:rPr>
          <w:rFonts w:ascii="Helvetica" w:hAnsi="Helvetica" w:cs="Helvetica"/>
          <w:sz w:val="20"/>
          <w:szCs w:val="20"/>
        </w:rPr>
      </w:pPr>
      <w:r w:rsidRPr="008F3BFF">
        <w:rPr>
          <w:rFonts w:ascii="Helvetica" w:hAnsi="Helvetica" w:cs="Helvetica"/>
          <w:sz w:val="20"/>
          <w:szCs w:val="20"/>
        </w:rPr>
        <w:t>VAS:</w:t>
      </w:r>
      <w:r w:rsidR="00F3159D">
        <w:rPr>
          <w:rFonts w:ascii="Helvetica" w:hAnsi="Helvetica" w:cs="Helvetica"/>
          <w:sz w:val="20"/>
          <w:szCs w:val="20"/>
        </w:rPr>
        <w:t xml:space="preserve"> Visual analog scale</w:t>
      </w:r>
    </w:p>
    <w:p w14:paraId="782FC96A" w14:textId="77777777" w:rsidR="00F3159D" w:rsidRDefault="00F3159D" w:rsidP="00884E04">
      <w:pPr>
        <w:spacing w:after="0" w:line="240" w:lineRule="auto"/>
        <w:rPr>
          <w:rFonts w:ascii="Helvetica" w:hAnsi="Helvetica" w:cs="Helvetica"/>
          <w:sz w:val="20"/>
          <w:szCs w:val="20"/>
        </w:rPr>
      </w:pPr>
      <w:r>
        <w:rPr>
          <w:rFonts w:ascii="Helvetica" w:hAnsi="Helvetica" w:cs="Helvetica"/>
          <w:sz w:val="20"/>
          <w:szCs w:val="20"/>
        </w:rPr>
        <w:t>ER: Emergency room</w:t>
      </w:r>
    </w:p>
    <w:p w14:paraId="66B8F745" w14:textId="77777777" w:rsidR="00F3159D" w:rsidRDefault="00F3159D" w:rsidP="00884E04">
      <w:pPr>
        <w:spacing w:after="0" w:line="240" w:lineRule="auto"/>
        <w:rPr>
          <w:rFonts w:ascii="Helvetica" w:hAnsi="Helvetica" w:cs="Helvetica"/>
          <w:sz w:val="20"/>
          <w:szCs w:val="20"/>
        </w:rPr>
      </w:pPr>
      <w:r>
        <w:rPr>
          <w:rFonts w:ascii="Helvetica" w:hAnsi="Helvetica" w:cs="Helvetica"/>
          <w:sz w:val="20"/>
          <w:szCs w:val="20"/>
        </w:rPr>
        <w:t xml:space="preserve">CQ: Compliance questionnaire </w:t>
      </w:r>
    </w:p>
    <w:p w14:paraId="236780BC" w14:textId="77777777" w:rsidR="00F3159D" w:rsidRDefault="00F3159D" w:rsidP="00884E04">
      <w:pPr>
        <w:spacing w:after="0" w:line="240" w:lineRule="auto"/>
        <w:rPr>
          <w:rFonts w:ascii="Helvetica" w:hAnsi="Helvetica" w:cs="Helvetica"/>
          <w:sz w:val="20"/>
          <w:szCs w:val="20"/>
        </w:rPr>
      </w:pPr>
      <w:r>
        <w:rPr>
          <w:rFonts w:ascii="Helvetica" w:hAnsi="Helvetica" w:cs="Helvetica"/>
          <w:sz w:val="20"/>
          <w:szCs w:val="20"/>
        </w:rPr>
        <w:t xml:space="preserve">SQ: Satisfaction questionnaire </w:t>
      </w:r>
    </w:p>
    <w:p w14:paraId="69B867EB" w14:textId="77777777" w:rsidR="00F3159D" w:rsidRDefault="00F3159D" w:rsidP="00884E04">
      <w:pPr>
        <w:spacing w:after="0" w:line="240" w:lineRule="auto"/>
        <w:rPr>
          <w:rFonts w:ascii="Helvetica" w:hAnsi="Helvetica" w:cs="Helvetica"/>
          <w:sz w:val="20"/>
          <w:szCs w:val="20"/>
        </w:rPr>
      </w:pPr>
      <w:r>
        <w:rPr>
          <w:rFonts w:ascii="Helvetica" w:hAnsi="Helvetica" w:cs="Helvetica"/>
          <w:sz w:val="20"/>
          <w:szCs w:val="20"/>
        </w:rPr>
        <w:t>SF: Short form</w:t>
      </w:r>
    </w:p>
    <w:p w14:paraId="5EE285A5" w14:textId="534E8093" w:rsidR="00BE2904" w:rsidRDefault="00BE2904" w:rsidP="00884E04">
      <w:pPr>
        <w:spacing w:after="0" w:line="240" w:lineRule="auto"/>
        <w:rPr>
          <w:rFonts w:ascii="Helvetica" w:hAnsi="Helvetica" w:cs="Helvetica"/>
          <w:sz w:val="20"/>
          <w:szCs w:val="20"/>
        </w:rPr>
      </w:pPr>
      <w:r>
        <w:rPr>
          <w:rFonts w:ascii="Helvetica" w:hAnsi="Helvetica" w:cs="Helvetica"/>
          <w:sz w:val="20"/>
          <w:szCs w:val="20"/>
        </w:rPr>
        <w:lastRenderedPageBreak/>
        <w:t>HADS</w:t>
      </w:r>
      <w:r w:rsidR="001F2F8E">
        <w:rPr>
          <w:rFonts w:ascii="Helvetica" w:hAnsi="Helvetica" w:cs="Helvetica"/>
          <w:sz w:val="20"/>
          <w:szCs w:val="20"/>
        </w:rPr>
        <w:t>: Hospital Anxiety</w:t>
      </w:r>
      <w:r w:rsidR="00EF656F">
        <w:rPr>
          <w:rFonts w:ascii="Helvetica" w:hAnsi="Helvetica" w:cs="Helvetica"/>
          <w:sz w:val="20"/>
          <w:szCs w:val="20"/>
        </w:rPr>
        <w:t xml:space="preserve"> and </w:t>
      </w:r>
      <w:r w:rsidR="001F2F8E">
        <w:rPr>
          <w:rFonts w:ascii="Helvetica" w:hAnsi="Helvetica" w:cs="Helvetica"/>
          <w:sz w:val="20"/>
          <w:szCs w:val="20"/>
        </w:rPr>
        <w:t>Depression Scale</w:t>
      </w:r>
    </w:p>
    <w:p w14:paraId="75E70295" w14:textId="77777777" w:rsidR="00033C54" w:rsidRDefault="00BE2904" w:rsidP="00884E04">
      <w:pPr>
        <w:spacing w:after="0" w:line="240" w:lineRule="auto"/>
        <w:rPr>
          <w:rFonts w:ascii="Helvetica" w:hAnsi="Helvetica" w:cs="Helvetica"/>
          <w:sz w:val="20"/>
          <w:szCs w:val="20"/>
        </w:rPr>
      </w:pPr>
      <w:r>
        <w:rPr>
          <w:rFonts w:ascii="Helvetica" w:hAnsi="Helvetica" w:cs="Helvetica"/>
          <w:sz w:val="20"/>
          <w:szCs w:val="20"/>
        </w:rPr>
        <w:t>FC: Fecal calprotectin</w:t>
      </w:r>
    </w:p>
    <w:p w14:paraId="25CE516C" w14:textId="77777777" w:rsidR="00EF21CE" w:rsidRDefault="00EF21CE" w:rsidP="00884E04">
      <w:pPr>
        <w:spacing w:after="0" w:line="240" w:lineRule="auto"/>
        <w:rPr>
          <w:rFonts w:ascii="Helvetica" w:hAnsi="Helvetica" w:cs="Helvetica"/>
          <w:sz w:val="20"/>
          <w:szCs w:val="20"/>
        </w:rPr>
      </w:pPr>
      <w:r>
        <w:rPr>
          <w:rFonts w:ascii="Helvetica" w:hAnsi="Helvetica" w:cs="Helvetica"/>
          <w:sz w:val="20"/>
          <w:szCs w:val="20"/>
        </w:rPr>
        <w:t xml:space="preserve">BMQ: Beliefs about Medicines Questionnaire </w:t>
      </w:r>
    </w:p>
    <w:p w14:paraId="764C4D7B" w14:textId="77777777" w:rsidR="00C631EF" w:rsidRDefault="00EF21CE" w:rsidP="00884E04">
      <w:pPr>
        <w:spacing w:after="0" w:line="240" w:lineRule="auto"/>
        <w:rPr>
          <w:rFonts w:ascii="Helvetica" w:hAnsi="Helvetica" w:cs="Helvetica"/>
          <w:sz w:val="20"/>
          <w:szCs w:val="20"/>
        </w:rPr>
      </w:pPr>
      <w:r>
        <w:rPr>
          <w:rFonts w:ascii="Helvetica" w:hAnsi="Helvetica" w:cs="Helvetica"/>
          <w:sz w:val="20"/>
          <w:szCs w:val="20"/>
        </w:rPr>
        <w:t xml:space="preserve">OPA: </w:t>
      </w:r>
      <w:r w:rsidR="00C631EF">
        <w:rPr>
          <w:rFonts w:ascii="Helvetica" w:hAnsi="Helvetica" w:cs="Helvetica"/>
          <w:sz w:val="20"/>
          <w:szCs w:val="20"/>
        </w:rPr>
        <w:t>Online Preparatory Assessment</w:t>
      </w:r>
    </w:p>
    <w:p w14:paraId="11BB7372" w14:textId="77777777" w:rsidR="00C631EF" w:rsidRDefault="00C631EF" w:rsidP="00884E04">
      <w:pPr>
        <w:spacing w:after="0" w:line="240" w:lineRule="auto"/>
        <w:rPr>
          <w:rFonts w:ascii="Helvetica" w:hAnsi="Helvetica" w:cs="Helvetica"/>
          <w:sz w:val="20"/>
          <w:szCs w:val="20"/>
        </w:rPr>
      </w:pPr>
      <w:r>
        <w:rPr>
          <w:rFonts w:ascii="Helvetica" w:hAnsi="Helvetica" w:cs="Helvetica"/>
          <w:sz w:val="20"/>
          <w:szCs w:val="20"/>
        </w:rPr>
        <w:t>MUSE: Medication Understanding and Use Self-Efficacy Scale</w:t>
      </w:r>
    </w:p>
    <w:p w14:paraId="71298749" w14:textId="77777777" w:rsidR="00F839BF" w:rsidRPr="00F839BF" w:rsidRDefault="00F839BF" w:rsidP="00F839BF">
      <w:pPr>
        <w:spacing w:after="0" w:line="240" w:lineRule="auto"/>
        <w:rPr>
          <w:rFonts w:ascii="Helvetica" w:hAnsi="Helvetica" w:cs="Helvetica"/>
          <w:sz w:val="20"/>
          <w:szCs w:val="20"/>
        </w:rPr>
      </w:pPr>
      <w:r w:rsidRPr="00F839BF">
        <w:rPr>
          <w:rFonts w:ascii="Helvetica" w:hAnsi="Helvetica" w:cs="Helvetica"/>
          <w:sz w:val="20"/>
          <w:szCs w:val="20"/>
        </w:rPr>
        <w:t>PCDAI: Pediatric Crohn’s Disease Activity Index</w:t>
      </w:r>
    </w:p>
    <w:p w14:paraId="6137E458" w14:textId="77777777" w:rsidR="00F839BF" w:rsidRPr="00F839BF" w:rsidRDefault="00F839BF" w:rsidP="00F839BF">
      <w:pPr>
        <w:spacing w:after="0" w:line="240" w:lineRule="auto"/>
        <w:rPr>
          <w:rFonts w:ascii="Helvetica" w:hAnsi="Helvetica" w:cs="Helvetica"/>
          <w:sz w:val="20"/>
          <w:szCs w:val="20"/>
        </w:rPr>
      </w:pPr>
      <w:proofErr w:type="spellStart"/>
      <w:r w:rsidRPr="00F839BF">
        <w:rPr>
          <w:rFonts w:ascii="Helvetica" w:hAnsi="Helvetica" w:cs="Helvetica"/>
          <w:sz w:val="20"/>
          <w:szCs w:val="20"/>
        </w:rPr>
        <w:t>aPCDAI</w:t>
      </w:r>
      <w:proofErr w:type="spellEnd"/>
      <w:r w:rsidRPr="00F839BF">
        <w:rPr>
          <w:rFonts w:ascii="Helvetica" w:hAnsi="Helvetica" w:cs="Helvetica"/>
          <w:sz w:val="20"/>
          <w:szCs w:val="20"/>
        </w:rPr>
        <w:t>: abbreviated Pediatric Crohn’s Disease Activity Index</w:t>
      </w:r>
    </w:p>
    <w:p w14:paraId="383FE24E" w14:textId="77777777" w:rsidR="00F839BF" w:rsidRPr="00F839BF" w:rsidRDefault="00F839BF" w:rsidP="00F839BF">
      <w:pPr>
        <w:spacing w:after="0" w:line="240" w:lineRule="auto"/>
        <w:rPr>
          <w:rFonts w:ascii="Helvetica" w:hAnsi="Helvetica" w:cs="Helvetica"/>
          <w:sz w:val="20"/>
          <w:szCs w:val="20"/>
        </w:rPr>
      </w:pPr>
      <w:proofErr w:type="spellStart"/>
      <w:r w:rsidRPr="00F839BF">
        <w:rPr>
          <w:rFonts w:ascii="Helvetica" w:hAnsi="Helvetica" w:cs="Helvetica"/>
          <w:sz w:val="20"/>
          <w:szCs w:val="20"/>
        </w:rPr>
        <w:t>shPCDAI</w:t>
      </w:r>
      <w:proofErr w:type="spellEnd"/>
      <w:r w:rsidRPr="00F839BF">
        <w:rPr>
          <w:rFonts w:ascii="Helvetica" w:hAnsi="Helvetica" w:cs="Helvetica"/>
          <w:sz w:val="20"/>
          <w:szCs w:val="20"/>
        </w:rPr>
        <w:t>: shortened Pediatric Crohn’s Disease Activity Index</w:t>
      </w:r>
    </w:p>
    <w:p w14:paraId="203614D0" w14:textId="77777777" w:rsidR="00F839BF" w:rsidRDefault="00F839BF" w:rsidP="00F839BF">
      <w:pPr>
        <w:spacing w:after="0" w:line="240" w:lineRule="auto"/>
        <w:rPr>
          <w:rFonts w:ascii="Helvetica" w:hAnsi="Helvetica" w:cs="Helvetica"/>
          <w:sz w:val="20"/>
          <w:szCs w:val="20"/>
        </w:rPr>
      </w:pPr>
      <w:r w:rsidRPr="00F839BF">
        <w:rPr>
          <w:rFonts w:ascii="Helvetica" w:hAnsi="Helvetica" w:cs="Helvetica"/>
          <w:sz w:val="20"/>
          <w:szCs w:val="20"/>
        </w:rPr>
        <w:t>PUCAI: Pediatric Ulcerative Colitis Activity Index</w:t>
      </w:r>
    </w:p>
    <w:p w14:paraId="36CF2C65" w14:textId="77777777" w:rsidR="00F839BF" w:rsidRDefault="00F839BF" w:rsidP="00F839BF">
      <w:pPr>
        <w:spacing w:after="0" w:line="240" w:lineRule="auto"/>
        <w:rPr>
          <w:rFonts w:ascii="Helvetica" w:hAnsi="Helvetica" w:cs="Helvetica"/>
          <w:sz w:val="20"/>
          <w:szCs w:val="20"/>
        </w:rPr>
      </w:pPr>
      <w:r>
        <w:rPr>
          <w:rFonts w:ascii="Helvetica" w:hAnsi="Helvetica" w:cs="Helvetica"/>
          <w:sz w:val="20"/>
          <w:szCs w:val="20"/>
        </w:rPr>
        <w:t>MARS: Medication Adherence Report Scale</w:t>
      </w:r>
    </w:p>
    <w:p w14:paraId="4B67EB9B" w14:textId="77777777" w:rsidR="00B708B5" w:rsidRDefault="00B708B5" w:rsidP="00F839BF">
      <w:pPr>
        <w:spacing w:after="0" w:line="240" w:lineRule="auto"/>
        <w:rPr>
          <w:rFonts w:ascii="Helvetica" w:hAnsi="Helvetica" w:cs="Helvetica"/>
          <w:sz w:val="20"/>
          <w:szCs w:val="20"/>
        </w:rPr>
      </w:pPr>
      <w:r>
        <w:rPr>
          <w:rFonts w:ascii="Helvetica" w:hAnsi="Helvetica" w:cs="Helvetica"/>
          <w:sz w:val="20"/>
          <w:szCs w:val="20"/>
        </w:rPr>
        <w:t xml:space="preserve">IFX: Infliximab </w:t>
      </w:r>
    </w:p>
    <w:p w14:paraId="66AC64E4" w14:textId="77777777" w:rsidR="002D2286" w:rsidRDefault="002D2286" w:rsidP="00F839BF">
      <w:pPr>
        <w:spacing w:after="0" w:line="240" w:lineRule="auto"/>
        <w:rPr>
          <w:rFonts w:ascii="Helvetica" w:hAnsi="Helvetica" w:cs="Helvetica"/>
          <w:sz w:val="20"/>
          <w:szCs w:val="20"/>
        </w:rPr>
      </w:pPr>
      <w:proofErr w:type="spellStart"/>
      <w:r>
        <w:rPr>
          <w:rFonts w:ascii="Helvetica" w:hAnsi="Helvetica" w:cs="Helvetica"/>
          <w:sz w:val="20"/>
          <w:szCs w:val="20"/>
        </w:rPr>
        <w:t>HRQoL</w:t>
      </w:r>
      <w:proofErr w:type="spellEnd"/>
      <w:r>
        <w:rPr>
          <w:rFonts w:ascii="Helvetica" w:hAnsi="Helvetica" w:cs="Helvetica"/>
          <w:sz w:val="20"/>
          <w:szCs w:val="20"/>
        </w:rPr>
        <w:t>: Health-related quality of life</w:t>
      </w:r>
    </w:p>
    <w:p w14:paraId="33ED342D" w14:textId="77777777" w:rsidR="00F16888" w:rsidRDefault="00F16888" w:rsidP="00F839BF">
      <w:pPr>
        <w:spacing w:after="0" w:line="240" w:lineRule="auto"/>
        <w:rPr>
          <w:rFonts w:ascii="Helvetica" w:hAnsi="Helvetica" w:cs="Helvetica"/>
          <w:sz w:val="20"/>
          <w:szCs w:val="20"/>
        </w:rPr>
      </w:pPr>
      <w:r>
        <w:rPr>
          <w:rFonts w:ascii="Helvetica" w:hAnsi="Helvetica" w:cs="Helvetica"/>
          <w:sz w:val="20"/>
          <w:szCs w:val="20"/>
        </w:rPr>
        <w:t>TECCU: Telemonitoring of Crohn’s Disease and Ulcerative Colitis</w:t>
      </w:r>
    </w:p>
    <w:p w14:paraId="0D9C25A8" w14:textId="682B5CDA" w:rsidR="009401DE" w:rsidRPr="008F3BFF" w:rsidRDefault="009401DE" w:rsidP="00F839BF">
      <w:pPr>
        <w:spacing w:after="0" w:line="240" w:lineRule="auto"/>
        <w:rPr>
          <w:rFonts w:ascii="Helvetica" w:hAnsi="Helvetica" w:cs="Helvetica"/>
          <w:sz w:val="20"/>
          <w:szCs w:val="20"/>
        </w:rPr>
      </w:pPr>
      <w:bookmarkStart w:id="1" w:name="_GoBack"/>
      <w:bookmarkEnd w:id="1"/>
    </w:p>
    <w:sectPr w:rsidR="009401DE" w:rsidRPr="008F3BFF" w:rsidSect="006B46A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F2F7A"/>
    <w:multiLevelType w:val="hybridMultilevel"/>
    <w:tmpl w:val="4F5AB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D64EDB"/>
    <w:multiLevelType w:val="hybridMultilevel"/>
    <w:tmpl w:val="D2E08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D633F6"/>
    <w:multiLevelType w:val="hybridMultilevel"/>
    <w:tmpl w:val="4A3A0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A01754"/>
    <w:multiLevelType w:val="hybridMultilevel"/>
    <w:tmpl w:val="66BEF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2E0042"/>
    <w:multiLevelType w:val="hybridMultilevel"/>
    <w:tmpl w:val="CF907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E82E2F"/>
    <w:multiLevelType w:val="hybridMultilevel"/>
    <w:tmpl w:val="5F2C9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C21E38"/>
    <w:multiLevelType w:val="hybridMultilevel"/>
    <w:tmpl w:val="27A42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E6197A"/>
    <w:multiLevelType w:val="hybridMultilevel"/>
    <w:tmpl w:val="B7720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176B44"/>
    <w:multiLevelType w:val="hybridMultilevel"/>
    <w:tmpl w:val="A6F0E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6B7C72"/>
    <w:multiLevelType w:val="hybridMultilevel"/>
    <w:tmpl w:val="AB56A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8"/>
  </w:num>
  <w:num w:numId="4">
    <w:abstractNumId w:val="7"/>
  </w:num>
  <w:num w:numId="5">
    <w:abstractNumId w:val="6"/>
  </w:num>
  <w:num w:numId="6">
    <w:abstractNumId w:val="1"/>
  </w:num>
  <w:num w:numId="7">
    <w:abstractNumId w:val="2"/>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B9"/>
    <w:rsid w:val="00000264"/>
    <w:rsid w:val="0002375E"/>
    <w:rsid w:val="000276CE"/>
    <w:rsid w:val="00033C54"/>
    <w:rsid w:val="0004444A"/>
    <w:rsid w:val="00097F46"/>
    <w:rsid w:val="000B386A"/>
    <w:rsid w:val="000B7046"/>
    <w:rsid w:val="000F737A"/>
    <w:rsid w:val="00110FE3"/>
    <w:rsid w:val="0013350A"/>
    <w:rsid w:val="00185498"/>
    <w:rsid w:val="001878B0"/>
    <w:rsid w:val="001A7EDE"/>
    <w:rsid w:val="001F2F8E"/>
    <w:rsid w:val="001F4F77"/>
    <w:rsid w:val="00227348"/>
    <w:rsid w:val="00243863"/>
    <w:rsid w:val="002950CA"/>
    <w:rsid w:val="002C3ED0"/>
    <w:rsid w:val="002D2286"/>
    <w:rsid w:val="002E090F"/>
    <w:rsid w:val="002E1E67"/>
    <w:rsid w:val="002F19AA"/>
    <w:rsid w:val="00305C17"/>
    <w:rsid w:val="00340F3E"/>
    <w:rsid w:val="00366BB2"/>
    <w:rsid w:val="003A66D6"/>
    <w:rsid w:val="004629B8"/>
    <w:rsid w:val="004863F3"/>
    <w:rsid w:val="004A4ABB"/>
    <w:rsid w:val="004C5947"/>
    <w:rsid w:val="00507697"/>
    <w:rsid w:val="00546D50"/>
    <w:rsid w:val="005933C8"/>
    <w:rsid w:val="00596159"/>
    <w:rsid w:val="00622690"/>
    <w:rsid w:val="006829A5"/>
    <w:rsid w:val="006A10DD"/>
    <w:rsid w:val="006B46A7"/>
    <w:rsid w:val="006D7FD1"/>
    <w:rsid w:val="006E3233"/>
    <w:rsid w:val="006F1389"/>
    <w:rsid w:val="007008D1"/>
    <w:rsid w:val="007079CD"/>
    <w:rsid w:val="00733A66"/>
    <w:rsid w:val="00787842"/>
    <w:rsid w:val="007B145E"/>
    <w:rsid w:val="007C62DC"/>
    <w:rsid w:val="00800D94"/>
    <w:rsid w:val="00830CA9"/>
    <w:rsid w:val="00884E04"/>
    <w:rsid w:val="008D16FE"/>
    <w:rsid w:val="008F3BFF"/>
    <w:rsid w:val="00917F28"/>
    <w:rsid w:val="009401DE"/>
    <w:rsid w:val="00995EB8"/>
    <w:rsid w:val="009D6404"/>
    <w:rsid w:val="009D6E52"/>
    <w:rsid w:val="00A456C8"/>
    <w:rsid w:val="00A5318E"/>
    <w:rsid w:val="00AA782C"/>
    <w:rsid w:val="00B0276A"/>
    <w:rsid w:val="00B16C02"/>
    <w:rsid w:val="00B44CAA"/>
    <w:rsid w:val="00B57657"/>
    <w:rsid w:val="00B708B5"/>
    <w:rsid w:val="00B928B7"/>
    <w:rsid w:val="00BA5974"/>
    <w:rsid w:val="00BE2904"/>
    <w:rsid w:val="00C354B6"/>
    <w:rsid w:val="00C37420"/>
    <w:rsid w:val="00C631EF"/>
    <w:rsid w:val="00D0641B"/>
    <w:rsid w:val="00D1504C"/>
    <w:rsid w:val="00D154F5"/>
    <w:rsid w:val="00D26FB7"/>
    <w:rsid w:val="00D3561E"/>
    <w:rsid w:val="00D37200"/>
    <w:rsid w:val="00DA5583"/>
    <w:rsid w:val="00E146C5"/>
    <w:rsid w:val="00E324D6"/>
    <w:rsid w:val="00E73780"/>
    <w:rsid w:val="00E75292"/>
    <w:rsid w:val="00E84C9F"/>
    <w:rsid w:val="00EB32B9"/>
    <w:rsid w:val="00EF21CE"/>
    <w:rsid w:val="00EF656F"/>
    <w:rsid w:val="00F16888"/>
    <w:rsid w:val="00F3159D"/>
    <w:rsid w:val="00F46411"/>
    <w:rsid w:val="00F839BF"/>
    <w:rsid w:val="00FA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058A"/>
  <w15:chartTrackingRefBased/>
  <w15:docId w15:val="{3AA60255-1249-44A0-922D-3BDA633A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7EDE"/>
    <w:rPr>
      <w:sz w:val="16"/>
      <w:szCs w:val="16"/>
    </w:rPr>
  </w:style>
  <w:style w:type="paragraph" w:styleId="CommentText">
    <w:name w:val="annotation text"/>
    <w:basedOn w:val="Normal"/>
    <w:link w:val="CommentTextChar"/>
    <w:uiPriority w:val="99"/>
    <w:semiHidden/>
    <w:unhideWhenUsed/>
    <w:rsid w:val="001A7ED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A7EDE"/>
    <w:rPr>
      <w:sz w:val="20"/>
      <w:szCs w:val="20"/>
    </w:rPr>
  </w:style>
  <w:style w:type="character" w:styleId="Hyperlink">
    <w:name w:val="Hyperlink"/>
    <w:basedOn w:val="DefaultParagraphFont"/>
    <w:uiPriority w:val="99"/>
    <w:unhideWhenUsed/>
    <w:rsid w:val="001A7EDE"/>
    <w:rPr>
      <w:color w:val="0563C1" w:themeColor="hyperlink"/>
      <w:u w:val="single"/>
    </w:rPr>
  </w:style>
  <w:style w:type="paragraph" w:styleId="ListParagraph">
    <w:name w:val="List Paragraph"/>
    <w:basedOn w:val="Normal"/>
    <w:uiPriority w:val="34"/>
    <w:qFormat/>
    <w:rsid w:val="00D1504C"/>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655398">
      <w:bodyDiv w:val="1"/>
      <w:marLeft w:val="0"/>
      <w:marRight w:val="0"/>
      <w:marTop w:val="0"/>
      <w:marBottom w:val="0"/>
      <w:divBdr>
        <w:top w:val="none" w:sz="0" w:space="0" w:color="auto"/>
        <w:left w:val="none" w:sz="0" w:space="0" w:color="auto"/>
        <w:bottom w:val="none" w:sz="0" w:space="0" w:color="auto"/>
        <w:right w:val="none" w:sz="0" w:space="0" w:color="auto"/>
      </w:divBdr>
    </w:div>
    <w:div w:id="1322269987">
      <w:bodyDiv w:val="1"/>
      <w:marLeft w:val="0"/>
      <w:marRight w:val="0"/>
      <w:marTop w:val="0"/>
      <w:marBottom w:val="0"/>
      <w:divBdr>
        <w:top w:val="none" w:sz="0" w:space="0" w:color="auto"/>
        <w:left w:val="none" w:sz="0" w:space="0" w:color="auto"/>
        <w:bottom w:val="none" w:sz="0" w:space="0" w:color="auto"/>
        <w:right w:val="none" w:sz="0" w:space="0" w:color="auto"/>
      </w:divBdr>
    </w:div>
    <w:div w:id="146973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tant-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Nghia Nguyen</dc:creator>
  <cp:keywords/>
  <dc:description/>
  <cp:lastModifiedBy>Microsoft Office User</cp:lastModifiedBy>
  <cp:revision>2</cp:revision>
  <dcterms:created xsi:type="dcterms:W3CDTF">2021-09-03T14:53:00Z</dcterms:created>
  <dcterms:modified xsi:type="dcterms:W3CDTF">2021-09-03T14:53:00Z</dcterms:modified>
</cp:coreProperties>
</file>