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52F" w:rsidRDefault="0065452F" w:rsidP="0065452F">
      <w:pPr>
        <w:rPr>
          <w:rFonts w:ascii="Helvetica" w:hAnsi="Helvetica" w:cs="Helvetica"/>
          <w:b/>
          <w:bCs/>
          <w:sz w:val="20"/>
          <w:szCs w:val="20"/>
        </w:rPr>
      </w:pPr>
      <w:bookmarkStart w:id="0" w:name="_GoBack"/>
      <w:bookmarkEnd w:id="0"/>
      <w:r>
        <w:rPr>
          <w:rFonts w:ascii="Helvetica" w:hAnsi="Helvetica" w:cs="Helvetica"/>
          <w:b/>
          <w:bCs/>
          <w:sz w:val="20"/>
          <w:szCs w:val="20"/>
        </w:rPr>
        <w:t xml:space="preserve">Supplementary Table 3. Impact of digital health technologies on other outcomes. </w:t>
      </w:r>
    </w:p>
    <w:tbl>
      <w:tblPr>
        <w:tblStyle w:val="TableGrid"/>
        <w:tblW w:w="14400" w:type="dxa"/>
        <w:tblInd w:w="-635" w:type="dxa"/>
        <w:tblLook w:val="04A0" w:firstRow="1" w:lastRow="0" w:firstColumn="1" w:lastColumn="0" w:noHBand="0" w:noVBand="1"/>
      </w:tblPr>
      <w:tblGrid>
        <w:gridCol w:w="2070"/>
        <w:gridCol w:w="2160"/>
        <w:gridCol w:w="3960"/>
        <w:gridCol w:w="1890"/>
        <w:gridCol w:w="4320"/>
      </w:tblGrid>
      <w:tr w:rsidR="0065452F" w:rsidRPr="000D07CC" w:rsidTr="00861802">
        <w:tc>
          <w:tcPr>
            <w:tcW w:w="2070" w:type="dxa"/>
            <w:shd w:val="clear" w:color="auto" w:fill="E7E6E6" w:themeFill="background2"/>
          </w:tcPr>
          <w:p w:rsidR="0065452F" w:rsidRPr="000D07CC" w:rsidRDefault="0065452F" w:rsidP="00861802">
            <w:pPr>
              <w:rPr>
                <w:rFonts w:ascii="Helvetica" w:hAnsi="Helvetica" w:cs="Helvetica"/>
                <w:b/>
                <w:bCs/>
                <w:sz w:val="20"/>
                <w:szCs w:val="20"/>
              </w:rPr>
            </w:pPr>
            <w:r w:rsidRPr="000D07CC">
              <w:rPr>
                <w:rFonts w:ascii="Helvetica" w:hAnsi="Helvetica" w:cs="Helvetica"/>
                <w:b/>
                <w:bCs/>
                <w:sz w:val="20"/>
                <w:szCs w:val="20"/>
              </w:rPr>
              <w:t>Author, year</w:t>
            </w:r>
          </w:p>
        </w:tc>
        <w:tc>
          <w:tcPr>
            <w:tcW w:w="2160" w:type="dxa"/>
            <w:shd w:val="clear" w:color="auto" w:fill="E7E6E6" w:themeFill="background2"/>
          </w:tcPr>
          <w:p w:rsidR="0065452F" w:rsidRPr="000D07CC" w:rsidRDefault="0065452F" w:rsidP="00861802">
            <w:pPr>
              <w:jc w:val="center"/>
              <w:rPr>
                <w:rFonts w:ascii="Helvetica" w:hAnsi="Helvetica" w:cs="Helvetica"/>
                <w:b/>
                <w:bCs/>
                <w:sz w:val="20"/>
                <w:szCs w:val="20"/>
              </w:rPr>
            </w:pPr>
            <w:r w:rsidRPr="000D07CC">
              <w:rPr>
                <w:rFonts w:ascii="Helvetica" w:hAnsi="Helvetica" w:cs="Helvetica"/>
                <w:b/>
                <w:bCs/>
                <w:sz w:val="20"/>
                <w:szCs w:val="20"/>
              </w:rPr>
              <w:t>Type of Intervention</w:t>
            </w:r>
          </w:p>
        </w:tc>
        <w:tc>
          <w:tcPr>
            <w:tcW w:w="3960" w:type="dxa"/>
            <w:shd w:val="clear" w:color="auto" w:fill="E7E6E6" w:themeFill="background2"/>
          </w:tcPr>
          <w:p w:rsidR="0065452F" w:rsidRDefault="0065452F" w:rsidP="00861802">
            <w:pPr>
              <w:jc w:val="center"/>
              <w:rPr>
                <w:rFonts w:ascii="Helvetica" w:hAnsi="Helvetica" w:cs="Helvetica"/>
                <w:b/>
                <w:bCs/>
                <w:sz w:val="20"/>
                <w:szCs w:val="20"/>
              </w:rPr>
            </w:pPr>
            <w:r>
              <w:rPr>
                <w:rFonts w:ascii="Helvetica" w:hAnsi="Helvetica" w:cs="Helvetica"/>
                <w:b/>
                <w:bCs/>
                <w:sz w:val="20"/>
                <w:szCs w:val="20"/>
              </w:rPr>
              <w:t>Outcome Measurements</w:t>
            </w:r>
          </w:p>
        </w:tc>
        <w:tc>
          <w:tcPr>
            <w:tcW w:w="1890" w:type="dxa"/>
            <w:shd w:val="clear" w:color="auto" w:fill="E7E6E6" w:themeFill="background2"/>
          </w:tcPr>
          <w:p w:rsidR="0065452F" w:rsidRPr="000D07CC" w:rsidRDefault="0065452F" w:rsidP="00861802">
            <w:pPr>
              <w:jc w:val="center"/>
              <w:rPr>
                <w:rFonts w:ascii="Helvetica" w:hAnsi="Helvetica" w:cs="Helvetica"/>
                <w:b/>
                <w:bCs/>
                <w:sz w:val="20"/>
                <w:szCs w:val="20"/>
              </w:rPr>
            </w:pPr>
            <w:r>
              <w:rPr>
                <w:rFonts w:ascii="Helvetica" w:hAnsi="Helvetica" w:cs="Helvetica"/>
                <w:b/>
                <w:bCs/>
                <w:sz w:val="20"/>
                <w:szCs w:val="20"/>
              </w:rPr>
              <w:t>Duration of Follow-up</w:t>
            </w:r>
          </w:p>
        </w:tc>
        <w:tc>
          <w:tcPr>
            <w:tcW w:w="4320" w:type="dxa"/>
            <w:shd w:val="clear" w:color="auto" w:fill="E7E6E6" w:themeFill="background2"/>
          </w:tcPr>
          <w:p w:rsidR="0065452F" w:rsidRPr="000D07CC" w:rsidRDefault="0065452F" w:rsidP="00861802">
            <w:pPr>
              <w:jc w:val="center"/>
              <w:rPr>
                <w:rFonts w:ascii="Helvetica" w:hAnsi="Helvetica" w:cs="Helvetica"/>
                <w:b/>
                <w:bCs/>
                <w:sz w:val="20"/>
                <w:szCs w:val="20"/>
              </w:rPr>
            </w:pPr>
            <w:r w:rsidRPr="000D07CC">
              <w:rPr>
                <w:rFonts w:ascii="Helvetica" w:hAnsi="Helvetica" w:cs="Helvetica"/>
                <w:b/>
                <w:bCs/>
                <w:sz w:val="20"/>
                <w:szCs w:val="20"/>
              </w:rPr>
              <w:t>Findings</w:t>
            </w:r>
          </w:p>
        </w:tc>
      </w:tr>
      <w:tr w:rsidR="0065452F" w:rsidRPr="009E6C90" w:rsidTr="00861802">
        <w:tc>
          <w:tcPr>
            <w:tcW w:w="2070" w:type="dxa"/>
          </w:tcPr>
          <w:p w:rsidR="0065452F" w:rsidRDefault="0065452F" w:rsidP="00861802">
            <w:pPr>
              <w:rPr>
                <w:rFonts w:ascii="Helvetica" w:hAnsi="Helvetica" w:cs="Helvetica"/>
                <w:sz w:val="20"/>
                <w:szCs w:val="20"/>
              </w:rPr>
            </w:pPr>
            <w:r>
              <w:rPr>
                <w:rFonts w:ascii="Helvetica" w:hAnsi="Helvetica" w:cs="Helvetica"/>
                <w:sz w:val="20"/>
                <w:szCs w:val="20"/>
              </w:rPr>
              <w:t>De Jong, 2017</w:t>
            </w:r>
          </w:p>
        </w:tc>
        <w:tc>
          <w:tcPr>
            <w:tcW w:w="2160" w:type="dxa"/>
          </w:tcPr>
          <w:p w:rsidR="0065452F" w:rsidRDefault="0065452F" w:rsidP="00861802">
            <w:pPr>
              <w:rPr>
                <w:rFonts w:ascii="Helvetica" w:hAnsi="Helvetica" w:cs="Helvetica"/>
                <w:sz w:val="20"/>
                <w:szCs w:val="20"/>
              </w:rPr>
            </w:pPr>
            <w:r w:rsidRPr="002B2A8B">
              <w:rPr>
                <w:rFonts w:ascii="Helvetica" w:hAnsi="Helvetica" w:cs="Helvetica"/>
                <w:sz w:val="20"/>
                <w:szCs w:val="20"/>
              </w:rPr>
              <w:t xml:space="preserve">1. </w:t>
            </w:r>
            <w:r>
              <w:rPr>
                <w:rFonts w:ascii="Helvetica" w:hAnsi="Helvetica" w:cs="Helvetica"/>
                <w:sz w:val="20"/>
                <w:szCs w:val="20"/>
              </w:rPr>
              <w:t xml:space="preserve">Telemedicine </w:t>
            </w:r>
            <w:r w:rsidRPr="002B2A8B">
              <w:rPr>
                <w:rFonts w:ascii="Helvetica" w:hAnsi="Helvetica" w:cs="Helvetica"/>
                <w:sz w:val="20"/>
                <w:szCs w:val="20"/>
              </w:rPr>
              <w:t>(</w:t>
            </w:r>
            <w:proofErr w:type="spellStart"/>
            <w:r w:rsidRPr="002B2A8B">
              <w:rPr>
                <w:rFonts w:ascii="Helvetica" w:hAnsi="Helvetica" w:cs="Helvetica"/>
                <w:sz w:val="20"/>
                <w:szCs w:val="20"/>
              </w:rPr>
              <w:t>myIBDcoach</w:t>
            </w:r>
            <w:proofErr w:type="spellEnd"/>
            <w:r w:rsidRPr="002B2A8B">
              <w:rPr>
                <w:rFonts w:ascii="Helvetica" w:hAnsi="Helvetica" w:cs="Helvetica"/>
                <w:sz w:val="20"/>
                <w:szCs w:val="20"/>
              </w:rPr>
              <w:t xml:space="preserve">) </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sidRPr="002B2A8B">
              <w:rPr>
                <w:rFonts w:ascii="Helvetica" w:hAnsi="Helvetica" w:cs="Helvetica"/>
                <w:sz w:val="20"/>
                <w:szCs w:val="20"/>
              </w:rPr>
              <w:t>2. Control</w:t>
            </w:r>
          </w:p>
          <w:p w:rsidR="0065452F" w:rsidRDefault="0065452F" w:rsidP="00861802">
            <w:pPr>
              <w:rPr>
                <w:rFonts w:ascii="Helvetica" w:hAnsi="Helvetica" w:cs="Helvetica"/>
                <w:sz w:val="20"/>
                <w:szCs w:val="20"/>
              </w:rPr>
            </w:pPr>
          </w:p>
        </w:tc>
        <w:tc>
          <w:tcPr>
            <w:tcW w:w="3960" w:type="dxa"/>
          </w:tcPr>
          <w:p w:rsidR="0065452F" w:rsidRPr="002E6578" w:rsidRDefault="0065452F" w:rsidP="00861802">
            <w:pPr>
              <w:rPr>
                <w:rFonts w:ascii="Helvetica" w:hAnsi="Helvetica" w:cs="Helvetica"/>
                <w:sz w:val="20"/>
                <w:szCs w:val="20"/>
              </w:rPr>
            </w:pPr>
            <w:r w:rsidRPr="002E6578">
              <w:rPr>
                <w:rFonts w:ascii="Helvetica" w:hAnsi="Helvetica" w:cs="Helvetica"/>
                <w:sz w:val="20"/>
                <w:szCs w:val="20"/>
              </w:rPr>
              <w:t>Self-</w:t>
            </w:r>
            <w:r>
              <w:rPr>
                <w:rFonts w:ascii="Helvetica" w:hAnsi="Helvetica" w:cs="Helvetica"/>
                <w:sz w:val="20"/>
                <w:szCs w:val="20"/>
              </w:rPr>
              <w:t>E</w:t>
            </w:r>
            <w:r w:rsidRPr="002E6578">
              <w:rPr>
                <w:rFonts w:ascii="Helvetica" w:hAnsi="Helvetica" w:cs="Helvetica"/>
                <w:sz w:val="20"/>
                <w:szCs w:val="20"/>
              </w:rPr>
              <w:t>fficacy</w:t>
            </w:r>
            <w:r>
              <w:rPr>
                <w:rFonts w:ascii="Helvetica" w:hAnsi="Helvetica" w:cs="Helvetica"/>
                <w:sz w:val="20"/>
                <w:szCs w:val="20"/>
              </w:rPr>
              <w:t xml:space="preserve"> Scale</w:t>
            </w:r>
            <w:r w:rsidRPr="002E6578">
              <w:rPr>
                <w:rFonts w:ascii="Helvetica" w:hAnsi="Helvetica" w:cs="Helvetica"/>
                <w:sz w:val="20"/>
                <w:szCs w:val="20"/>
              </w:rPr>
              <w:t xml:space="preserve"> (IBD-SES; 29-items; 4 domains)</w:t>
            </w:r>
          </w:p>
          <w:p w:rsidR="0065452F" w:rsidRPr="002E6578" w:rsidRDefault="0065452F" w:rsidP="00861802">
            <w:pPr>
              <w:rPr>
                <w:rFonts w:ascii="Helvetica" w:hAnsi="Helvetica" w:cs="Helvetica"/>
                <w:sz w:val="20"/>
                <w:szCs w:val="20"/>
              </w:rPr>
            </w:pPr>
          </w:p>
          <w:p w:rsidR="0065452F" w:rsidRPr="002E6578" w:rsidRDefault="0065452F" w:rsidP="00861802">
            <w:pPr>
              <w:rPr>
                <w:rFonts w:ascii="Helvetica" w:hAnsi="Helvetica" w:cs="Helvetica"/>
                <w:sz w:val="20"/>
                <w:szCs w:val="20"/>
              </w:rPr>
            </w:pPr>
            <w:r w:rsidRPr="002E6578">
              <w:rPr>
                <w:rFonts w:ascii="Helvetica" w:hAnsi="Helvetica" w:cs="Helvetica"/>
                <w:sz w:val="20"/>
                <w:szCs w:val="20"/>
              </w:rPr>
              <w:t>Diagnosis and treatment related knowledge (VAS score)</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12 months</w:t>
            </w:r>
          </w:p>
        </w:tc>
        <w:tc>
          <w:tcPr>
            <w:tcW w:w="4320" w:type="dxa"/>
          </w:tcPr>
          <w:p w:rsidR="0065452F" w:rsidRPr="009E6C90" w:rsidRDefault="0065452F" w:rsidP="00861802">
            <w:pPr>
              <w:pStyle w:val="ListParagraph"/>
              <w:numPr>
                <w:ilvl w:val="0"/>
                <w:numId w:val="7"/>
              </w:numPr>
              <w:rPr>
                <w:rFonts w:ascii="Helvetica" w:hAnsi="Helvetica" w:cs="Helvetica"/>
                <w:sz w:val="20"/>
                <w:szCs w:val="20"/>
              </w:rPr>
            </w:pPr>
            <w:r w:rsidRPr="009E6C90">
              <w:rPr>
                <w:rFonts w:ascii="Helvetica" w:hAnsi="Helvetica" w:cs="Helvetica"/>
                <w:sz w:val="20"/>
                <w:szCs w:val="20"/>
              </w:rPr>
              <w:t>No significant differences in quality of care, self-efficacy or knowledge of medication</w:t>
            </w:r>
          </w:p>
        </w:tc>
      </w:tr>
      <w:tr w:rsidR="0065452F" w:rsidRPr="009843C6" w:rsidTr="00861802">
        <w:tc>
          <w:tcPr>
            <w:tcW w:w="2070" w:type="dxa"/>
          </w:tcPr>
          <w:p w:rsidR="0065452F" w:rsidRPr="002B2A8B" w:rsidRDefault="0065452F" w:rsidP="00861802">
            <w:pPr>
              <w:rPr>
                <w:rFonts w:ascii="Helvetica" w:hAnsi="Helvetica" w:cs="Helvetica"/>
                <w:sz w:val="20"/>
                <w:szCs w:val="20"/>
              </w:rPr>
            </w:pPr>
            <w:proofErr w:type="spellStart"/>
            <w:r w:rsidRPr="002B2A8B">
              <w:rPr>
                <w:rFonts w:ascii="Helvetica" w:hAnsi="Helvetica" w:cs="Helvetica"/>
                <w:sz w:val="20"/>
                <w:szCs w:val="20"/>
              </w:rPr>
              <w:t>Elkjaer</w:t>
            </w:r>
            <w:proofErr w:type="spellEnd"/>
            <w:r w:rsidRPr="002B2A8B">
              <w:rPr>
                <w:rFonts w:ascii="Helvetica" w:hAnsi="Helvetica" w:cs="Helvetica"/>
                <w:sz w:val="20"/>
                <w:szCs w:val="20"/>
              </w:rPr>
              <w:t xml:space="preserve"> M</w:t>
            </w:r>
            <w:r>
              <w:rPr>
                <w:rFonts w:ascii="Helvetica" w:hAnsi="Helvetica" w:cs="Helvetica"/>
                <w:sz w:val="20"/>
                <w:szCs w:val="20"/>
              </w:rPr>
              <w:t>,</w:t>
            </w:r>
            <w:r w:rsidRPr="002B2A8B">
              <w:rPr>
                <w:rFonts w:ascii="Helvetica" w:hAnsi="Helvetica" w:cs="Helvetica"/>
                <w:sz w:val="20"/>
                <w:szCs w:val="20"/>
              </w:rPr>
              <w:t xml:space="preserve"> 2010</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Web (Constant-Care)</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2. Control</w:t>
            </w:r>
          </w:p>
        </w:tc>
        <w:tc>
          <w:tcPr>
            <w:tcW w:w="3960" w:type="dxa"/>
          </w:tcPr>
          <w:p w:rsidR="0065452F" w:rsidRPr="002B2A8B" w:rsidRDefault="0065452F" w:rsidP="00861802">
            <w:pPr>
              <w:rPr>
                <w:rFonts w:ascii="Helvetica" w:hAnsi="Helvetica" w:cs="Helvetica"/>
                <w:sz w:val="20"/>
                <w:szCs w:val="20"/>
              </w:rPr>
            </w:pPr>
            <w:r w:rsidRPr="002B2A8B">
              <w:rPr>
                <w:rFonts w:ascii="Helvetica" w:hAnsi="Helvetica" w:cs="Helvetica"/>
                <w:sz w:val="20"/>
                <w:szCs w:val="20"/>
              </w:rPr>
              <w:t>SQ: satisfaction questionnaire (6+ cm = +)</w:t>
            </w:r>
          </w:p>
          <w:p w:rsidR="0065452F" w:rsidRPr="002B2A8B" w:rsidRDefault="0065452F" w:rsidP="00861802">
            <w:pPr>
              <w:rPr>
                <w:rFonts w:ascii="Helvetica" w:hAnsi="Helvetica" w:cs="Helvetica"/>
                <w:sz w:val="20"/>
                <w:szCs w:val="20"/>
              </w:rPr>
            </w:pPr>
          </w:p>
          <w:p w:rsidR="0065452F" w:rsidRDefault="0065452F" w:rsidP="00861802">
            <w:pPr>
              <w:rPr>
                <w:rFonts w:ascii="Helvetica" w:hAnsi="Helvetica" w:cs="Helvetica"/>
                <w:sz w:val="20"/>
                <w:szCs w:val="20"/>
              </w:rPr>
            </w:pPr>
            <w:r w:rsidRPr="002B2A8B">
              <w:rPr>
                <w:rFonts w:ascii="Helvetica" w:hAnsi="Helvetica" w:cs="Helvetica"/>
                <w:sz w:val="20"/>
                <w:szCs w:val="20"/>
              </w:rPr>
              <w:t>CCKNOW: checks for understanding of IBD, medication, diet, complications of IBD</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sidRPr="002B2A8B">
              <w:rPr>
                <w:rFonts w:ascii="Helvetica" w:hAnsi="Helvetica" w:cs="Helvetica"/>
                <w:sz w:val="20"/>
                <w:szCs w:val="20"/>
              </w:rPr>
              <w:t xml:space="preserve">HADS: anxiety and depression questionnaires; 0-7 = normal, 8-10 = borderline, 11+ = anxious/depressed </w:t>
            </w:r>
          </w:p>
          <w:p w:rsidR="0065452F" w:rsidRPr="002B2A8B" w:rsidRDefault="0065452F" w:rsidP="00861802">
            <w:pPr>
              <w:rPr>
                <w:rFonts w:ascii="Helvetica" w:hAnsi="Helvetica" w:cs="Helvetica"/>
                <w:sz w:val="20"/>
                <w:szCs w:val="20"/>
              </w:rPr>
            </w:pPr>
          </w:p>
          <w:p w:rsidR="0065452F" w:rsidRPr="002B2A8B" w:rsidRDefault="0065452F" w:rsidP="00861802">
            <w:pPr>
              <w:rPr>
                <w:rFonts w:ascii="Helvetica" w:hAnsi="Helvetica" w:cs="Helvetica"/>
                <w:b/>
                <w:bCs/>
                <w:sz w:val="20"/>
                <w:szCs w:val="20"/>
              </w:rPr>
            </w:pP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12 months</w:t>
            </w:r>
          </w:p>
        </w:tc>
        <w:tc>
          <w:tcPr>
            <w:tcW w:w="4320" w:type="dxa"/>
          </w:tcPr>
          <w:p w:rsidR="0065452F" w:rsidRDefault="0065452F" w:rsidP="00861802">
            <w:pPr>
              <w:rPr>
                <w:rFonts w:ascii="Helvetica" w:hAnsi="Helvetica" w:cs="Helvetica"/>
                <w:b/>
                <w:bCs/>
                <w:sz w:val="20"/>
                <w:szCs w:val="20"/>
              </w:rPr>
            </w:pPr>
            <w:r>
              <w:rPr>
                <w:rFonts w:ascii="Helvetica" w:hAnsi="Helvetica" w:cs="Helvetica"/>
                <w:b/>
                <w:bCs/>
                <w:sz w:val="20"/>
                <w:szCs w:val="20"/>
              </w:rPr>
              <w:t>Denmark</w:t>
            </w:r>
          </w:p>
          <w:p w:rsidR="0065452F"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S</w:t>
            </w:r>
            <w:r w:rsidRPr="00204EC8">
              <w:rPr>
                <w:rFonts w:ascii="Helvetica" w:hAnsi="Helvetica" w:cs="Helvetica"/>
                <w:sz w:val="20"/>
                <w:szCs w:val="20"/>
              </w:rPr>
              <w:t>ignificant improvement in IBD knowledge in we</w:t>
            </w:r>
            <w:r>
              <w:rPr>
                <w:rFonts w:ascii="Helvetica" w:hAnsi="Helvetica" w:cs="Helvetica"/>
                <w:sz w:val="20"/>
                <w:szCs w:val="20"/>
              </w:rPr>
              <w:t>b group.</w:t>
            </w:r>
          </w:p>
          <w:p w:rsidR="0065452F" w:rsidRPr="00355F0D" w:rsidRDefault="0065452F" w:rsidP="00861802">
            <w:pPr>
              <w:pStyle w:val="ListParagraph"/>
              <w:numPr>
                <w:ilvl w:val="0"/>
                <w:numId w:val="7"/>
              </w:numPr>
              <w:spacing w:line="259" w:lineRule="auto"/>
              <w:rPr>
                <w:rFonts w:ascii="Helvetica" w:hAnsi="Helvetica" w:cs="Helvetica"/>
                <w:sz w:val="20"/>
                <w:szCs w:val="20"/>
              </w:rPr>
            </w:pPr>
            <w:r w:rsidRPr="00355F0D">
              <w:rPr>
                <w:rFonts w:ascii="Helvetica" w:hAnsi="Helvetica" w:cs="Helvetica"/>
                <w:sz w:val="20"/>
                <w:szCs w:val="20"/>
              </w:rPr>
              <w:t xml:space="preserve">Improvement in web-group </w:t>
            </w:r>
            <w:r>
              <w:rPr>
                <w:rFonts w:ascii="Helvetica" w:hAnsi="Helvetica" w:cs="Helvetica"/>
                <w:sz w:val="20"/>
                <w:szCs w:val="20"/>
              </w:rPr>
              <w:t xml:space="preserve">group for </w:t>
            </w:r>
            <w:r w:rsidRPr="00355F0D">
              <w:rPr>
                <w:rFonts w:ascii="Helvetica" w:hAnsi="Helvetica" w:cs="Helvetica"/>
                <w:sz w:val="20"/>
                <w:szCs w:val="20"/>
              </w:rPr>
              <w:t xml:space="preserve">general health (p=0.009), vitality (p=0.03), role emotional (p&lt;0.0001), and social functioning (p=0.002) compared to control-group </w:t>
            </w:r>
          </w:p>
          <w:p w:rsidR="0065452F" w:rsidRPr="002E6578" w:rsidRDefault="0065452F" w:rsidP="00861802">
            <w:pPr>
              <w:pStyle w:val="ListParagraph"/>
              <w:numPr>
                <w:ilvl w:val="0"/>
                <w:numId w:val="7"/>
              </w:numPr>
              <w:spacing w:line="259" w:lineRule="auto"/>
              <w:rPr>
                <w:rFonts w:ascii="Helvetica" w:hAnsi="Helvetica" w:cs="Helvetica"/>
                <w:sz w:val="20"/>
                <w:szCs w:val="20"/>
              </w:rPr>
            </w:pPr>
            <w:r w:rsidRPr="002B2A8B">
              <w:rPr>
                <w:rFonts w:ascii="Helvetica" w:hAnsi="Helvetica" w:cs="Helvetica"/>
                <w:sz w:val="20"/>
                <w:szCs w:val="20"/>
              </w:rPr>
              <w:t xml:space="preserve">Improved depression score in control group (p=0.01) although both groups had normal scores </w:t>
            </w:r>
          </w:p>
          <w:p w:rsidR="0065452F" w:rsidRDefault="0065452F" w:rsidP="00861802">
            <w:pPr>
              <w:rPr>
                <w:rFonts w:ascii="Helvetica" w:hAnsi="Helvetica" w:cs="Helvetica"/>
                <w:b/>
                <w:bCs/>
                <w:sz w:val="20"/>
                <w:szCs w:val="20"/>
              </w:rPr>
            </w:pPr>
          </w:p>
          <w:p w:rsidR="0065452F" w:rsidRPr="009E4787" w:rsidRDefault="0065452F" w:rsidP="00861802">
            <w:pPr>
              <w:rPr>
                <w:rFonts w:ascii="Helvetica" w:hAnsi="Helvetica" w:cs="Helvetica"/>
                <w:b/>
                <w:bCs/>
                <w:sz w:val="20"/>
                <w:szCs w:val="20"/>
              </w:rPr>
            </w:pPr>
            <w:r>
              <w:rPr>
                <w:rFonts w:ascii="Helvetica" w:hAnsi="Helvetica" w:cs="Helvetica"/>
                <w:b/>
                <w:bCs/>
                <w:sz w:val="20"/>
                <w:szCs w:val="20"/>
              </w:rPr>
              <w:t>Ireland</w:t>
            </w:r>
          </w:p>
          <w:p w:rsidR="0065452F" w:rsidRPr="003922DB" w:rsidRDefault="0065452F" w:rsidP="00861802">
            <w:pPr>
              <w:pStyle w:val="ListParagraph"/>
              <w:numPr>
                <w:ilvl w:val="0"/>
                <w:numId w:val="7"/>
              </w:numPr>
              <w:spacing w:after="160" w:line="259" w:lineRule="auto"/>
              <w:rPr>
                <w:rFonts w:ascii="Helvetica" w:hAnsi="Helvetica" w:cs="Helvetica"/>
                <w:i/>
                <w:sz w:val="20"/>
                <w:szCs w:val="20"/>
              </w:rPr>
            </w:pPr>
            <w:r>
              <w:rPr>
                <w:rFonts w:ascii="Helvetica" w:hAnsi="Helvetica" w:cs="Helvetica"/>
                <w:sz w:val="20"/>
                <w:szCs w:val="20"/>
              </w:rPr>
              <w:t>I</w:t>
            </w:r>
            <w:r w:rsidRPr="002B2A8B">
              <w:rPr>
                <w:rFonts w:ascii="Helvetica" w:hAnsi="Helvetica" w:cs="Helvetica"/>
                <w:sz w:val="20"/>
                <w:szCs w:val="20"/>
              </w:rPr>
              <w:t>mproved mental health (p=0.01), physical functioning (p=0.03), social functioning (p=0.02) in web</w:t>
            </w:r>
          </w:p>
          <w:p w:rsidR="0065452F" w:rsidRDefault="0065452F" w:rsidP="00861802">
            <w:pPr>
              <w:pStyle w:val="ListParagraph"/>
              <w:numPr>
                <w:ilvl w:val="0"/>
                <w:numId w:val="7"/>
              </w:numPr>
              <w:spacing w:after="160" w:line="259" w:lineRule="auto"/>
              <w:rPr>
                <w:rFonts w:ascii="Helvetica" w:hAnsi="Helvetica" w:cs="Helvetica"/>
                <w:sz w:val="20"/>
                <w:szCs w:val="20"/>
              </w:rPr>
            </w:pPr>
            <w:r w:rsidRPr="002B2A8B">
              <w:rPr>
                <w:rFonts w:ascii="Helvetica" w:hAnsi="Helvetica" w:cs="Helvetica"/>
                <w:sz w:val="20"/>
                <w:szCs w:val="20"/>
              </w:rPr>
              <w:t>Although depression and anxiety normal in both, anxiety improved in web (p=0.02)</w:t>
            </w:r>
          </w:p>
          <w:p w:rsidR="0065452F" w:rsidRPr="009843C6" w:rsidRDefault="0065452F" w:rsidP="00861802">
            <w:pPr>
              <w:rPr>
                <w:rFonts w:ascii="Helvetica" w:hAnsi="Helvetica" w:cs="Helvetica"/>
                <w:sz w:val="20"/>
                <w:szCs w:val="20"/>
              </w:rPr>
            </w:pPr>
            <w:r w:rsidRPr="009843C6">
              <w:rPr>
                <w:rFonts w:ascii="Helvetica" w:hAnsi="Helvetica" w:cs="Helvetica"/>
                <w:sz w:val="20"/>
                <w:szCs w:val="20"/>
              </w:rPr>
              <w:t>General IBD-knowledge significantly improved in Denmark but not in Ireland</w:t>
            </w:r>
            <w:r>
              <w:rPr>
                <w:rFonts w:ascii="Helvetica" w:hAnsi="Helvetica" w:cs="Helvetica"/>
                <w:sz w:val="20"/>
                <w:szCs w:val="20"/>
              </w:rPr>
              <w:t>.</w:t>
            </w:r>
          </w:p>
        </w:tc>
      </w:tr>
      <w:tr w:rsidR="0065452F" w:rsidRPr="00D319C1" w:rsidTr="00861802">
        <w:tc>
          <w:tcPr>
            <w:tcW w:w="2070" w:type="dxa"/>
          </w:tcPr>
          <w:p w:rsidR="0065452F" w:rsidRPr="002B2A8B" w:rsidRDefault="0065452F" w:rsidP="00861802">
            <w:pPr>
              <w:rPr>
                <w:rFonts w:ascii="Helvetica" w:hAnsi="Helvetica" w:cs="Helvetica"/>
                <w:sz w:val="20"/>
                <w:szCs w:val="20"/>
              </w:rPr>
            </w:pPr>
            <w:r w:rsidRPr="002B2A8B">
              <w:rPr>
                <w:rFonts w:ascii="Helvetica" w:hAnsi="Helvetica" w:cs="Helvetica"/>
                <w:sz w:val="20"/>
                <w:szCs w:val="20"/>
              </w:rPr>
              <w:lastRenderedPageBreak/>
              <w:t>Linn AJ, 2018</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Mobile-based</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2. Control</w:t>
            </w:r>
          </w:p>
        </w:tc>
        <w:tc>
          <w:tcPr>
            <w:tcW w:w="3960" w:type="dxa"/>
          </w:tcPr>
          <w:p w:rsidR="0065452F" w:rsidRPr="002B2A8B" w:rsidRDefault="0065452F" w:rsidP="00861802">
            <w:pPr>
              <w:rPr>
                <w:rFonts w:ascii="Helvetica" w:hAnsi="Helvetica" w:cs="Helvetica"/>
                <w:sz w:val="20"/>
                <w:szCs w:val="20"/>
              </w:rPr>
            </w:pPr>
            <w:r>
              <w:rPr>
                <w:rFonts w:ascii="Helvetica" w:hAnsi="Helvetica" w:cs="Helvetica"/>
                <w:sz w:val="20"/>
                <w:szCs w:val="20"/>
              </w:rPr>
              <w:t xml:space="preserve">Self-efficacy: </w:t>
            </w:r>
            <w:r w:rsidRPr="002B2A8B">
              <w:rPr>
                <w:rFonts w:ascii="Helvetica" w:hAnsi="Helvetica" w:cs="Helvetica"/>
                <w:sz w:val="20"/>
                <w:szCs w:val="20"/>
              </w:rPr>
              <w:t>Medication Understanding and Use Self-Efficacy Scale (MUSE). Utilized to assess patients’ self-efficacy of understanding and taking medication.</w:t>
            </w:r>
          </w:p>
          <w:p w:rsidR="0065452F" w:rsidRDefault="0065452F" w:rsidP="00861802">
            <w:pPr>
              <w:rPr>
                <w:rFonts w:ascii="Helvetica" w:hAnsi="Helvetica" w:cs="Helvetica"/>
                <w:sz w:val="20"/>
                <w:szCs w:val="20"/>
              </w:rPr>
            </w:pPr>
          </w:p>
          <w:p w:rsidR="0065452F" w:rsidRDefault="0065452F" w:rsidP="00861802">
            <w:pPr>
              <w:rPr>
                <w:rFonts w:ascii="Helvetica" w:hAnsi="Helvetica" w:cs="Helvetica"/>
                <w:sz w:val="20"/>
                <w:szCs w:val="20"/>
              </w:rPr>
            </w:pPr>
            <w:r w:rsidRPr="002B2A8B">
              <w:rPr>
                <w:rFonts w:ascii="Helvetica" w:hAnsi="Helvetica" w:cs="Helvetica"/>
                <w:sz w:val="20"/>
                <w:szCs w:val="20"/>
              </w:rPr>
              <w:t>Beliefs about Medicines Questionnaire (BMQ-Specific). 10-item scale with regards to patients’ concerns about taking their medications.</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b/>
                <w:bCs/>
                <w:sz w:val="20"/>
                <w:szCs w:val="20"/>
              </w:rPr>
            </w:pPr>
            <w:r>
              <w:rPr>
                <w:rFonts w:ascii="Helvetica" w:hAnsi="Helvetica" w:cs="Helvetica"/>
                <w:sz w:val="20"/>
                <w:szCs w:val="20"/>
              </w:rPr>
              <w:t xml:space="preserve">Patient satisfaction: </w:t>
            </w:r>
            <w:r w:rsidRPr="002B2A8B">
              <w:rPr>
                <w:rFonts w:ascii="Helvetica" w:hAnsi="Helvetica" w:cs="Helvetica"/>
                <w:sz w:val="20"/>
                <w:szCs w:val="20"/>
              </w:rPr>
              <w:t>29-item questionnaire with three scales.</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6 months</w:t>
            </w:r>
          </w:p>
        </w:tc>
        <w:tc>
          <w:tcPr>
            <w:tcW w:w="4320" w:type="dxa"/>
          </w:tcPr>
          <w:p w:rsidR="0065452F" w:rsidRPr="002B2A8B" w:rsidRDefault="0065452F" w:rsidP="00861802">
            <w:pPr>
              <w:pStyle w:val="ListParagraph"/>
              <w:numPr>
                <w:ilvl w:val="0"/>
                <w:numId w:val="4"/>
              </w:numPr>
              <w:rPr>
                <w:rFonts w:ascii="Helvetica" w:hAnsi="Helvetica" w:cs="Helvetica"/>
                <w:sz w:val="20"/>
                <w:szCs w:val="20"/>
              </w:rPr>
            </w:pPr>
            <w:r>
              <w:rPr>
                <w:rFonts w:ascii="Helvetica" w:hAnsi="Helvetica" w:cs="Helvetica"/>
                <w:sz w:val="20"/>
                <w:szCs w:val="20"/>
              </w:rPr>
              <w:t>Text messaging</w:t>
            </w:r>
            <w:r w:rsidRPr="002B2A8B">
              <w:rPr>
                <w:rFonts w:ascii="Helvetica" w:hAnsi="Helvetica" w:cs="Helvetica"/>
                <w:sz w:val="20"/>
                <w:szCs w:val="20"/>
              </w:rPr>
              <w:t xml:space="preserve"> did not improve patient satisfaction with the communication about the disease and treatment. </w:t>
            </w:r>
            <w:r>
              <w:rPr>
                <w:rFonts w:ascii="Helvetica" w:hAnsi="Helvetica" w:cs="Helvetica"/>
                <w:sz w:val="20"/>
                <w:szCs w:val="20"/>
              </w:rPr>
              <w:t>Text messaging</w:t>
            </w:r>
            <w:r w:rsidRPr="002B2A8B">
              <w:rPr>
                <w:rFonts w:ascii="Helvetica" w:hAnsi="Helvetica" w:cs="Helvetica"/>
                <w:sz w:val="20"/>
                <w:szCs w:val="20"/>
              </w:rPr>
              <w:t xml:space="preserve"> did improve patient’s satisfaction with the nurses’ communication. </w:t>
            </w:r>
          </w:p>
          <w:p w:rsidR="0065452F" w:rsidRPr="00D319C1" w:rsidRDefault="0065452F" w:rsidP="00861802">
            <w:pPr>
              <w:pStyle w:val="ListParagraph"/>
              <w:numPr>
                <w:ilvl w:val="0"/>
                <w:numId w:val="4"/>
              </w:numPr>
              <w:rPr>
                <w:rFonts w:ascii="Helvetica" w:hAnsi="Helvetica" w:cs="Helvetica"/>
                <w:sz w:val="20"/>
                <w:szCs w:val="20"/>
              </w:rPr>
            </w:pPr>
            <w:r w:rsidRPr="002B2A8B">
              <w:rPr>
                <w:rFonts w:ascii="Helvetica" w:hAnsi="Helvetica" w:cs="Helvetica"/>
                <w:sz w:val="20"/>
                <w:szCs w:val="20"/>
              </w:rPr>
              <w:t>Increased self-efficacy – patients reported being able to overcome obstacles that might hinder them from taking the medication as prescribed.</w:t>
            </w:r>
          </w:p>
        </w:tc>
      </w:tr>
      <w:tr w:rsidR="0065452F" w:rsidRPr="009E6C90" w:rsidTr="00861802">
        <w:tc>
          <w:tcPr>
            <w:tcW w:w="2070" w:type="dxa"/>
          </w:tcPr>
          <w:p w:rsidR="0065452F" w:rsidRPr="002B2A8B" w:rsidRDefault="0065452F" w:rsidP="00861802">
            <w:pPr>
              <w:rPr>
                <w:rFonts w:ascii="Helvetica" w:hAnsi="Helvetica" w:cs="Helvetica"/>
                <w:sz w:val="20"/>
                <w:szCs w:val="20"/>
              </w:rPr>
            </w:pPr>
            <w:proofErr w:type="spellStart"/>
            <w:r w:rsidRPr="002B2A8B">
              <w:rPr>
                <w:rFonts w:ascii="Helvetica" w:hAnsi="Helvetica" w:cs="Helvetica"/>
                <w:sz w:val="20"/>
                <w:szCs w:val="20"/>
              </w:rPr>
              <w:t>Akobeng</w:t>
            </w:r>
            <w:proofErr w:type="spellEnd"/>
            <w:r w:rsidRPr="002B2A8B">
              <w:rPr>
                <w:rFonts w:ascii="Helvetica" w:hAnsi="Helvetica" w:cs="Helvetica"/>
                <w:sz w:val="20"/>
                <w:szCs w:val="20"/>
              </w:rPr>
              <w:t xml:space="preserve"> AK, 2015</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Mobile-based (telephone consultation)</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2. Control</w:t>
            </w:r>
          </w:p>
        </w:tc>
        <w:tc>
          <w:tcPr>
            <w:tcW w:w="3960" w:type="dxa"/>
          </w:tcPr>
          <w:p w:rsidR="0065452F" w:rsidRDefault="0065452F" w:rsidP="00861802">
            <w:pPr>
              <w:rPr>
                <w:rFonts w:ascii="Helvetica" w:hAnsi="Helvetica" w:cs="Helvetica"/>
                <w:sz w:val="20"/>
                <w:szCs w:val="20"/>
              </w:rPr>
            </w:pPr>
            <w:r>
              <w:rPr>
                <w:rFonts w:ascii="Helvetica" w:hAnsi="Helvetica" w:cs="Helvetica"/>
                <w:sz w:val="20"/>
                <w:szCs w:val="20"/>
              </w:rPr>
              <w:t>P</w:t>
            </w:r>
            <w:r w:rsidRPr="002B2A8B">
              <w:rPr>
                <w:rFonts w:ascii="Helvetica" w:hAnsi="Helvetica" w:cs="Helvetica"/>
                <w:sz w:val="20"/>
                <w:szCs w:val="20"/>
              </w:rPr>
              <w:t>atient and parent satisfaction with consultations using Consultation Satisfaction Questionnaire</w:t>
            </w:r>
          </w:p>
          <w:p w:rsidR="0065452F" w:rsidRDefault="0065452F" w:rsidP="00861802">
            <w:pPr>
              <w:rPr>
                <w:rFonts w:ascii="Helvetica" w:hAnsi="Helvetica" w:cs="Helvetica"/>
                <w:b/>
                <w:bCs/>
                <w:sz w:val="20"/>
                <w:szCs w:val="20"/>
              </w:rPr>
            </w:pPr>
          </w:p>
          <w:p w:rsidR="0065452F" w:rsidRPr="00F56664" w:rsidRDefault="0065452F" w:rsidP="00861802">
            <w:pPr>
              <w:rPr>
                <w:rFonts w:ascii="Helvetica" w:hAnsi="Helvetica" w:cs="Helvetica"/>
                <w:sz w:val="20"/>
                <w:szCs w:val="20"/>
              </w:rPr>
            </w:pPr>
            <w:r>
              <w:rPr>
                <w:rFonts w:ascii="Helvetica" w:hAnsi="Helvetica" w:cs="Helvetica"/>
                <w:sz w:val="20"/>
                <w:szCs w:val="20"/>
              </w:rPr>
              <w:t>Anthropometric measurements</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24 months</w:t>
            </w:r>
          </w:p>
        </w:tc>
        <w:tc>
          <w:tcPr>
            <w:tcW w:w="4320" w:type="dxa"/>
          </w:tcPr>
          <w:p w:rsidR="0065452F" w:rsidRPr="002B2A8B" w:rsidRDefault="0065452F" w:rsidP="00861802">
            <w:pPr>
              <w:pStyle w:val="ListParagraph"/>
              <w:numPr>
                <w:ilvl w:val="0"/>
                <w:numId w:val="7"/>
              </w:numPr>
              <w:rPr>
                <w:rFonts w:ascii="Helvetica" w:hAnsi="Helvetica" w:cs="Helvetica"/>
                <w:sz w:val="20"/>
                <w:szCs w:val="20"/>
              </w:rPr>
            </w:pPr>
            <w:r w:rsidRPr="002B2A8B">
              <w:rPr>
                <w:rFonts w:ascii="Helvetica" w:hAnsi="Helvetica" w:cs="Helvetica"/>
                <w:sz w:val="20"/>
                <w:szCs w:val="20"/>
              </w:rPr>
              <w:t xml:space="preserve">No significant differences for anthropometric scores between the two groups. </w:t>
            </w:r>
          </w:p>
          <w:p w:rsidR="0065452F"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No significant differences between child and parent satisfaction between the two groups.</w:t>
            </w:r>
          </w:p>
          <w:p w:rsidR="0065452F" w:rsidRPr="009E6C90"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No significant differences in BMI, weight, and height between the two groups.</w:t>
            </w:r>
          </w:p>
        </w:tc>
      </w:tr>
      <w:tr w:rsidR="0065452F" w:rsidRPr="00CD7252" w:rsidTr="00861802">
        <w:tc>
          <w:tcPr>
            <w:tcW w:w="2070" w:type="dxa"/>
          </w:tcPr>
          <w:p w:rsidR="0065452F" w:rsidRDefault="0065452F" w:rsidP="00861802">
            <w:pPr>
              <w:rPr>
                <w:rFonts w:ascii="Helvetica" w:hAnsi="Helvetica" w:cs="Helvetica"/>
                <w:sz w:val="20"/>
                <w:szCs w:val="20"/>
              </w:rPr>
            </w:pPr>
            <w:r>
              <w:rPr>
                <w:rFonts w:ascii="Helvetica" w:hAnsi="Helvetica" w:cs="Helvetica"/>
                <w:sz w:val="20"/>
                <w:szCs w:val="20"/>
              </w:rPr>
              <w:t>Carlsen K, 2017</w:t>
            </w:r>
          </w:p>
          <w:p w:rsidR="0065452F" w:rsidRPr="002B2A8B" w:rsidRDefault="0065452F" w:rsidP="00861802">
            <w:pPr>
              <w:rPr>
                <w:rFonts w:ascii="Helvetica" w:hAnsi="Helvetica" w:cs="Helvetica"/>
                <w:sz w:val="20"/>
                <w:szCs w:val="20"/>
              </w:rPr>
            </w:pPr>
            <w:r>
              <w:rPr>
                <w:rFonts w:ascii="Helvetica" w:hAnsi="Helvetica" w:cs="Helvetica"/>
                <w:sz w:val="20"/>
                <w:szCs w:val="20"/>
              </w:rPr>
              <w:t>(Non-biologic cohort)</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Web-based (yong.constant-care.com)</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2. Control</w:t>
            </w:r>
          </w:p>
        </w:tc>
        <w:tc>
          <w:tcPr>
            <w:tcW w:w="3960" w:type="dxa"/>
          </w:tcPr>
          <w:p w:rsidR="0065452F" w:rsidRPr="00AD1BC9" w:rsidRDefault="0065452F" w:rsidP="00861802">
            <w:pPr>
              <w:rPr>
                <w:rFonts w:ascii="Helvetica" w:hAnsi="Helvetica" w:cs="Helvetica"/>
                <w:sz w:val="20"/>
                <w:szCs w:val="20"/>
              </w:rPr>
            </w:pPr>
            <w:r w:rsidRPr="00AD1BC9">
              <w:rPr>
                <w:rFonts w:ascii="Helvetica" w:hAnsi="Helvetica" w:cs="Helvetica"/>
                <w:sz w:val="20"/>
                <w:szCs w:val="20"/>
              </w:rPr>
              <w:t xml:space="preserve">School absence </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24 months</w:t>
            </w:r>
          </w:p>
        </w:tc>
        <w:tc>
          <w:tcPr>
            <w:tcW w:w="4320" w:type="dxa"/>
          </w:tcPr>
          <w:p w:rsidR="0065452F" w:rsidRPr="00CD7252" w:rsidRDefault="0065452F" w:rsidP="00861802">
            <w:pPr>
              <w:pStyle w:val="ListParagraph"/>
              <w:numPr>
                <w:ilvl w:val="0"/>
                <w:numId w:val="4"/>
              </w:numPr>
              <w:rPr>
                <w:rFonts w:ascii="Helvetica" w:hAnsi="Helvetica" w:cs="Helvetica"/>
                <w:sz w:val="20"/>
                <w:szCs w:val="20"/>
              </w:rPr>
            </w:pPr>
            <w:r>
              <w:rPr>
                <w:rFonts w:ascii="Helvetica" w:hAnsi="Helvetica" w:cs="Helvetica"/>
                <w:sz w:val="20"/>
                <w:szCs w:val="20"/>
              </w:rPr>
              <w:t xml:space="preserve">There was a significant difference in the number of IBD-related days of absence from the school: web (mean 1.6 days per patient with standard error of 0.5) and the control group (mean 16.5 days per patient with standard error 4.4) (p&lt;0.01). </w:t>
            </w:r>
          </w:p>
        </w:tc>
      </w:tr>
      <w:tr w:rsidR="0065452F" w:rsidRPr="009E6C90" w:rsidTr="00861802">
        <w:tc>
          <w:tcPr>
            <w:tcW w:w="2070" w:type="dxa"/>
          </w:tcPr>
          <w:p w:rsidR="0065452F" w:rsidRPr="002B2A8B" w:rsidRDefault="0065452F" w:rsidP="00861802">
            <w:pPr>
              <w:rPr>
                <w:rFonts w:ascii="Helvetica" w:hAnsi="Helvetica" w:cs="Helvetica"/>
                <w:sz w:val="20"/>
                <w:szCs w:val="20"/>
              </w:rPr>
            </w:pPr>
            <w:r w:rsidRPr="002B2A8B">
              <w:rPr>
                <w:rFonts w:ascii="Helvetica" w:hAnsi="Helvetica" w:cs="Helvetica"/>
                <w:sz w:val="20"/>
                <w:szCs w:val="20"/>
              </w:rPr>
              <w:t xml:space="preserve">Del </w:t>
            </w:r>
            <w:proofErr w:type="spellStart"/>
            <w:r w:rsidRPr="002B2A8B">
              <w:rPr>
                <w:rFonts w:ascii="Helvetica" w:hAnsi="Helvetica" w:cs="Helvetica"/>
                <w:sz w:val="20"/>
                <w:szCs w:val="20"/>
              </w:rPr>
              <w:t>Hoyo</w:t>
            </w:r>
            <w:proofErr w:type="spellEnd"/>
            <w:r w:rsidRPr="002B2A8B">
              <w:rPr>
                <w:rFonts w:ascii="Helvetica" w:hAnsi="Helvetica" w:cs="Helvetica"/>
                <w:sz w:val="20"/>
                <w:szCs w:val="20"/>
              </w:rPr>
              <w:t>, 2019</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Web-based telemedicine - remote monitoring (G_TECCU)</w:t>
            </w:r>
          </w:p>
          <w:p w:rsidR="0065452F" w:rsidRDefault="0065452F" w:rsidP="00861802">
            <w:pPr>
              <w:rPr>
                <w:rFonts w:ascii="Helvetica" w:hAnsi="Helvetica" w:cs="Helvetica"/>
                <w:sz w:val="20"/>
                <w:szCs w:val="20"/>
              </w:rPr>
            </w:pPr>
          </w:p>
          <w:p w:rsidR="0065452F" w:rsidRDefault="0065452F" w:rsidP="00861802">
            <w:pPr>
              <w:rPr>
                <w:rFonts w:ascii="Helvetica" w:hAnsi="Helvetica" w:cs="Helvetica"/>
                <w:sz w:val="20"/>
                <w:szCs w:val="20"/>
              </w:rPr>
            </w:pPr>
            <w:r>
              <w:rPr>
                <w:rFonts w:ascii="Helvetica" w:hAnsi="Helvetica" w:cs="Helvetica"/>
                <w:sz w:val="20"/>
                <w:szCs w:val="20"/>
              </w:rPr>
              <w:lastRenderedPageBreak/>
              <w:t>2. Nurse-assisted telephone care (G_NT)</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3. Standard care with in-person visits (</w:t>
            </w:r>
            <w:proofErr w:type="spellStart"/>
            <w:r>
              <w:rPr>
                <w:rFonts w:ascii="Helvetica" w:hAnsi="Helvetica" w:cs="Helvetica"/>
                <w:sz w:val="20"/>
                <w:szCs w:val="20"/>
              </w:rPr>
              <w:t>G_control</w:t>
            </w:r>
            <w:proofErr w:type="spellEnd"/>
            <w:r>
              <w:rPr>
                <w:rFonts w:ascii="Helvetica" w:hAnsi="Helvetica" w:cs="Helvetica"/>
                <w:sz w:val="20"/>
                <w:szCs w:val="20"/>
              </w:rPr>
              <w:t>)</w:t>
            </w:r>
          </w:p>
        </w:tc>
        <w:tc>
          <w:tcPr>
            <w:tcW w:w="3960" w:type="dxa"/>
          </w:tcPr>
          <w:p w:rsidR="0065452F" w:rsidRDefault="0065452F" w:rsidP="00861802">
            <w:pPr>
              <w:rPr>
                <w:rFonts w:ascii="Helvetica" w:hAnsi="Helvetica" w:cs="Helvetica"/>
                <w:sz w:val="20"/>
                <w:szCs w:val="20"/>
              </w:rPr>
            </w:pPr>
            <w:r>
              <w:rPr>
                <w:rFonts w:ascii="Helvetica" w:hAnsi="Helvetica" w:cs="Helvetica"/>
                <w:sz w:val="20"/>
                <w:szCs w:val="20"/>
              </w:rPr>
              <w:lastRenderedPageBreak/>
              <w:t>Work productivity and activities of daily living with Work Productivity and Activity Impairment questionnaire.</w:t>
            </w:r>
          </w:p>
          <w:p w:rsidR="0065452F" w:rsidRDefault="0065452F" w:rsidP="00861802">
            <w:pPr>
              <w:rPr>
                <w:rFonts w:ascii="Helvetica" w:hAnsi="Helvetica" w:cs="Helvetica"/>
                <w:b/>
                <w:bCs/>
                <w:sz w:val="20"/>
                <w:szCs w:val="20"/>
              </w:rPr>
            </w:pPr>
          </w:p>
          <w:p w:rsidR="0065452F" w:rsidRPr="002B2A8B" w:rsidRDefault="0065452F" w:rsidP="00861802">
            <w:pPr>
              <w:rPr>
                <w:rFonts w:ascii="Helvetica" w:hAnsi="Helvetica" w:cs="Helvetica"/>
                <w:b/>
                <w:bCs/>
                <w:sz w:val="20"/>
                <w:szCs w:val="20"/>
              </w:rPr>
            </w:pPr>
            <w:r>
              <w:rPr>
                <w:rFonts w:ascii="Helvetica" w:hAnsi="Helvetica" w:cs="Helvetica"/>
                <w:sz w:val="20"/>
                <w:szCs w:val="20"/>
              </w:rPr>
              <w:lastRenderedPageBreak/>
              <w:t>Patient satisfaction.</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lastRenderedPageBreak/>
              <w:t>6 months</w:t>
            </w:r>
          </w:p>
        </w:tc>
        <w:tc>
          <w:tcPr>
            <w:tcW w:w="4320" w:type="dxa"/>
          </w:tcPr>
          <w:p w:rsidR="0065452F"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 xml:space="preserve">There were no differences in work productivity and social activities among the three groups. </w:t>
            </w:r>
          </w:p>
          <w:p w:rsidR="0065452F" w:rsidRPr="009E6C90"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 xml:space="preserve">Mild increase in patient satisfaction in the G_TECCU and </w:t>
            </w:r>
            <w:proofErr w:type="spellStart"/>
            <w:r>
              <w:rPr>
                <w:rFonts w:ascii="Helvetica" w:hAnsi="Helvetica" w:cs="Helvetica"/>
                <w:sz w:val="20"/>
                <w:szCs w:val="20"/>
              </w:rPr>
              <w:t>G_control</w:t>
            </w:r>
            <w:proofErr w:type="spellEnd"/>
            <w:r>
              <w:rPr>
                <w:rFonts w:ascii="Helvetica" w:hAnsi="Helvetica" w:cs="Helvetica"/>
                <w:sz w:val="20"/>
                <w:szCs w:val="20"/>
              </w:rPr>
              <w:t>.</w:t>
            </w:r>
          </w:p>
        </w:tc>
      </w:tr>
      <w:tr w:rsidR="0065452F" w:rsidTr="00861802">
        <w:tc>
          <w:tcPr>
            <w:tcW w:w="2070" w:type="dxa"/>
          </w:tcPr>
          <w:p w:rsidR="0065452F" w:rsidRPr="002B2A8B" w:rsidRDefault="0065452F" w:rsidP="00861802">
            <w:pPr>
              <w:rPr>
                <w:rFonts w:ascii="Helvetica" w:hAnsi="Helvetica" w:cs="Helvetica"/>
                <w:sz w:val="20"/>
                <w:szCs w:val="20"/>
              </w:rPr>
            </w:pPr>
            <w:proofErr w:type="spellStart"/>
            <w:r>
              <w:rPr>
                <w:rFonts w:ascii="Helvetica" w:hAnsi="Helvetica" w:cs="Helvetica"/>
                <w:sz w:val="20"/>
                <w:szCs w:val="20"/>
              </w:rPr>
              <w:t>Krier</w:t>
            </w:r>
            <w:proofErr w:type="spellEnd"/>
            <w:r>
              <w:rPr>
                <w:rFonts w:ascii="Helvetica" w:hAnsi="Helvetica" w:cs="Helvetica"/>
                <w:sz w:val="20"/>
                <w:szCs w:val="20"/>
              </w:rPr>
              <w:t xml:space="preserve"> M, 2011</w:t>
            </w:r>
          </w:p>
        </w:tc>
        <w:tc>
          <w:tcPr>
            <w:tcW w:w="2160" w:type="dxa"/>
          </w:tcPr>
          <w:p w:rsidR="0065452F" w:rsidRPr="002B2A8B" w:rsidRDefault="0065452F" w:rsidP="00861802">
            <w:pPr>
              <w:rPr>
                <w:rFonts w:ascii="Helvetica" w:hAnsi="Helvetica" w:cs="Helvetica"/>
                <w:sz w:val="20"/>
                <w:szCs w:val="20"/>
              </w:rPr>
            </w:pPr>
            <w:r w:rsidRPr="002B2A8B">
              <w:rPr>
                <w:rFonts w:ascii="Helvetica" w:hAnsi="Helvetica" w:cs="Helvetica"/>
                <w:sz w:val="20"/>
                <w:szCs w:val="20"/>
              </w:rPr>
              <w:t>1. Remote telemedicine encounter (TE)</w:t>
            </w:r>
          </w:p>
          <w:p w:rsidR="0065452F" w:rsidRPr="002B2A8B"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sidRPr="002B2A8B">
              <w:rPr>
                <w:rFonts w:ascii="Helvetica" w:hAnsi="Helvetica" w:cs="Helvetica"/>
                <w:sz w:val="20"/>
                <w:szCs w:val="20"/>
              </w:rPr>
              <w:t xml:space="preserve">2. </w:t>
            </w:r>
            <w:r>
              <w:rPr>
                <w:rFonts w:ascii="Helvetica" w:hAnsi="Helvetica" w:cs="Helvetica"/>
                <w:sz w:val="20"/>
                <w:szCs w:val="20"/>
              </w:rPr>
              <w:t>F</w:t>
            </w:r>
            <w:r w:rsidRPr="002B2A8B">
              <w:rPr>
                <w:rFonts w:ascii="Helvetica" w:hAnsi="Helvetica" w:cs="Helvetica"/>
                <w:sz w:val="20"/>
                <w:szCs w:val="20"/>
              </w:rPr>
              <w:t xml:space="preserve">ace-to-face standard encounter </w:t>
            </w:r>
          </w:p>
          <w:p w:rsidR="0065452F" w:rsidRDefault="0065452F" w:rsidP="00861802">
            <w:pPr>
              <w:rPr>
                <w:rFonts w:ascii="Helvetica" w:hAnsi="Helvetica" w:cs="Helvetica"/>
                <w:sz w:val="20"/>
                <w:szCs w:val="20"/>
              </w:rPr>
            </w:pPr>
          </w:p>
        </w:tc>
        <w:tc>
          <w:tcPr>
            <w:tcW w:w="3960" w:type="dxa"/>
          </w:tcPr>
          <w:p w:rsidR="0065452F" w:rsidRDefault="0065452F" w:rsidP="00861802">
            <w:pPr>
              <w:rPr>
                <w:rFonts w:ascii="Helvetica" w:hAnsi="Helvetica" w:cs="Helvetica"/>
                <w:sz w:val="20"/>
                <w:szCs w:val="20"/>
              </w:rPr>
            </w:pPr>
            <w:r>
              <w:rPr>
                <w:rFonts w:ascii="Helvetica" w:hAnsi="Helvetica" w:cs="Helvetica"/>
                <w:sz w:val="20"/>
                <w:szCs w:val="20"/>
              </w:rPr>
              <w:t>D</w:t>
            </w:r>
            <w:r w:rsidRPr="002B2A8B">
              <w:rPr>
                <w:rFonts w:ascii="Helvetica" w:hAnsi="Helvetica" w:cs="Helvetica"/>
                <w:sz w:val="20"/>
                <w:szCs w:val="20"/>
              </w:rPr>
              <w:t>uration of appointment visit, wait time, number of patients seen per clinic day, trainee and physician satisfaction using TE system, utilization of the network to gain insight into bandwidth requirements need for use</w:t>
            </w:r>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9 months</w:t>
            </w:r>
          </w:p>
        </w:tc>
        <w:tc>
          <w:tcPr>
            <w:tcW w:w="4320" w:type="dxa"/>
          </w:tcPr>
          <w:p w:rsidR="0065452F" w:rsidRPr="002B2A8B" w:rsidRDefault="0065452F" w:rsidP="00861802">
            <w:pPr>
              <w:pStyle w:val="ListParagraph"/>
              <w:numPr>
                <w:ilvl w:val="0"/>
                <w:numId w:val="7"/>
              </w:numPr>
              <w:rPr>
                <w:rFonts w:ascii="Helvetica" w:hAnsi="Helvetica" w:cs="Helvetica"/>
                <w:sz w:val="20"/>
                <w:szCs w:val="20"/>
              </w:rPr>
            </w:pPr>
            <w:r w:rsidRPr="002B2A8B">
              <w:rPr>
                <w:rFonts w:ascii="Helvetica" w:hAnsi="Helvetica" w:cs="Helvetica"/>
                <w:sz w:val="20"/>
                <w:szCs w:val="20"/>
              </w:rPr>
              <w:t>All major clinical satisfaction end points were similar between the two arms</w:t>
            </w:r>
            <w:r>
              <w:rPr>
                <w:rFonts w:ascii="Helvetica" w:hAnsi="Helvetica" w:cs="Helvetica"/>
                <w:sz w:val="20"/>
                <w:szCs w:val="20"/>
              </w:rPr>
              <w:t>: indices of attention to patient outcomes, bedside manner, and perceived skill level of the doctor.</w:t>
            </w:r>
          </w:p>
          <w:p w:rsidR="0065452F" w:rsidRPr="002B2A8B" w:rsidRDefault="0065452F" w:rsidP="00861802">
            <w:pPr>
              <w:pStyle w:val="ListParagraph"/>
              <w:numPr>
                <w:ilvl w:val="0"/>
                <w:numId w:val="7"/>
              </w:numPr>
              <w:rPr>
                <w:rFonts w:ascii="Helvetica" w:hAnsi="Helvetica" w:cs="Helvetica"/>
                <w:sz w:val="20"/>
                <w:szCs w:val="20"/>
              </w:rPr>
            </w:pPr>
            <w:r w:rsidRPr="002B2A8B">
              <w:rPr>
                <w:rFonts w:ascii="Helvetica" w:hAnsi="Helvetica" w:cs="Helvetica"/>
                <w:sz w:val="20"/>
                <w:szCs w:val="20"/>
              </w:rPr>
              <w:t>The fellow and subspecialist rated the technical informational quality of the telemedicine sessions highly</w:t>
            </w:r>
            <w:r>
              <w:rPr>
                <w:rFonts w:ascii="Helvetica" w:hAnsi="Helvetica" w:cs="Helvetica"/>
                <w:sz w:val="20"/>
                <w:szCs w:val="20"/>
              </w:rPr>
              <w:t>.</w:t>
            </w:r>
          </w:p>
          <w:p w:rsidR="0065452F" w:rsidRDefault="0065452F" w:rsidP="00861802">
            <w:pPr>
              <w:pStyle w:val="ListParagraph"/>
              <w:numPr>
                <w:ilvl w:val="0"/>
                <w:numId w:val="7"/>
              </w:numPr>
              <w:rPr>
                <w:rFonts w:ascii="Helvetica" w:hAnsi="Helvetica" w:cs="Helvetica"/>
                <w:sz w:val="20"/>
                <w:szCs w:val="20"/>
              </w:rPr>
            </w:pPr>
            <w:r w:rsidRPr="002B2A8B">
              <w:rPr>
                <w:rFonts w:ascii="Helvetica" w:hAnsi="Helvetica" w:cs="Helvetica"/>
                <w:sz w:val="20"/>
                <w:szCs w:val="20"/>
              </w:rPr>
              <w:t>Patients had similar satisfaction whether telemedicine encounter or standard encounter</w:t>
            </w:r>
            <w:r>
              <w:rPr>
                <w:rFonts w:ascii="Helvetica" w:hAnsi="Helvetica" w:cs="Helvetica"/>
                <w:sz w:val="20"/>
                <w:szCs w:val="20"/>
              </w:rPr>
              <w:t>.</w:t>
            </w:r>
          </w:p>
        </w:tc>
      </w:tr>
      <w:tr w:rsidR="0065452F" w:rsidRPr="009E6C90" w:rsidTr="00861802">
        <w:tc>
          <w:tcPr>
            <w:tcW w:w="2070" w:type="dxa"/>
          </w:tcPr>
          <w:p w:rsidR="0065452F" w:rsidRPr="002B2A8B" w:rsidRDefault="0065452F" w:rsidP="00861802">
            <w:pPr>
              <w:rPr>
                <w:rFonts w:ascii="Helvetica" w:hAnsi="Helvetica" w:cs="Helvetica"/>
                <w:sz w:val="20"/>
                <w:szCs w:val="20"/>
              </w:rPr>
            </w:pPr>
            <w:r w:rsidRPr="002B2A8B">
              <w:rPr>
                <w:rFonts w:ascii="Helvetica" w:hAnsi="Helvetica" w:cs="Helvetica"/>
                <w:sz w:val="20"/>
                <w:szCs w:val="20"/>
              </w:rPr>
              <w:t>McCombie, 2020</w:t>
            </w:r>
          </w:p>
        </w:tc>
        <w:tc>
          <w:tcPr>
            <w:tcW w:w="2160" w:type="dxa"/>
          </w:tcPr>
          <w:p w:rsidR="0065452F" w:rsidRDefault="0065452F" w:rsidP="00861802">
            <w:pPr>
              <w:rPr>
                <w:rFonts w:ascii="Helvetica" w:hAnsi="Helvetica" w:cs="Helvetica"/>
                <w:sz w:val="20"/>
                <w:szCs w:val="20"/>
              </w:rPr>
            </w:pPr>
            <w:r>
              <w:rPr>
                <w:rFonts w:ascii="Helvetica" w:hAnsi="Helvetica" w:cs="Helvetica"/>
                <w:sz w:val="20"/>
                <w:szCs w:val="20"/>
              </w:rPr>
              <w:t>1. Mobile application (</w:t>
            </w:r>
            <w:proofErr w:type="spellStart"/>
            <w:r>
              <w:rPr>
                <w:rFonts w:ascii="Helvetica" w:hAnsi="Helvetica" w:cs="Helvetica"/>
                <w:sz w:val="20"/>
                <w:szCs w:val="20"/>
              </w:rPr>
              <w:t>IBDsmart</w:t>
            </w:r>
            <w:proofErr w:type="spellEnd"/>
            <w:r>
              <w:rPr>
                <w:rFonts w:ascii="Helvetica" w:hAnsi="Helvetica" w:cs="Helvetica"/>
                <w:sz w:val="20"/>
                <w:szCs w:val="20"/>
              </w:rPr>
              <w:t xml:space="preserve"> and </w:t>
            </w:r>
            <w:proofErr w:type="spellStart"/>
            <w:r>
              <w:rPr>
                <w:rFonts w:ascii="Helvetica" w:hAnsi="Helvetica" w:cs="Helvetica"/>
                <w:sz w:val="20"/>
                <w:szCs w:val="20"/>
              </w:rPr>
              <w:t>IBDoc</w:t>
            </w:r>
            <w:proofErr w:type="spellEnd"/>
            <w:r>
              <w:rPr>
                <w:rFonts w:ascii="Helvetica" w:hAnsi="Helvetica" w:cs="Helvetica"/>
                <w:sz w:val="20"/>
                <w:szCs w:val="20"/>
              </w:rPr>
              <w:t>)</w:t>
            </w:r>
          </w:p>
          <w:p w:rsidR="0065452F" w:rsidRDefault="0065452F" w:rsidP="00861802">
            <w:pPr>
              <w:rPr>
                <w:rFonts w:ascii="Helvetica" w:hAnsi="Helvetica" w:cs="Helvetica"/>
                <w:sz w:val="20"/>
                <w:szCs w:val="20"/>
              </w:rPr>
            </w:pPr>
          </w:p>
          <w:p w:rsidR="0065452F" w:rsidRPr="002B2A8B" w:rsidRDefault="0065452F" w:rsidP="00861802">
            <w:pPr>
              <w:rPr>
                <w:rFonts w:ascii="Helvetica" w:hAnsi="Helvetica" w:cs="Helvetica"/>
                <w:sz w:val="20"/>
                <w:szCs w:val="20"/>
              </w:rPr>
            </w:pPr>
            <w:r>
              <w:rPr>
                <w:rFonts w:ascii="Helvetica" w:hAnsi="Helvetica" w:cs="Helvetica"/>
                <w:sz w:val="20"/>
                <w:szCs w:val="20"/>
              </w:rPr>
              <w:t>2. Control</w:t>
            </w:r>
          </w:p>
        </w:tc>
        <w:tc>
          <w:tcPr>
            <w:tcW w:w="3960" w:type="dxa"/>
          </w:tcPr>
          <w:p w:rsidR="0065452F" w:rsidRPr="002B2A8B" w:rsidRDefault="0065452F" w:rsidP="00861802">
            <w:pPr>
              <w:rPr>
                <w:rFonts w:ascii="Helvetica" w:hAnsi="Helvetica" w:cs="Helvetica"/>
                <w:b/>
                <w:bCs/>
                <w:sz w:val="20"/>
                <w:szCs w:val="20"/>
              </w:rPr>
            </w:pPr>
            <w:r>
              <w:rPr>
                <w:rFonts w:ascii="Helvetica" w:hAnsi="Helvetica" w:cs="Helvetica"/>
                <w:sz w:val="20"/>
                <w:szCs w:val="20"/>
              </w:rPr>
              <w:t xml:space="preserve">Usability and acceptability of </w:t>
            </w:r>
            <w:proofErr w:type="spellStart"/>
            <w:r>
              <w:rPr>
                <w:rFonts w:ascii="Helvetica" w:hAnsi="Helvetica" w:cs="Helvetica"/>
                <w:sz w:val="20"/>
                <w:szCs w:val="20"/>
              </w:rPr>
              <w:t>IBDsmart</w:t>
            </w:r>
            <w:proofErr w:type="spellEnd"/>
            <w:r>
              <w:rPr>
                <w:rFonts w:ascii="Helvetica" w:hAnsi="Helvetica" w:cs="Helvetica"/>
                <w:sz w:val="20"/>
                <w:szCs w:val="20"/>
              </w:rPr>
              <w:t xml:space="preserve"> and </w:t>
            </w:r>
            <w:proofErr w:type="spellStart"/>
            <w:r>
              <w:rPr>
                <w:rFonts w:ascii="Helvetica" w:hAnsi="Helvetica" w:cs="Helvetica"/>
                <w:sz w:val="20"/>
                <w:szCs w:val="20"/>
              </w:rPr>
              <w:t>IBDoc</w:t>
            </w:r>
            <w:proofErr w:type="spellEnd"/>
          </w:p>
        </w:tc>
        <w:tc>
          <w:tcPr>
            <w:tcW w:w="1890" w:type="dxa"/>
          </w:tcPr>
          <w:p w:rsidR="0065452F" w:rsidRDefault="0065452F" w:rsidP="00861802">
            <w:pPr>
              <w:jc w:val="center"/>
              <w:rPr>
                <w:rFonts w:ascii="Helvetica" w:hAnsi="Helvetica" w:cs="Helvetica"/>
                <w:sz w:val="20"/>
                <w:szCs w:val="20"/>
              </w:rPr>
            </w:pPr>
            <w:r>
              <w:rPr>
                <w:rFonts w:ascii="Helvetica" w:hAnsi="Helvetica" w:cs="Helvetica"/>
                <w:sz w:val="20"/>
                <w:szCs w:val="20"/>
              </w:rPr>
              <w:t>12 months</w:t>
            </w:r>
          </w:p>
        </w:tc>
        <w:tc>
          <w:tcPr>
            <w:tcW w:w="4320" w:type="dxa"/>
          </w:tcPr>
          <w:p w:rsidR="0065452F" w:rsidRPr="009E6C90" w:rsidRDefault="0065452F" w:rsidP="00861802">
            <w:pPr>
              <w:pStyle w:val="ListParagraph"/>
              <w:numPr>
                <w:ilvl w:val="0"/>
                <w:numId w:val="7"/>
              </w:numPr>
              <w:rPr>
                <w:rFonts w:ascii="Helvetica" w:hAnsi="Helvetica" w:cs="Helvetica"/>
                <w:sz w:val="20"/>
                <w:szCs w:val="20"/>
              </w:rPr>
            </w:pPr>
            <w:r>
              <w:rPr>
                <w:rFonts w:ascii="Helvetica" w:hAnsi="Helvetica" w:cs="Helvetica"/>
                <w:sz w:val="20"/>
                <w:szCs w:val="20"/>
              </w:rPr>
              <w:t>Good usability and acceptability among patients and gastroenterologists.</w:t>
            </w:r>
          </w:p>
        </w:tc>
      </w:tr>
    </w:tbl>
    <w:p w:rsidR="0065452F" w:rsidRPr="00546D50" w:rsidRDefault="0065452F" w:rsidP="0065452F">
      <w:pPr>
        <w:spacing w:after="0" w:line="240" w:lineRule="auto"/>
        <w:rPr>
          <w:rFonts w:ascii="Helvetica" w:hAnsi="Helvetica" w:cs="Helvetica"/>
          <w:sz w:val="20"/>
          <w:szCs w:val="20"/>
        </w:rPr>
      </w:pPr>
      <w:r w:rsidRPr="00507697">
        <w:rPr>
          <w:rFonts w:ascii="Helvetica" w:hAnsi="Helvetica" w:cs="Helvetica"/>
          <w:sz w:val="20"/>
          <w:szCs w:val="20"/>
        </w:rPr>
        <w:t>IBD: Inflammatory bowel disease</w:t>
      </w:r>
    </w:p>
    <w:p w:rsidR="0065452F" w:rsidRDefault="0065452F" w:rsidP="0065452F">
      <w:pPr>
        <w:spacing w:after="0" w:line="240" w:lineRule="auto"/>
        <w:rPr>
          <w:rFonts w:ascii="Helvetica" w:hAnsi="Helvetica" w:cs="Helvetica"/>
          <w:sz w:val="20"/>
          <w:szCs w:val="20"/>
        </w:rPr>
      </w:pPr>
      <w:r>
        <w:rPr>
          <w:rFonts w:ascii="Helvetica" w:hAnsi="Helvetica" w:cs="Helvetica"/>
          <w:sz w:val="20"/>
          <w:szCs w:val="20"/>
        </w:rPr>
        <w:t>SES: Self-Efficacy Scale</w:t>
      </w:r>
    </w:p>
    <w:p w:rsidR="0065452F" w:rsidRDefault="0065452F" w:rsidP="0065452F">
      <w:pPr>
        <w:spacing w:after="0" w:line="240" w:lineRule="auto"/>
        <w:rPr>
          <w:rFonts w:ascii="Helvetica" w:hAnsi="Helvetica" w:cs="Helvetica"/>
          <w:sz w:val="20"/>
          <w:szCs w:val="20"/>
        </w:rPr>
      </w:pPr>
      <w:r>
        <w:rPr>
          <w:rFonts w:ascii="Helvetica" w:hAnsi="Helvetica" w:cs="Helvetica"/>
          <w:sz w:val="20"/>
          <w:szCs w:val="20"/>
        </w:rPr>
        <w:t>VAS: Visual analog scale</w:t>
      </w:r>
    </w:p>
    <w:p w:rsidR="0065452F" w:rsidRDefault="0065452F" w:rsidP="0065452F">
      <w:pPr>
        <w:spacing w:after="0" w:line="240" w:lineRule="auto"/>
        <w:rPr>
          <w:rFonts w:ascii="Helvetica" w:hAnsi="Helvetica" w:cs="Helvetica"/>
          <w:sz w:val="20"/>
          <w:szCs w:val="20"/>
        </w:rPr>
      </w:pPr>
      <w:r>
        <w:rPr>
          <w:rFonts w:ascii="Helvetica" w:hAnsi="Helvetica" w:cs="Helvetica"/>
          <w:sz w:val="20"/>
          <w:szCs w:val="20"/>
        </w:rPr>
        <w:t>HADS: Hospital Anxiety and Depression Scale</w:t>
      </w:r>
    </w:p>
    <w:p w:rsidR="0065452F" w:rsidRDefault="0065452F" w:rsidP="0065452F">
      <w:pPr>
        <w:spacing w:after="0" w:line="240" w:lineRule="auto"/>
        <w:rPr>
          <w:rFonts w:ascii="Helvetica" w:hAnsi="Helvetica" w:cs="Helvetica"/>
          <w:sz w:val="20"/>
          <w:szCs w:val="20"/>
        </w:rPr>
      </w:pPr>
      <w:r w:rsidRPr="00546D50">
        <w:rPr>
          <w:rFonts w:ascii="Helvetica" w:hAnsi="Helvetica" w:cs="Helvetica"/>
          <w:sz w:val="20"/>
          <w:szCs w:val="20"/>
        </w:rPr>
        <w:t>MUSE: Medication Understanding and Use Self-Efficacy Scale</w:t>
      </w:r>
    </w:p>
    <w:p w:rsidR="0065452F" w:rsidRDefault="0065452F" w:rsidP="0065452F">
      <w:pPr>
        <w:spacing w:after="0" w:line="240" w:lineRule="auto"/>
        <w:rPr>
          <w:rFonts w:ascii="Helvetica" w:hAnsi="Helvetica" w:cs="Helvetica"/>
          <w:sz w:val="20"/>
          <w:szCs w:val="20"/>
        </w:rPr>
      </w:pPr>
      <w:r>
        <w:rPr>
          <w:rFonts w:ascii="Helvetica" w:hAnsi="Helvetica" w:cs="Helvetica"/>
          <w:sz w:val="20"/>
          <w:szCs w:val="20"/>
        </w:rPr>
        <w:t>BMQ: Beliefs about Medicines Questionnaire</w:t>
      </w:r>
    </w:p>
    <w:p w:rsidR="0065452F" w:rsidRDefault="0065452F" w:rsidP="0065452F">
      <w:pPr>
        <w:spacing w:after="0" w:line="240" w:lineRule="auto"/>
        <w:rPr>
          <w:rFonts w:ascii="Helvetica" w:hAnsi="Helvetica" w:cs="Helvetica"/>
          <w:sz w:val="20"/>
          <w:szCs w:val="20"/>
        </w:rPr>
      </w:pPr>
      <w:r>
        <w:rPr>
          <w:rFonts w:ascii="Helvetica" w:hAnsi="Helvetica" w:cs="Helvetica"/>
          <w:sz w:val="20"/>
          <w:szCs w:val="20"/>
        </w:rPr>
        <w:t>BMI: Body Mass Index</w:t>
      </w:r>
    </w:p>
    <w:p w:rsidR="0065452F" w:rsidRPr="00546D50" w:rsidRDefault="0065452F" w:rsidP="0065452F">
      <w:pPr>
        <w:spacing w:after="0" w:line="240" w:lineRule="auto"/>
        <w:rPr>
          <w:rFonts w:ascii="Helvetica" w:hAnsi="Helvetica" w:cs="Helvetica"/>
          <w:sz w:val="20"/>
          <w:szCs w:val="20"/>
        </w:rPr>
      </w:pPr>
      <w:r>
        <w:rPr>
          <w:rFonts w:ascii="Helvetica" w:hAnsi="Helvetica" w:cs="Helvetica"/>
          <w:sz w:val="20"/>
          <w:szCs w:val="20"/>
        </w:rPr>
        <w:t>TE: Telemedicine Encounter</w:t>
      </w:r>
    </w:p>
    <w:p w:rsidR="001046F6" w:rsidRDefault="0065452F"/>
    <w:sectPr w:rsidR="001046F6" w:rsidSect="006B46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F2F7A"/>
    <w:multiLevelType w:val="hybridMultilevel"/>
    <w:tmpl w:val="4F5A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64EDB"/>
    <w:multiLevelType w:val="hybridMultilevel"/>
    <w:tmpl w:val="D2E0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633F6"/>
    <w:multiLevelType w:val="hybridMultilevel"/>
    <w:tmpl w:val="4A3A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01754"/>
    <w:multiLevelType w:val="hybridMultilevel"/>
    <w:tmpl w:val="66BEF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E0042"/>
    <w:multiLevelType w:val="hybridMultilevel"/>
    <w:tmpl w:val="CF907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82E2F"/>
    <w:multiLevelType w:val="hybridMultilevel"/>
    <w:tmpl w:val="5F2C9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21E38"/>
    <w:multiLevelType w:val="hybridMultilevel"/>
    <w:tmpl w:val="27A4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E6197A"/>
    <w:multiLevelType w:val="hybridMultilevel"/>
    <w:tmpl w:val="B7720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76B44"/>
    <w:multiLevelType w:val="hybridMultilevel"/>
    <w:tmpl w:val="A6F0E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6B7C72"/>
    <w:multiLevelType w:val="hybridMultilevel"/>
    <w:tmpl w:val="AB56A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2F"/>
    <w:rsid w:val="00295509"/>
    <w:rsid w:val="0044585F"/>
    <w:rsid w:val="0065452F"/>
    <w:rsid w:val="00A27F09"/>
    <w:rsid w:val="00D242AD"/>
    <w:rsid w:val="00E4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C3ADF"/>
  <w14:defaultImageDpi w14:val="32767"/>
  <w15:chartTrackingRefBased/>
  <w15:docId w15:val="{819022AC-482F-4142-B3BF-E85AD069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52F"/>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52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52F"/>
    <w:rPr>
      <w:sz w:val="16"/>
      <w:szCs w:val="16"/>
    </w:rPr>
  </w:style>
  <w:style w:type="paragraph" w:styleId="CommentText">
    <w:name w:val="annotation text"/>
    <w:basedOn w:val="Normal"/>
    <w:link w:val="CommentTextChar"/>
    <w:uiPriority w:val="99"/>
    <w:semiHidden/>
    <w:unhideWhenUsed/>
    <w:rsid w:val="0065452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5452F"/>
    <w:rPr>
      <w:rFonts w:asciiTheme="minorHAnsi" w:hAnsiTheme="minorHAnsi"/>
      <w:sz w:val="20"/>
      <w:szCs w:val="20"/>
    </w:rPr>
  </w:style>
  <w:style w:type="character" w:styleId="Hyperlink">
    <w:name w:val="Hyperlink"/>
    <w:basedOn w:val="DefaultParagraphFont"/>
    <w:uiPriority w:val="99"/>
    <w:unhideWhenUsed/>
    <w:rsid w:val="0065452F"/>
    <w:rPr>
      <w:color w:val="0563C1" w:themeColor="hyperlink"/>
      <w:u w:val="single"/>
    </w:rPr>
  </w:style>
  <w:style w:type="paragraph" w:styleId="ListParagraph">
    <w:name w:val="List Paragraph"/>
    <w:basedOn w:val="Normal"/>
    <w:uiPriority w:val="34"/>
    <w:qFormat/>
    <w:rsid w:val="0065452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2021-09-03T14:51:00Z</dcterms:created>
  <dcterms:modified xsi:type="dcterms:W3CDTF">2021-09-03T14:53:00Z</dcterms:modified>
</cp:coreProperties>
</file>