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28" w:rsidRDefault="00405028" w:rsidP="00405028">
      <w:pPr>
        <w:pStyle w:val="Kop1"/>
      </w:pPr>
      <w:r>
        <w:t>Supplementa</w:t>
      </w:r>
      <w:r w:rsidR="00C63470">
        <w:t xml:space="preserve">l </w:t>
      </w:r>
      <w:r>
        <w:t>Digital content</w:t>
      </w:r>
      <w:r w:rsidR="00B1520C">
        <w:t xml:space="preserve"> 2</w:t>
      </w:r>
      <w:bookmarkStart w:id="0" w:name="_GoBack"/>
      <w:bookmarkEnd w:id="0"/>
    </w:p>
    <w:p w:rsidR="00405028" w:rsidRPr="00051EC0" w:rsidRDefault="00405028" w:rsidP="00405028">
      <w:pPr>
        <w:pStyle w:val="Kop1"/>
      </w:pPr>
      <w:r w:rsidRPr="00051EC0">
        <w:t>Methods</w:t>
      </w:r>
    </w:p>
    <w:p w:rsidR="00405028" w:rsidRPr="00051EC0" w:rsidRDefault="00405028" w:rsidP="00405028">
      <w:pPr>
        <w:pStyle w:val="Kop2"/>
      </w:pPr>
      <w:r w:rsidRPr="00051EC0">
        <w:t>Subjects</w:t>
      </w:r>
    </w:p>
    <w:p w:rsidR="00405028" w:rsidRPr="005D1E92" w:rsidRDefault="00405028" w:rsidP="00405028">
      <w:pPr>
        <w:spacing w:line="480" w:lineRule="auto"/>
        <w:jc w:val="both"/>
        <w:rPr>
          <w:rFonts w:ascii="Times New Roman" w:hAnsi="Times New Roman"/>
          <w:lang w:val="en-GB"/>
        </w:rPr>
      </w:pPr>
      <w:r>
        <w:rPr>
          <w:rFonts w:ascii="Times New Roman" w:hAnsi="Times New Roman"/>
          <w:lang w:val="en-GB"/>
        </w:rPr>
        <w:t>In this prospective observational study, 215 consecutive a</w:t>
      </w:r>
      <w:r w:rsidRPr="005D1E92">
        <w:rPr>
          <w:rFonts w:ascii="Times New Roman" w:hAnsi="Times New Roman"/>
          <w:lang w:val="en-GB"/>
        </w:rPr>
        <w:t xml:space="preserve">dult patients with indication for ambulatory pH-impedance monitoring </w:t>
      </w:r>
      <w:r>
        <w:rPr>
          <w:rFonts w:ascii="Times New Roman" w:hAnsi="Times New Roman"/>
          <w:lang w:val="en-GB"/>
        </w:rPr>
        <w:t xml:space="preserve">for evaluation of reflux symptoms </w:t>
      </w:r>
      <w:r w:rsidRPr="005D1E92">
        <w:rPr>
          <w:rFonts w:ascii="Times New Roman" w:hAnsi="Times New Roman"/>
          <w:lang w:val="en-GB"/>
        </w:rPr>
        <w:t>between December 2019 and March 2021</w:t>
      </w:r>
      <w:r>
        <w:rPr>
          <w:rFonts w:ascii="Times New Roman" w:hAnsi="Times New Roman"/>
          <w:lang w:val="en-GB"/>
        </w:rPr>
        <w:t xml:space="preserve"> were included</w:t>
      </w:r>
      <w:r w:rsidRPr="005D1E92">
        <w:rPr>
          <w:rFonts w:ascii="Times New Roman" w:hAnsi="Times New Roman"/>
          <w:lang w:val="en-GB"/>
        </w:rPr>
        <w:t>. Patients with a history of esophageal surgery,</w:t>
      </w:r>
      <w:r>
        <w:rPr>
          <w:rFonts w:ascii="Times New Roman" w:hAnsi="Times New Roman"/>
          <w:lang w:val="en-GB"/>
        </w:rPr>
        <w:t xml:space="preserve"> gastric surgery or other esophageal disorders</w:t>
      </w:r>
      <w:r w:rsidRPr="005D1E92">
        <w:rPr>
          <w:rFonts w:ascii="Times New Roman" w:hAnsi="Times New Roman"/>
          <w:lang w:val="en-GB"/>
        </w:rPr>
        <w:t xml:space="preserve"> (such as achalasia and esophageal atresia) were excluded. </w:t>
      </w:r>
      <w:r>
        <w:rPr>
          <w:rFonts w:ascii="Times New Roman" w:hAnsi="Times New Roman"/>
          <w:lang w:val="en-GB"/>
        </w:rPr>
        <w:t xml:space="preserve">In the analysis only data from patients </w:t>
      </w:r>
      <w:r w:rsidRPr="005D1E92">
        <w:rPr>
          <w:rFonts w:ascii="Times New Roman" w:hAnsi="Times New Roman"/>
          <w:lang w:val="en-GB"/>
        </w:rPr>
        <w:t xml:space="preserve">with </w:t>
      </w:r>
      <w:r>
        <w:rPr>
          <w:rFonts w:ascii="Times New Roman" w:hAnsi="Times New Roman"/>
          <w:lang w:val="en-GB"/>
        </w:rPr>
        <w:t xml:space="preserve">nocturnal acid reflux, defined as </w:t>
      </w:r>
      <w:r w:rsidRPr="005D1E92">
        <w:rPr>
          <w:rFonts w:ascii="Times New Roman" w:hAnsi="Times New Roman"/>
          <w:lang w:val="en-GB"/>
        </w:rPr>
        <w:t xml:space="preserve">esophageal </w:t>
      </w:r>
      <w:r>
        <w:rPr>
          <w:rFonts w:ascii="Times New Roman" w:hAnsi="Times New Roman"/>
          <w:lang w:val="en-GB"/>
        </w:rPr>
        <w:t xml:space="preserve">acid exposure time of 0.5% or higher during supine position, were used. The study protocol was </w:t>
      </w:r>
      <w:r w:rsidRPr="005D1E92">
        <w:rPr>
          <w:rFonts w:ascii="Times New Roman" w:hAnsi="Times New Roman"/>
          <w:lang w:val="en-GB"/>
        </w:rPr>
        <w:t xml:space="preserve">submitted to the local institutional review board. Formal evaluation was waived according to Dutch law (reference number </w:t>
      </w:r>
      <w:r w:rsidRPr="00F96CDE">
        <w:rPr>
          <w:rFonts w:ascii="Times New Roman" w:hAnsi="Times New Roman"/>
          <w:lang w:val="en-GB"/>
        </w:rPr>
        <w:t>W19_469#19.542). Informed</w:t>
      </w:r>
      <w:r>
        <w:rPr>
          <w:rFonts w:ascii="Times New Roman" w:hAnsi="Times New Roman"/>
          <w:lang w:val="en-GB"/>
        </w:rPr>
        <w:t xml:space="preserve"> consent was obtained from all patients to use their (medical) data for scientific research purposes. </w:t>
      </w:r>
    </w:p>
    <w:p w:rsidR="00405028" w:rsidRDefault="00405028" w:rsidP="00405028">
      <w:pPr>
        <w:pStyle w:val="Kop2"/>
      </w:pPr>
      <w:r w:rsidRPr="00B3086E">
        <w:t>Study Protocol</w:t>
      </w:r>
    </w:p>
    <w:p w:rsidR="00405028" w:rsidRDefault="00405028" w:rsidP="00405028">
      <w:pPr>
        <w:spacing w:line="480" w:lineRule="auto"/>
        <w:jc w:val="both"/>
        <w:rPr>
          <w:rFonts w:ascii="Times New Roman" w:hAnsi="Times New Roman"/>
          <w:lang w:val="en-GB" w:eastAsia="nl-NL"/>
        </w:rPr>
      </w:pPr>
      <w:r>
        <w:rPr>
          <w:rFonts w:ascii="Times New Roman" w:hAnsi="Times New Roman"/>
          <w:lang w:val="en-GB"/>
        </w:rPr>
        <w:t>All patients underwent s</w:t>
      </w:r>
      <w:r w:rsidRPr="00991BFF">
        <w:rPr>
          <w:rFonts w:ascii="Times New Roman" w:hAnsi="Times New Roman"/>
          <w:lang w:val="en-GB"/>
        </w:rPr>
        <w:t>tationary oesophag</w:t>
      </w:r>
      <w:r>
        <w:rPr>
          <w:rFonts w:ascii="Times New Roman" w:hAnsi="Times New Roman"/>
          <w:lang w:val="en-GB"/>
        </w:rPr>
        <w:t xml:space="preserve">eal high-resolution manometry (HRM) and 24-hour pH impedance recording with </w:t>
      </w:r>
      <w:r w:rsidRPr="00991BFF">
        <w:rPr>
          <w:rFonts w:ascii="Times New Roman" w:hAnsi="Times New Roman"/>
          <w:lang w:val="en-GB"/>
        </w:rPr>
        <w:t>simultaneous</w:t>
      </w:r>
      <w:r>
        <w:rPr>
          <w:rFonts w:ascii="Times New Roman" w:hAnsi="Times New Roman"/>
          <w:lang w:val="en-GB"/>
        </w:rPr>
        <w:t xml:space="preserve"> monitoring of sleeping position using a sleep position measurement and training device</w:t>
      </w:r>
      <w:r w:rsidRPr="00C65E8D">
        <w:rPr>
          <w:rFonts w:ascii="Times New Roman" w:hAnsi="Times New Roman"/>
          <w:lang w:val="en-GB" w:eastAsia="nl-NL"/>
        </w:rPr>
        <w:t>. The</w:t>
      </w:r>
      <w:r w:rsidRPr="00F00B89">
        <w:rPr>
          <w:rFonts w:ascii="Times New Roman" w:hAnsi="Times New Roman"/>
          <w:lang w:val="en-GB" w:eastAsia="nl-NL"/>
        </w:rPr>
        <w:t xml:space="preserve"> use of gastric acid-inhibitory drugs</w:t>
      </w:r>
      <w:r>
        <w:rPr>
          <w:rFonts w:ascii="Times New Roman" w:hAnsi="Times New Roman"/>
          <w:lang w:val="en-GB" w:eastAsia="nl-NL"/>
        </w:rPr>
        <w:t xml:space="preserve"> and drugs that </w:t>
      </w:r>
      <w:r w:rsidRPr="00F00B89">
        <w:rPr>
          <w:rFonts w:ascii="Times New Roman" w:hAnsi="Times New Roman"/>
          <w:lang w:val="en-GB" w:eastAsia="nl-NL"/>
        </w:rPr>
        <w:t>might influence gastrointestinal motility was discontinued</w:t>
      </w:r>
      <w:r>
        <w:rPr>
          <w:rFonts w:ascii="Times New Roman" w:hAnsi="Times New Roman"/>
          <w:lang w:val="en-GB" w:eastAsia="nl-NL"/>
        </w:rPr>
        <w:t xml:space="preserve"> 7 days before the study. </w:t>
      </w:r>
      <w:r w:rsidRPr="00ED1A13">
        <w:rPr>
          <w:rFonts w:ascii="Times New Roman" w:hAnsi="Times New Roman"/>
          <w:lang w:val="en-GB"/>
        </w:rPr>
        <w:t>HRM was performed</w:t>
      </w:r>
      <w:r w:rsidRPr="00991BFF">
        <w:rPr>
          <w:rFonts w:ascii="Times New Roman" w:hAnsi="Times New Roman"/>
          <w:lang w:val="en-GB"/>
        </w:rPr>
        <w:t xml:space="preserve"> according to </w:t>
      </w:r>
      <w:r>
        <w:rPr>
          <w:rFonts w:ascii="Times New Roman" w:hAnsi="Times New Roman"/>
          <w:lang w:val="en-GB" w:eastAsia="nl-NL"/>
        </w:rPr>
        <w:t xml:space="preserve">standardized protocol and evaluated using Chicago Classification 3.0 </w:t>
      </w:r>
      <w:r>
        <w:rPr>
          <w:rFonts w:ascii="Times New Roman" w:hAnsi="Times New Roman"/>
          <w:lang w:val="en-GB" w:eastAsia="nl-NL"/>
        </w:rPr>
        <w:fldChar w:fldCharType="begin">
          <w:fldData xml:space="preserve">PEVuZE5vdGU+PENpdGU+PEF1dGhvcj5UcnVkZ2lsbDwvQXV0aG9yPjxZZWFyPjIwMTk8L1llYXI+
PFJlY051bT40NjwvUmVjTnVtPjxEaXNwbGF5VGV4dD4oMSwgMik8L0Rpc3BsYXlUZXh0PjxyZWNv
cmQ+PHJlYy1udW1iZXI+NDY8L3JlYy1udW1iZXI+PGZvcmVpZ24ta2V5cz48a2V5IGFwcD0iRU4i
IGRiLWlkPSJ3djlhdzlhNWtzNXg1aGV4cHNiNTBwMnkwZXhmNXdmNXoyNTkiIHRpbWVzdGFtcD0i
MTYyNDYyNTQwOCI+NDY8L2tleT48L2ZvcmVpZ24ta2V5cz48cmVmLXR5cGUgbmFtZT0iSm91cm5h
bCBBcnRpY2xlIj4xNzwvcmVmLXR5cGU+PGNvbnRyaWJ1dG9ycz48YXV0aG9ycz48YXV0aG9yPlRy
dWRnaWxsLCBOaWdlbCBKPC9hdXRob3I+PGF1dGhvcj5TaWZyaW0sIERhbmllbDwvYXV0aG9yPjxh
dXRob3I+U3dlaXMsIFJhbWk8L2F1dGhvcj48YXV0aG9yPkZ1bGxhcmQsIE1hcms8L2F1dGhvcj48
YXV0aG9yPkJhc3UsIEt1bWFyPC9hdXRob3I+PGF1dGhvcj5NY0NvcmQsIE1pbWk8L2F1dGhvcj48
YXV0aG9yPkJvb3RoLCBNaWNoYWVsPC9hdXRob3I+PGF1dGhvcj5IYXltYW4sIEpvaG48L2F1dGhv
cj48YXV0aG9yPkJvZWNreHN0YWVucywgR3V5PC9hdXRob3I+PGF1dGhvcj5Kb2huc3RvbiwgQnJp
YW4gVDwvYXV0aG9yPjxhdXRob3I+QWdlciwgTmljb2xhPC9hdXRob3I+PGF1dGhvcj5EZSBDYWVz
dGVja2VyLCBKb2huPC9hdXRob3I+PC9hdXRob3JzPjwvY29udHJpYnV0b3JzPjx0aXRsZXM+PHRp
dGxlPkJyaXRpc2ggU29jaWV0eSBvZiBHYXN0cm9lbnRlcm9sb2d5IGd1aWRlbGluZXMgZm9yIG9l
c29waGFnZWFsIG1hbm9tZXRyeSBhbmQgb2Vzb3BoYWdlYWwgcmVmbHV4IG1vbml0b3Jpbmc8L3Rp
dGxlPjxzZWNvbmRhcnktdGl0bGU+R3V0PC9zZWNvbmRhcnktdGl0bGU+PC90aXRsZXM+PHBlcmlv
ZGljYWw+PGZ1bGwtdGl0bGU+R3V0PC9mdWxsLXRpdGxlPjwvcGVyaW9kaWNhbD48cGFnZXM+MTcz
MS0xNzUwPC9wYWdlcz48dm9sdW1lPjY4PC92b2x1bWU+PG51bWJlcj4xMDwvbnVtYmVyPjxkYXRl
cz48eWVhcj4yMDE5PC95ZWFyPjwvZGF0ZXM+PHVybHM+PHJlbGF0ZWQtdXJscz48dXJsPmh0dHBz
Oi8vZ3V0LmJtai5jb20vY29udGVudC9ndXRqbmwvNjgvMTAvMTczMS5mdWxsLnBkZjwvdXJsPjwv
cmVsYXRlZC11cmxzPjwvdXJscz48ZWxlY3Ryb25pYy1yZXNvdXJjZS1udW0+MTAuMTEzNi9ndXRq
bmwtMjAxOC0zMTgxMTU8L2VsZWN0cm9uaWMtcmVzb3VyY2UtbnVtPjwvcmVjb3JkPjwvQ2l0ZT48
Q2l0ZT48QXV0aG9yPkthaHJpbGFzPC9BdXRob3I+PFllYXI+MjAxNTwvWWVhcj48UmVjTnVtPjQ0
PC9SZWNOdW0+PHJlY29yZD48cmVjLW51bWJlcj40NDwvcmVjLW51bWJlcj48Zm9yZWlnbi1rZXlz
PjxrZXkgYXBwPSJFTiIgZGItaWQ9Ind2OWF3OWE1a3M1eDVoZXhwc2I1MHAyeTBleGY1d2Y1ejI1
OSIgdGltZXN0YW1wPSIxNjI0NjIxMjA3Ij40NDwva2V5PjwvZm9yZWlnbi1rZXlzPjxyZWYtdHlw
ZSBuYW1lPSJKb3VybmFsIEFydGljbGUiPjE3PC9yZWYtdHlwZT48Y29udHJpYnV0b3JzPjxhdXRo
b3JzPjxhdXRob3I+S2FocmlsYXMsIFAuIEouPC9hdXRob3I+PGF1dGhvcj5CcmVkZW5vb3JkLCBB
LiBKLjwvYXV0aG9yPjxhdXRob3I+Rm94LCBNLjwvYXV0aG9yPjxhdXRob3I+R3lhd2FsaSwgQy4g
UC48L2F1dGhvcj48YXV0aG9yPlJvbWFuLCBTLjwvYXV0aG9yPjxhdXRob3I+U21vdXQsIEEuIEou
PC9hdXRob3I+PGF1dGhvcj5QYW5kb2xmaW5vLCBKLiBFLjwvYXV0aG9yPjwvYXV0aG9ycz48L2Nv
bnRyaWJ1dG9ycz48YXV0aC1hZGRyZXNzPkRlcGFydG1lbnQgb2YgTWVkaWNpbmUsIEZlaW5iZXJn
IFNjaG9vbCBvZiBNZWRpY2luZSwgTm9ydGh3ZXN0ZXJuIFVuaXZlcnNpdHksIENoaWNhZ28sIElM
LCBVU0EuPC9hdXRoLWFkZHJlc3M+PHRpdGxlcz48dGl0bGU+VGhlIENoaWNhZ28gQ2xhc3NpZmlj
YXRpb24gb2YgZXNvcGhhZ2VhbCBtb3RpbGl0eSBkaXNvcmRlcnMsIHYzLjA8L3RpdGxlPjxzZWNv
bmRhcnktdGl0bGU+TmV1cm9nYXN0cm9lbnRlcm9sIE1vdGlsPC9zZWNvbmRhcnktdGl0bGU+PC90
aXRsZXM+PHBlcmlvZGljYWw+PGZ1bGwtdGl0bGU+TmV1cm9nYXN0cm9lbnRlcm9sIE1vdGlsPC9m
dWxsLXRpdGxlPjwvcGVyaW9kaWNhbD48cGFnZXM+MTYwLTc0PC9wYWdlcz48dm9sdW1lPjI3PC92
b2x1bWU+PG51bWJlcj4yPC9udW1iZXI+PGVkaXRpb24+MjAxNC8xMi8wNDwvZWRpdGlvbj48a2V5
d29yZHM+PGtleXdvcmQ+RXNvcGhhZ2VhbCBBY2hhbGFzaWEvY2xhc3NpZmljYXRpb24vZGlhZ25v
c2lzL3BoeXNpb3BhdGhvbG9neTwva2V5d29yZD48a2V5d29yZD5Fc29waGFnZWFsIE1vdGlsaXR5
IERpc29yZGVycy9jbGFzc2lmaWNhdGlvbi8qZGlhZ25vc2lzL3BoeXNpb3BhdGhvbG9neTwva2V5
d29yZD48a2V5d29yZD5IdW1hbnM8L2tleXdvcmQ+PGtleXdvcmQ+KkltYWdlIEludGVycHJldGF0
aW9uLCBDb21wdXRlci1Bc3Npc3RlZDwva2V5d29yZD48a2V5d29yZD5NYW5vbWV0cnkvKm1ldGhv
ZHMvKnN0YW5kYXJkczwva2V5d29yZD48a2V5d29yZD5hY2hhbGFzaWE8L2tleXdvcmQ+PGtleXdv
cmQ+ZHlzcGhhZ2lhPC9rZXl3b3JkPjxrZXl3b3JkPmVzb3BoYWdlYWwgbW90aWxpdHkgZGlzb3Jk
ZXJzPC9rZXl3b3JkPjxrZXl3b3JkPmhpZ2gtcmVzb2x1dGlvbiBtYW5vbWV0cnk8L2tleXdvcmQ+
PGtleXdvcmQ+aW5lZmZlY3RpdmUgZXNvcGhhZ2VhbCBtb3RpbGl0eTwva2V5d29yZD48a2V5d29y
ZD5NZWFzdXJlbWVudCBTeXN0ZW1zOiBlZHVjYXRpb25hbCBhbmQgcmVzZWFyY2ggZnVuZGluZyBN
YXJrIEZveDogR2l2ZW4gaW1hZ2luZzo8L2tleXdvcmQ+PGtleXdvcmQ+YWR2aXNvcnkgYm9hcmQs
IGNvbnN1bHRpbmcgYW5kIGVkdWNhdGlvbmFsPC9rZXl3b3JkPjxrZXl3b3JkPlNhbmRoaWxsIFNj
aWVudGlmaWM6IGVkdWNhdGlvbmFsPC9rZXl3b3JkPjxrZXl3b3JkPk1lZGljYWwgTWVhc3VyZW1l
bnQgU3lzdGVtczogZWR1Y2F0aW9uYWwuIEMgUHJha2FzaCBHeWF3YWxpOiBHaXZlbiBpbWFnaW5n
LDwva2V5d29yZD48a2V5d29yZD5lZHVjYXRpb25hbCBKb2huIEUgUGFuZG9sZmlubzogR2l2ZW4g
aW1hZ2luZzwva2V5d29yZD48a2V5d29yZD5jb25zdWx0aW5nIGFuZCBlZHVjYXRpb25hbCBTZXJo
YXQgQm9yOjwva2V5d29yZD48a2V5d29yZD5NZWRpY2FsIE1lYXN1cmVtZW50IFN5c3RlbXM6IGVk
dWNhdGlvbmFsIGFuZCByZXNlYXJjaCBmdW5kaW5nIERPIENhc3RlbGw6IFNhbmRoaWxsPC9rZXl3
b3JkPjxrZXl3b3JkPlNjaWVudGlmaWMgSW5zdHJ1bWVudHM8L2tleXdvcmQ+PGtleXdvcmQ+Y29u
c3VsdGFudCBhbmQgZWR1Y2F0aW9uYWwgSmVmZnJleSBMIENvbmtsaW46IEdpdmVuIGltYWdpbmc6
PC9rZXl3b3JkPjxrZXl3b3JkPmNvbnN1bHRpbmcgYW5kIGVkdWNhdGlvbmFsIFNhYmluZSBSb21h
bjogR2l2ZW4gaW1hZ2luZzogYWR2aXNvcnkgYm9hcmQsIGNvbnN1bHRpbmc8L2tleXdvcmQ+PGtl
eXdvcmQ+YW5kIGVkdWNhdGlvbmFsIFBoaWwgS2F0ejogVG9yYXg6IGNvbnN1bHRhbnQ8L2tleXdv
cmQ+PGtleXdvcmQ+UHJpemVyIENvbnN1bWVyOiBjb25zdWx0YW50IEp1dHRhPC9rZXl3b3JkPjxr
ZXl3b3JkPktlbGxlcjogR2l2ZW4gaW1hZ2luZzogcmVzZWFyY2ggZnVuZGluZywgY29uc3VsdGlu
ZyBhbmQgZWR1Y2F0aW9uYWw8L2tleXdvcmQ+PGtleXdvcmQ+U3RhbmRhcmQ8L2tleXdvcmQ+PGtl
eXdvcmQ+SW1hZ2luZzogY29uc3VsdGluZyBhbmQgZWR1Y2F0aW9uYWwgVGFoZXIgT21hcmk6IFNh
bmRoaWxsIFNjaWVudGlmaWMgSW5zdHJ1bWVudHM6PC9rZXl3b3JkPjxrZXl3b3JkPmNvbnN1bHRp
bmcgYW5kIHJlc2VhcmNoIGdyYW50PC9rZXl3b3JkPjxrZXl3b3JkPk1lZGljYWwgTWVhc3VyZW1l
bnQgU3lzdGVtczogZWR1Y2F0aW9uYWwuIEVkb2FyZG88L2tleXdvcmQ+PGtleXdvcmQ+U2F2YXJp
bm86IEdpdmVuIGltYWdpbmc8L2tleXdvcmQ+PGtleXdvcmQ+YWR2aXNvcnkgYm9hcmQsIGNvbnN1
bHRpbmcgYW5kIGVkdWNhdGlvbmFsIEZlbGljZTwva2V5d29yZD48a2V5d29yZD5TY2hub2xsLVN1
c3NtYW46IEdpdmVuIGltYWdpbmc8L2tleXdvcmQ+PGtleXdvcmQ+YWR2aXNvcnkgYm9hcmQsIGNv
bnN1bHRpbmcgYW5kIGVkdWNhdGlvbmFsIERhbmllbDwva2V5d29yZD48a2V5d29yZD5TaWZyaW06
IEdpdmVuIGltYWdpbmc8L2tleXdvcmQ+PGtleXdvcmQ+YWR2aXNvcnkgYm9hcmQuIFNhbmRoaWxs
IFNjaWVudGlmaWMgSW5zdHJ1bWVudHM6IHJlc2VhcmNoPC9rZXl3b3JkPjxrZXl3b3JkPmdyYW50
LiBSYW1pIFN3ZWlzOiBHaXZlbiBpbWFnaW5nPC9rZXl3b3JkPjxrZXl3b3JkPmNvbnN1bHRpbmcg
YW5kIGVkdWNhdGlvbmFsIFJhZHUgVHV0dWlhbjogU2FuZGhpbGw8L2tleXdvcmQ+PGtleXdvcmQ+
U2NpZW50aWZpYyBJbnN0cnVtZW50czogZWR1Y2F0aW9uYWw8L2tleXdvcmQ+PGtleXdvcmQ+TWVk
aWNhbCBNZWFzdXJlbWVudCBTeXN0ZW1zOiBlZHVjYXRpb25hbC48L2tleXdvcmQ+PGtleXdvcmQ+
TWFyY2VsbyBGIFZlbGE6IEdpdmVuIEltYWdpbmcsIENvbnN1bHRpbmcgRnJhbmsgWmVyYmliOiBH
aXZlbiBpbWFnaW5nPC9rZXl3b3JkPjxrZXl3b3JkPmFkdmlzb3J5PC9rZXl3b3JkPjxrZXl3b3Jk
PmJvYXJkLCBjb25zdWx0aW5nLCBhbmQgZWR1Y2F0aW9uYWwuPC9rZXl3b3JkPjwva2V5d29yZHM+
PGRhdGVzPjx5ZWFyPjIwMTU8L3llYXI+PHB1Yi1kYXRlcz48ZGF0ZT5GZWI8L2RhdGU+PC9wdWIt
ZGF0ZXM+PC9kYXRlcz48aXNibj4xMzUwLTE5MjUgKFByaW50KSYjeEQ7MTM1MC0xOTI1PC9pc2Ju
PjxhY2Nlc3Npb24tbnVtPjI1NDY5NTY5PC9hY2Nlc3Npb24tbnVtPjx1cmxzPjxyZWxhdGVkLXVy
bHM+PHVybD5odHRwczovL29ubGluZWxpYnJhcnkud2lsZXkuY29tL2RvaS9wZGZkaXJlY3QvMTAu
MTExMS9ubW8uMTI0Nzc/ZG93bmxvYWQ9dHJ1ZTwvdXJsPjwvcmVsYXRlZC11cmxzPjwvdXJscz48
Y3VzdG9tMj5QTUM0MzA4NTAxPC9jdXN0b20yPjxjdXN0b202Pk5JSE1TNjQxMTMyPC9jdXN0b202
PjxlbGVjdHJvbmljLXJlc291cmNlLW51bT4xMC4xMTExL25tby4xMjQ3NzwvZWxlY3Ryb25pYy1y
ZXNvdXJjZS1udW0+PHJlbW90ZS1kYXRhYmFzZS1wcm92aWRlcj5OTE08L3JlbW90ZS1kYXRhYmFz
ZS1wcm92aWRlcj48bGFuZ3VhZ2U+ZW5nPC9sYW5ndWFnZT48L3JlY29yZD48L0NpdGU+PC9FbmRO
b3RlPgB=
</w:fldData>
        </w:fldChar>
      </w:r>
      <w:r>
        <w:rPr>
          <w:rFonts w:ascii="Times New Roman" w:hAnsi="Times New Roman"/>
          <w:lang w:val="en-GB" w:eastAsia="nl-NL"/>
        </w:rPr>
        <w:instrText xml:space="preserve"> ADDIN EN.CITE </w:instrText>
      </w:r>
      <w:r>
        <w:rPr>
          <w:rFonts w:ascii="Times New Roman" w:hAnsi="Times New Roman"/>
          <w:lang w:val="en-GB" w:eastAsia="nl-NL"/>
        </w:rPr>
        <w:fldChar w:fldCharType="begin">
          <w:fldData xml:space="preserve">PEVuZE5vdGU+PENpdGU+PEF1dGhvcj5UcnVkZ2lsbDwvQXV0aG9yPjxZZWFyPjIwMTk8L1llYXI+
PFJlY051bT40NjwvUmVjTnVtPjxEaXNwbGF5VGV4dD4oMSwgMik8L0Rpc3BsYXlUZXh0PjxyZWNv
cmQ+PHJlYy1udW1iZXI+NDY8L3JlYy1udW1iZXI+PGZvcmVpZ24ta2V5cz48a2V5IGFwcD0iRU4i
IGRiLWlkPSJ3djlhdzlhNWtzNXg1aGV4cHNiNTBwMnkwZXhmNXdmNXoyNTkiIHRpbWVzdGFtcD0i
MTYyNDYyNTQwOCI+NDY8L2tleT48L2ZvcmVpZ24ta2V5cz48cmVmLXR5cGUgbmFtZT0iSm91cm5h
bCBBcnRpY2xlIj4xNzwvcmVmLXR5cGU+PGNvbnRyaWJ1dG9ycz48YXV0aG9ycz48YXV0aG9yPlRy
dWRnaWxsLCBOaWdlbCBKPC9hdXRob3I+PGF1dGhvcj5TaWZyaW0sIERhbmllbDwvYXV0aG9yPjxh
dXRob3I+U3dlaXMsIFJhbWk8L2F1dGhvcj48YXV0aG9yPkZ1bGxhcmQsIE1hcms8L2F1dGhvcj48
YXV0aG9yPkJhc3UsIEt1bWFyPC9hdXRob3I+PGF1dGhvcj5NY0NvcmQsIE1pbWk8L2F1dGhvcj48
YXV0aG9yPkJvb3RoLCBNaWNoYWVsPC9hdXRob3I+PGF1dGhvcj5IYXltYW4sIEpvaG48L2F1dGhv
cj48YXV0aG9yPkJvZWNreHN0YWVucywgR3V5PC9hdXRob3I+PGF1dGhvcj5Kb2huc3RvbiwgQnJp
YW4gVDwvYXV0aG9yPjxhdXRob3I+QWdlciwgTmljb2xhPC9hdXRob3I+PGF1dGhvcj5EZSBDYWVz
dGVja2VyLCBKb2huPC9hdXRob3I+PC9hdXRob3JzPjwvY29udHJpYnV0b3JzPjx0aXRsZXM+PHRp
dGxlPkJyaXRpc2ggU29jaWV0eSBvZiBHYXN0cm9lbnRlcm9sb2d5IGd1aWRlbGluZXMgZm9yIG9l
c29waGFnZWFsIG1hbm9tZXRyeSBhbmQgb2Vzb3BoYWdlYWwgcmVmbHV4IG1vbml0b3Jpbmc8L3Rp
dGxlPjxzZWNvbmRhcnktdGl0bGU+R3V0PC9zZWNvbmRhcnktdGl0bGU+PC90aXRsZXM+PHBlcmlv
ZGljYWw+PGZ1bGwtdGl0bGU+R3V0PC9mdWxsLXRpdGxlPjwvcGVyaW9kaWNhbD48cGFnZXM+MTcz
MS0xNzUwPC9wYWdlcz48dm9sdW1lPjY4PC92b2x1bWU+PG51bWJlcj4xMDwvbnVtYmVyPjxkYXRl
cz48eWVhcj4yMDE5PC95ZWFyPjwvZGF0ZXM+PHVybHM+PHJlbGF0ZWQtdXJscz48dXJsPmh0dHBz
Oi8vZ3V0LmJtai5jb20vY29udGVudC9ndXRqbmwvNjgvMTAvMTczMS5mdWxsLnBkZjwvdXJsPjwv
cmVsYXRlZC11cmxzPjwvdXJscz48ZWxlY3Ryb25pYy1yZXNvdXJjZS1udW0+MTAuMTEzNi9ndXRq
bmwtMjAxOC0zMTgxMTU8L2VsZWN0cm9uaWMtcmVzb3VyY2UtbnVtPjwvcmVjb3JkPjwvQ2l0ZT48
Q2l0ZT48QXV0aG9yPkthaHJpbGFzPC9BdXRob3I+PFllYXI+MjAxNTwvWWVhcj48UmVjTnVtPjQ0
PC9SZWNOdW0+PHJlY29yZD48cmVjLW51bWJlcj40NDwvcmVjLW51bWJlcj48Zm9yZWlnbi1rZXlz
PjxrZXkgYXBwPSJFTiIgZGItaWQ9Ind2OWF3OWE1a3M1eDVoZXhwc2I1MHAyeTBleGY1d2Y1ejI1
OSIgdGltZXN0YW1wPSIxNjI0NjIxMjA3Ij40NDwva2V5PjwvZm9yZWlnbi1rZXlzPjxyZWYtdHlw
ZSBuYW1lPSJKb3VybmFsIEFydGljbGUiPjE3PC9yZWYtdHlwZT48Y29udHJpYnV0b3JzPjxhdXRo
b3JzPjxhdXRob3I+S2FocmlsYXMsIFAuIEouPC9hdXRob3I+PGF1dGhvcj5CcmVkZW5vb3JkLCBB
LiBKLjwvYXV0aG9yPjxhdXRob3I+Rm94LCBNLjwvYXV0aG9yPjxhdXRob3I+R3lhd2FsaSwgQy4g
UC48L2F1dGhvcj48YXV0aG9yPlJvbWFuLCBTLjwvYXV0aG9yPjxhdXRob3I+U21vdXQsIEEuIEou
PC9hdXRob3I+PGF1dGhvcj5QYW5kb2xmaW5vLCBKLiBFLjwvYXV0aG9yPjwvYXV0aG9ycz48L2Nv
bnRyaWJ1dG9ycz48YXV0aC1hZGRyZXNzPkRlcGFydG1lbnQgb2YgTWVkaWNpbmUsIEZlaW5iZXJn
IFNjaG9vbCBvZiBNZWRpY2luZSwgTm9ydGh3ZXN0ZXJuIFVuaXZlcnNpdHksIENoaWNhZ28sIElM
LCBVU0EuPC9hdXRoLWFkZHJlc3M+PHRpdGxlcz48dGl0bGU+VGhlIENoaWNhZ28gQ2xhc3NpZmlj
YXRpb24gb2YgZXNvcGhhZ2VhbCBtb3RpbGl0eSBkaXNvcmRlcnMsIHYzLjA8L3RpdGxlPjxzZWNv
bmRhcnktdGl0bGU+TmV1cm9nYXN0cm9lbnRlcm9sIE1vdGlsPC9zZWNvbmRhcnktdGl0bGU+PC90
aXRsZXM+PHBlcmlvZGljYWw+PGZ1bGwtdGl0bGU+TmV1cm9nYXN0cm9lbnRlcm9sIE1vdGlsPC9m
dWxsLXRpdGxlPjwvcGVyaW9kaWNhbD48cGFnZXM+MTYwLTc0PC9wYWdlcz48dm9sdW1lPjI3PC92
b2x1bWU+PG51bWJlcj4yPC9udW1iZXI+PGVkaXRpb24+MjAxNC8xMi8wNDwvZWRpdGlvbj48a2V5
d29yZHM+PGtleXdvcmQ+RXNvcGhhZ2VhbCBBY2hhbGFzaWEvY2xhc3NpZmljYXRpb24vZGlhZ25v
c2lzL3BoeXNpb3BhdGhvbG9neTwva2V5d29yZD48a2V5d29yZD5Fc29waGFnZWFsIE1vdGlsaXR5
IERpc29yZGVycy9jbGFzc2lmaWNhdGlvbi8qZGlhZ25vc2lzL3BoeXNpb3BhdGhvbG9neTwva2V5
d29yZD48a2V5d29yZD5IdW1hbnM8L2tleXdvcmQ+PGtleXdvcmQ+KkltYWdlIEludGVycHJldGF0
aW9uLCBDb21wdXRlci1Bc3Npc3RlZDwva2V5d29yZD48a2V5d29yZD5NYW5vbWV0cnkvKm1ldGhv
ZHMvKnN0YW5kYXJkczwva2V5d29yZD48a2V5d29yZD5hY2hhbGFzaWE8L2tleXdvcmQ+PGtleXdv
cmQ+ZHlzcGhhZ2lhPC9rZXl3b3JkPjxrZXl3b3JkPmVzb3BoYWdlYWwgbW90aWxpdHkgZGlzb3Jk
ZXJzPC9rZXl3b3JkPjxrZXl3b3JkPmhpZ2gtcmVzb2x1dGlvbiBtYW5vbWV0cnk8L2tleXdvcmQ+
PGtleXdvcmQ+aW5lZmZlY3RpdmUgZXNvcGhhZ2VhbCBtb3RpbGl0eTwva2V5d29yZD48a2V5d29y
ZD5NZWFzdXJlbWVudCBTeXN0ZW1zOiBlZHVjYXRpb25hbCBhbmQgcmVzZWFyY2ggZnVuZGluZyBN
YXJrIEZveDogR2l2ZW4gaW1hZ2luZzo8L2tleXdvcmQ+PGtleXdvcmQ+YWR2aXNvcnkgYm9hcmQs
IGNvbnN1bHRpbmcgYW5kIGVkdWNhdGlvbmFsPC9rZXl3b3JkPjxrZXl3b3JkPlNhbmRoaWxsIFNj
aWVudGlmaWM6IGVkdWNhdGlvbmFsPC9rZXl3b3JkPjxrZXl3b3JkPk1lZGljYWwgTWVhc3VyZW1l
bnQgU3lzdGVtczogZWR1Y2F0aW9uYWwuIEMgUHJha2FzaCBHeWF3YWxpOiBHaXZlbiBpbWFnaW5n
LDwva2V5d29yZD48a2V5d29yZD5lZHVjYXRpb25hbCBKb2huIEUgUGFuZG9sZmlubzogR2l2ZW4g
aW1hZ2luZzwva2V5d29yZD48a2V5d29yZD5jb25zdWx0aW5nIGFuZCBlZHVjYXRpb25hbCBTZXJo
YXQgQm9yOjwva2V5d29yZD48a2V5d29yZD5NZWRpY2FsIE1lYXN1cmVtZW50IFN5c3RlbXM6IGVk
dWNhdGlvbmFsIGFuZCByZXNlYXJjaCBmdW5kaW5nIERPIENhc3RlbGw6IFNhbmRoaWxsPC9rZXl3
b3JkPjxrZXl3b3JkPlNjaWVudGlmaWMgSW5zdHJ1bWVudHM8L2tleXdvcmQ+PGtleXdvcmQ+Y29u
c3VsdGFudCBhbmQgZWR1Y2F0aW9uYWwgSmVmZnJleSBMIENvbmtsaW46IEdpdmVuIGltYWdpbmc6
PC9rZXl3b3JkPjxrZXl3b3JkPmNvbnN1bHRpbmcgYW5kIGVkdWNhdGlvbmFsIFNhYmluZSBSb21h
bjogR2l2ZW4gaW1hZ2luZzogYWR2aXNvcnkgYm9hcmQsIGNvbnN1bHRpbmc8L2tleXdvcmQ+PGtl
eXdvcmQ+YW5kIGVkdWNhdGlvbmFsIFBoaWwgS2F0ejogVG9yYXg6IGNvbnN1bHRhbnQ8L2tleXdv
cmQ+PGtleXdvcmQ+UHJpemVyIENvbnN1bWVyOiBjb25zdWx0YW50IEp1dHRhPC9rZXl3b3JkPjxr
ZXl3b3JkPktlbGxlcjogR2l2ZW4gaW1hZ2luZzogcmVzZWFyY2ggZnVuZGluZywgY29uc3VsdGlu
ZyBhbmQgZWR1Y2F0aW9uYWw8L2tleXdvcmQ+PGtleXdvcmQ+U3RhbmRhcmQ8L2tleXdvcmQ+PGtl
eXdvcmQ+SW1hZ2luZzogY29uc3VsdGluZyBhbmQgZWR1Y2F0aW9uYWwgVGFoZXIgT21hcmk6IFNh
bmRoaWxsIFNjaWVudGlmaWMgSW5zdHJ1bWVudHM6PC9rZXl3b3JkPjxrZXl3b3JkPmNvbnN1bHRp
bmcgYW5kIHJlc2VhcmNoIGdyYW50PC9rZXl3b3JkPjxrZXl3b3JkPk1lZGljYWwgTWVhc3VyZW1l
bnQgU3lzdGVtczogZWR1Y2F0aW9uYWwuIEVkb2FyZG88L2tleXdvcmQ+PGtleXdvcmQ+U2F2YXJp
bm86IEdpdmVuIGltYWdpbmc8L2tleXdvcmQ+PGtleXdvcmQ+YWR2aXNvcnkgYm9hcmQsIGNvbnN1
bHRpbmcgYW5kIGVkdWNhdGlvbmFsIEZlbGljZTwva2V5d29yZD48a2V5d29yZD5TY2hub2xsLVN1
c3NtYW46IEdpdmVuIGltYWdpbmc8L2tleXdvcmQ+PGtleXdvcmQ+YWR2aXNvcnkgYm9hcmQsIGNv
bnN1bHRpbmcgYW5kIGVkdWNhdGlvbmFsIERhbmllbDwva2V5d29yZD48a2V5d29yZD5TaWZyaW06
IEdpdmVuIGltYWdpbmc8L2tleXdvcmQ+PGtleXdvcmQ+YWR2aXNvcnkgYm9hcmQuIFNhbmRoaWxs
IFNjaWVudGlmaWMgSW5zdHJ1bWVudHM6IHJlc2VhcmNoPC9rZXl3b3JkPjxrZXl3b3JkPmdyYW50
LiBSYW1pIFN3ZWlzOiBHaXZlbiBpbWFnaW5nPC9rZXl3b3JkPjxrZXl3b3JkPmNvbnN1bHRpbmcg
YW5kIGVkdWNhdGlvbmFsIFJhZHUgVHV0dWlhbjogU2FuZGhpbGw8L2tleXdvcmQ+PGtleXdvcmQ+
U2NpZW50aWZpYyBJbnN0cnVtZW50czogZWR1Y2F0aW9uYWw8L2tleXdvcmQ+PGtleXdvcmQ+TWVk
aWNhbCBNZWFzdXJlbWVudCBTeXN0ZW1zOiBlZHVjYXRpb25hbC48L2tleXdvcmQ+PGtleXdvcmQ+
TWFyY2VsbyBGIFZlbGE6IEdpdmVuIEltYWdpbmcsIENvbnN1bHRpbmcgRnJhbmsgWmVyYmliOiBH
aXZlbiBpbWFnaW5nPC9rZXl3b3JkPjxrZXl3b3JkPmFkdmlzb3J5PC9rZXl3b3JkPjxrZXl3b3Jk
PmJvYXJkLCBjb25zdWx0aW5nLCBhbmQgZWR1Y2F0aW9uYWwuPC9rZXl3b3JkPjwva2V5d29yZHM+
PGRhdGVzPjx5ZWFyPjIwMTU8L3llYXI+PHB1Yi1kYXRlcz48ZGF0ZT5GZWI8L2RhdGU+PC9wdWIt
ZGF0ZXM+PC9kYXRlcz48aXNibj4xMzUwLTE5MjUgKFByaW50KSYjeEQ7MTM1MC0xOTI1PC9pc2Ju
PjxhY2Nlc3Npb24tbnVtPjI1NDY5NTY5PC9hY2Nlc3Npb24tbnVtPjx1cmxzPjxyZWxhdGVkLXVy
bHM+PHVybD5odHRwczovL29ubGluZWxpYnJhcnkud2lsZXkuY29tL2RvaS9wZGZkaXJlY3QvMTAu
MTExMS9ubW8uMTI0Nzc/ZG93bmxvYWQ9dHJ1ZTwvdXJsPjwvcmVsYXRlZC11cmxzPjwvdXJscz48
Y3VzdG9tMj5QTUM0MzA4NTAxPC9jdXN0b20yPjxjdXN0b202Pk5JSE1TNjQxMTMyPC9jdXN0b202
PjxlbGVjdHJvbmljLXJlc291cmNlLW51bT4xMC4xMTExL25tby4xMjQ3NzwvZWxlY3Ryb25pYy1y
ZXNvdXJjZS1udW0+PHJlbW90ZS1kYXRhYmFzZS1wcm92aWRlcj5OTE08L3JlbW90ZS1kYXRhYmFz
ZS1wcm92aWRlcj48bGFuZ3VhZ2U+ZW5nPC9sYW5ndWFnZT48L3JlY29yZD48L0NpdGU+PC9FbmRO
b3RlPgB=
</w:fldData>
        </w:fldChar>
      </w:r>
      <w:r>
        <w:rPr>
          <w:rFonts w:ascii="Times New Roman" w:hAnsi="Times New Roman"/>
          <w:lang w:val="en-GB" w:eastAsia="nl-NL"/>
        </w:rPr>
        <w:instrText xml:space="preserve"> ADDIN EN.CITE.DATA </w:instrText>
      </w:r>
      <w:r>
        <w:rPr>
          <w:rFonts w:ascii="Times New Roman" w:hAnsi="Times New Roman"/>
          <w:lang w:val="en-GB" w:eastAsia="nl-NL"/>
        </w:rPr>
      </w:r>
      <w:r>
        <w:rPr>
          <w:rFonts w:ascii="Times New Roman" w:hAnsi="Times New Roman"/>
          <w:lang w:val="en-GB" w:eastAsia="nl-NL"/>
        </w:rPr>
        <w:fldChar w:fldCharType="end"/>
      </w:r>
      <w:r>
        <w:rPr>
          <w:rFonts w:ascii="Times New Roman" w:hAnsi="Times New Roman"/>
          <w:lang w:val="en-GB" w:eastAsia="nl-NL"/>
        </w:rPr>
      </w:r>
      <w:r>
        <w:rPr>
          <w:rFonts w:ascii="Times New Roman" w:hAnsi="Times New Roman"/>
          <w:lang w:val="en-GB" w:eastAsia="nl-NL"/>
        </w:rPr>
        <w:fldChar w:fldCharType="separate"/>
      </w:r>
      <w:r>
        <w:rPr>
          <w:rFonts w:ascii="Times New Roman" w:hAnsi="Times New Roman"/>
          <w:noProof/>
          <w:lang w:val="en-GB" w:eastAsia="nl-NL"/>
        </w:rPr>
        <w:t>(1, 2)</w:t>
      </w:r>
      <w:r>
        <w:rPr>
          <w:rFonts w:ascii="Times New Roman" w:hAnsi="Times New Roman"/>
          <w:lang w:val="en-GB" w:eastAsia="nl-NL"/>
        </w:rPr>
        <w:fldChar w:fldCharType="end"/>
      </w:r>
      <w:r>
        <w:rPr>
          <w:rFonts w:ascii="Times New Roman" w:hAnsi="Times New Roman"/>
          <w:lang w:val="en-GB" w:eastAsia="nl-NL"/>
        </w:rPr>
        <w:t xml:space="preserve">. HRM was performed after a 4-hour fasting period and discontinuation of medication that could affect esophageal peristalsis or lower esophageal sphincter pressure. </w:t>
      </w:r>
      <w:r w:rsidR="003A66BF" w:rsidRPr="00F12516">
        <w:rPr>
          <w:rFonts w:ascii="Times New Roman" w:hAnsi="Times New Roman"/>
          <w:lang w:val="en-GB"/>
        </w:rPr>
        <w:t>After the HRM, a combined pH-impedance catheter (Laborie, Enschede, the Netherlands) was placed transnasal</w:t>
      </w:r>
      <w:r w:rsidR="003A66BF">
        <w:rPr>
          <w:rFonts w:ascii="Times New Roman" w:hAnsi="Times New Roman"/>
          <w:lang w:val="en-GB"/>
        </w:rPr>
        <w:t>ly</w:t>
      </w:r>
      <w:r w:rsidR="003A66BF" w:rsidRPr="00F12516">
        <w:rPr>
          <w:rFonts w:ascii="Times New Roman" w:hAnsi="Times New Roman"/>
          <w:lang w:val="en-GB"/>
        </w:rPr>
        <w:t xml:space="preserve"> based on the manometric findings. The catheter contains six impedance sites located at 2–4 cm (Z6), 4–6 cm (Z5), 6–8 cm (Z4), 8–10 cm (Z3), 14–16 cm (Z2), and 16–18 cm (Z1) proximal to the LES, as well as  an antimony pH electrode located 5 cm above the LES. The antimony pH electrode was pre-calibrated at 37°C (using buffers of pH 7.01 and pH 4). Impedance and pH data was stored on a digital data logger (Ohmega, Laborie, Enschede, the Netherlands) using a sampling frequency of 50 Hz </w:t>
      </w:r>
      <w:r w:rsidR="003A66BF">
        <w:rPr>
          <w:rFonts w:ascii="Times New Roman" w:hAnsi="Times New Roman"/>
          <w:lang w:val="en-GB"/>
        </w:rPr>
        <w:t>for impedance and 1 Hz for pH.</w:t>
      </w:r>
    </w:p>
    <w:p w:rsidR="00405028" w:rsidRPr="00F00B89" w:rsidRDefault="00405028" w:rsidP="00405028">
      <w:pPr>
        <w:spacing w:line="480" w:lineRule="auto"/>
        <w:jc w:val="both"/>
        <w:rPr>
          <w:rFonts w:ascii="Times New Roman" w:hAnsi="Times New Roman"/>
          <w:lang w:val="en-GB" w:eastAsia="nl-NL"/>
        </w:rPr>
      </w:pPr>
    </w:p>
    <w:p w:rsidR="00405028" w:rsidRPr="00A26AFC" w:rsidRDefault="00405028" w:rsidP="00405028">
      <w:pPr>
        <w:pStyle w:val="Kop2"/>
      </w:pPr>
      <w:r w:rsidRPr="00A26AFC">
        <w:lastRenderedPageBreak/>
        <w:t>Sleep position measurement</w:t>
      </w:r>
    </w:p>
    <w:p w:rsidR="00405028" w:rsidRDefault="00405028" w:rsidP="00405028">
      <w:pPr>
        <w:spacing w:line="480" w:lineRule="auto"/>
        <w:jc w:val="both"/>
        <w:rPr>
          <w:rFonts w:ascii="Times New Roman" w:hAnsi="Times New Roman"/>
          <w:lang w:val="en-GB"/>
        </w:rPr>
      </w:pPr>
      <w:r>
        <w:rPr>
          <w:rFonts w:ascii="Times New Roman" w:hAnsi="Times New Roman"/>
          <w:lang w:val="en-GB"/>
        </w:rPr>
        <w:t xml:space="preserve">Sleep position was monitored by a sleep position measurement and </w:t>
      </w:r>
      <w:r w:rsidR="00B67CAD">
        <w:rPr>
          <w:rFonts w:ascii="Times New Roman" w:hAnsi="Times New Roman"/>
          <w:lang w:val="en-GB"/>
        </w:rPr>
        <w:t xml:space="preserve">training device </w:t>
      </w:r>
      <w:r w:rsidRPr="00360EFE">
        <w:rPr>
          <w:rFonts w:ascii="Times New Roman" w:hAnsi="Times New Roman"/>
          <w:lang w:val="en-GB"/>
        </w:rPr>
        <w:t>(Side</w:t>
      </w:r>
      <w:r>
        <w:rPr>
          <w:rFonts w:ascii="Times New Roman" w:hAnsi="Times New Roman"/>
          <w:lang w:val="en-GB"/>
        </w:rPr>
        <w:t xml:space="preserve"> Sleep Technologies B.V., Amsterdam, the Netherlands) used in measurement-only mode. The device is a small (40 mm x 40 mm x 7 mm), lightweight (3 g) wearable with 3-axis accelerometer. </w:t>
      </w:r>
      <w:r w:rsidRPr="00073F21">
        <w:rPr>
          <w:rFonts w:ascii="Times New Roman" w:hAnsi="Times New Roman"/>
          <w:lang w:val="en-GB"/>
        </w:rPr>
        <w:t xml:space="preserve">The device registers the sleep position </w:t>
      </w:r>
      <w:r>
        <w:rPr>
          <w:rFonts w:ascii="Times New Roman" w:hAnsi="Times New Roman"/>
          <w:lang w:val="en-GB"/>
        </w:rPr>
        <w:t>of patient</w:t>
      </w:r>
      <w:r w:rsidRPr="00073F21">
        <w:rPr>
          <w:rFonts w:ascii="Times New Roman" w:hAnsi="Times New Roman"/>
          <w:lang w:val="en-GB"/>
        </w:rPr>
        <w:t xml:space="preserve"> </w:t>
      </w:r>
      <w:r>
        <w:rPr>
          <w:rFonts w:ascii="Times New Roman" w:hAnsi="Times New Roman"/>
          <w:lang w:val="en-GB"/>
        </w:rPr>
        <w:t xml:space="preserve">at 10-second intervals. It categorizes sleep position as one of </w:t>
      </w:r>
      <w:r w:rsidRPr="00073F21">
        <w:rPr>
          <w:rFonts w:ascii="Times New Roman" w:hAnsi="Times New Roman"/>
          <w:lang w:val="en-GB"/>
        </w:rPr>
        <w:t>5 categories</w:t>
      </w:r>
      <w:r>
        <w:rPr>
          <w:rFonts w:ascii="Times New Roman" w:hAnsi="Times New Roman"/>
          <w:lang w:val="en-GB"/>
        </w:rPr>
        <w:t xml:space="preserve">: </w:t>
      </w:r>
      <w:r w:rsidRPr="00073F21">
        <w:rPr>
          <w:rFonts w:ascii="Times New Roman" w:hAnsi="Times New Roman"/>
          <w:lang w:val="en-GB"/>
        </w:rPr>
        <w:t>supine</w:t>
      </w:r>
      <w:r>
        <w:rPr>
          <w:rFonts w:ascii="Times New Roman" w:hAnsi="Times New Roman"/>
          <w:lang w:val="en-GB"/>
        </w:rPr>
        <w:t xml:space="preserve"> (‘’back’’)</w:t>
      </w:r>
      <w:r w:rsidRPr="00073F21">
        <w:rPr>
          <w:rFonts w:ascii="Times New Roman" w:hAnsi="Times New Roman"/>
          <w:lang w:val="en-GB"/>
        </w:rPr>
        <w:t>, right, left, prone</w:t>
      </w:r>
      <w:r>
        <w:rPr>
          <w:rFonts w:ascii="Times New Roman" w:hAnsi="Times New Roman"/>
          <w:lang w:val="en-GB"/>
        </w:rPr>
        <w:t xml:space="preserve"> (‘’belly’’) and upright</w:t>
      </w:r>
      <w:r w:rsidRPr="00073F21">
        <w:rPr>
          <w:rFonts w:ascii="Times New Roman" w:hAnsi="Times New Roman"/>
          <w:lang w:val="en-GB"/>
        </w:rPr>
        <w:t xml:space="preserve">. </w:t>
      </w:r>
      <w:r>
        <w:rPr>
          <w:rFonts w:ascii="Times New Roman" w:hAnsi="Times New Roman"/>
          <w:lang w:val="en-GB"/>
        </w:rPr>
        <w:t xml:space="preserve">Patients were instructed to place the device mid-sternal with an adhesive sticker and turn on the device when going to bed. Patients were asked to fill in questions regarding sleep position preference and reflux complaints. </w:t>
      </w:r>
    </w:p>
    <w:p w:rsidR="00405028" w:rsidRDefault="00405028" w:rsidP="00405028">
      <w:pPr>
        <w:pStyle w:val="Kop2"/>
      </w:pPr>
      <w:r w:rsidRPr="00ED1A13">
        <w:t>Data analysis</w:t>
      </w:r>
    </w:p>
    <w:p w:rsidR="00405028" w:rsidRDefault="00405028" w:rsidP="00405028">
      <w:pPr>
        <w:spacing w:line="480" w:lineRule="auto"/>
        <w:jc w:val="both"/>
        <w:rPr>
          <w:rFonts w:ascii="Times New Roman" w:hAnsi="Times New Roman"/>
          <w:lang w:val="en-GB"/>
        </w:rPr>
      </w:pPr>
      <w:r w:rsidRPr="00C86DC3">
        <w:rPr>
          <w:rFonts w:ascii="Times New Roman" w:hAnsi="Times New Roman"/>
          <w:lang w:val="en-GB"/>
        </w:rPr>
        <w:t xml:space="preserve">Data from the sleep position device was </w:t>
      </w:r>
      <w:r>
        <w:rPr>
          <w:rFonts w:ascii="Times New Roman" w:hAnsi="Times New Roman"/>
          <w:lang w:val="en-GB"/>
        </w:rPr>
        <w:t xml:space="preserve">downloaded via Bluetooth on a mobile app provided by the manufacturer. The sleep position data was </w:t>
      </w:r>
      <w:r w:rsidRPr="00ED1A13">
        <w:rPr>
          <w:rFonts w:ascii="Times New Roman" w:hAnsi="Times New Roman"/>
          <w:lang w:val="en-GB"/>
        </w:rPr>
        <w:t xml:space="preserve">loaded into the </w:t>
      </w:r>
      <w:r>
        <w:rPr>
          <w:rFonts w:ascii="Times New Roman" w:hAnsi="Times New Roman"/>
          <w:lang w:val="en-GB"/>
        </w:rPr>
        <w:t xml:space="preserve">pH-impedance </w:t>
      </w:r>
      <w:r w:rsidRPr="00ED1A13">
        <w:rPr>
          <w:rFonts w:ascii="Times New Roman" w:hAnsi="Times New Roman"/>
          <w:lang w:val="en-GB"/>
        </w:rPr>
        <w:t>analyses software</w:t>
      </w:r>
      <w:r>
        <w:rPr>
          <w:rFonts w:ascii="Times New Roman" w:hAnsi="Times New Roman"/>
          <w:lang w:val="en-GB"/>
        </w:rPr>
        <w:t xml:space="preserve"> (Laborie, Enschede, the Netherlands)</w:t>
      </w:r>
      <w:r w:rsidRPr="00ED1A13">
        <w:rPr>
          <w:rFonts w:ascii="Times New Roman" w:hAnsi="Times New Roman"/>
          <w:lang w:val="en-GB"/>
        </w:rPr>
        <w:t xml:space="preserve"> using a</w:t>
      </w:r>
      <w:r>
        <w:rPr>
          <w:rFonts w:ascii="Times New Roman" w:hAnsi="Times New Roman"/>
          <w:lang w:val="en-GB"/>
        </w:rPr>
        <w:t xml:space="preserve"> dedicated</w:t>
      </w:r>
      <w:r w:rsidRPr="00ED1A13">
        <w:rPr>
          <w:rFonts w:ascii="Times New Roman" w:hAnsi="Times New Roman"/>
          <w:lang w:val="en-GB"/>
        </w:rPr>
        <w:t xml:space="preserve"> e</w:t>
      </w:r>
      <w:r>
        <w:rPr>
          <w:rFonts w:ascii="Times New Roman" w:hAnsi="Times New Roman"/>
          <w:lang w:val="en-GB"/>
        </w:rPr>
        <w:t>xecutive program</w:t>
      </w:r>
      <w:r w:rsidRPr="00ED1A13">
        <w:rPr>
          <w:rFonts w:ascii="Times New Roman" w:hAnsi="Times New Roman"/>
          <w:lang w:val="en-GB"/>
        </w:rPr>
        <w:t>.</w:t>
      </w:r>
      <w:r>
        <w:rPr>
          <w:rFonts w:ascii="Times New Roman" w:hAnsi="Times New Roman"/>
          <w:lang w:val="en-GB"/>
        </w:rPr>
        <w:t xml:space="preserve"> The time used for the sleep position device and the pH-Impedance analysis software was retrieved from the digital clock from the Windows computer; which leads to a maximum synchronisation difference of 5 seconds between sleep position and pH-impedance signals. </w:t>
      </w:r>
    </w:p>
    <w:p w:rsidR="00405028" w:rsidRPr="00051EC0" w:rsidRDefault="00405028" w:rsidP="00405028">
      <w:pPr>
        <w:pStyle w:val="Kop2"/>
      </w:pPr>
      <w:r w:rsidRPr="00051EC0">
        <w:t>Nocturnal reflux definition</w:t>
      </w:r>
      <w:r>
        <w:t xml:space="preserve"> and sleep position analysis</w:t>
      </w:r>
    </w:p>
    <w:p w:rsidR="00405028" w:rsidRDefault="00405028" w:rsidP="00405028">
      <w:pPr>
        <w:spacing w:after="0" w:line="480" w:lineRule="auto"/>
        <w:jc w:val="both"/>
        <w:rPr>
          <w:rFonts w:ascii="Times New Roman" w:hAnsi="Times New Roman"/>
          <w:lang w:val="en-GB"/>
        </w:rPr>
      </w:pPr>
      <w:r>
        <w:rPr>
          <w:rFonts w:ascii="Times New Roman" w:hAnsi="Times New Roman"/>
          <w:szCs w:val="18"/>
          <w:lang w:val="en-GB"/>
        </w:rPr>
        <w:t xml:space="preserve">The nocturnal reflux definitions are displayed </w:t>
      </w:r>
      <w:r w:rsidRPr="00FA7959">
        <w:rPr>
          <w:rFonts w:ascii="Times New Roman" w:hAnsi="Times New Roman"/>
          <w:szCs w:val="18"/>
          <w:lang w:val="en-GB"/>
        </w:rPr>
        <w:t xml:space="preserve">in table 1 </w:t>
      </w:r>
      <w:r w:rsidRPr="00FA7959">
        <w:rPr>
          <w:rFonts w:ascii="Times New Roman" w:hAnsi="Times New Roman"/>
          <w:szCs w:val="18"/>
          <w:lang w:val="en-GB"/>
        </w:rPr>
        <w:fldChar w:fldCharType="begin"/>
      </w:r>
      <w:r w:rsidR="004A7854">
        <w:rPr>
          <w:rFonts w:ascii="Times New Roman" w:hAnsi="Times New Roman"/>
          <w:szCs w:val="18"/>
          <w:lang w:val="en-GB"/>
        </w:rPr>
        <w:instrText xml:space="preserve"> ADDIN EN.CITE &lt;EndNote&gt;&lt;Cite&gt;&lt;Author&gt;Sifrim&lt;/Author&gt;&lt;Year&gt;2004&lt;/Year&gt;&lt;RecNum&gt;1&lt;/RecNum&gt;&lt;DisplayText&gt;(3)&lt;/DisplayText&gt;&lt;record&gt;&lt;rec-number&gt;1&lt;/rec-number&gt;&lt;foreign-keys&gt;&lt;key app="EN" db-id="wv9aw9a5ks5x5hexpsb50p2y0exf5wf5z259" timestamp="1618923024"&gt;1&lt;/key&gt;&lt;/foreign-keys&gt;&lt;ref-type name="Journal Article"&gt;17&lt;/ref-type&gt;&lt;contributors&gt;&lt;authors&gt;&lt;author&gt;Sifrim, D.&lt;/author&gt;&lt;author&gt;Castell, D.&lt;/author&gt;&lt;author&gt;Dent, J.&lt;/author&gt;&lt;author&gt;Kahrilas, P. J.&lt;/author&gt;&lt;/authors&gt;&lt;/contributors&gt;&lt;auth-address&gt;Centre for Gastroenterological Research, Faculty of Medicine, Catholic University of Leuven, Belgium. daniel.sifrim@med.kuleuven.ac.be&lt;/auth-address&gt;&lt;titles&gt;&lt;title&gt;Gastro-oesophageal reflux monitoring: review and consensus report on detection and definitions of acid, non-acid, and gas reflux&lt;/title&gt;&lt;secondary-title&gt;Gut&lt;/secondary-title&gt;&lt;/titles&gt;&lt;periodical&gt;&lt;full-title&gt;Gut&lt;/full-title&gt;&lt;/periodical&gt;&lt;pages&gt;1024-31&lt;/pages&gt;&lt;volume&gt;53&lt;/volume&gt;&lt;number&gt;7&lt;/number&gt;&lt;edition&gt;2004/06/15&lt;/edition&gt;&lt;keywords&gt;&lt;keyword&gt;Adult&lt;/keyword&gt;&lt;keyword&gt;Bilirubin/metabolism&lt;/keyword&gt;&lt;keyword&gt;Biomarkers/analysis&lt;/keyword&gt;&lt;keyword&gt;Electrodiagnosis/methods&lt;/keyword&gt;&lt;keyword&gt;Gastroesophageal Reflux/classification/*diagnosis&lt;/keyword&gt;&lt;keyword&gt;Humans&lt;/keyword&gt;&lt;keyword&gt;Hydrogen-Ion Concentration&lt;/keyword&gt;&lt;keyword&gt;Infant&lt;/keyword&gt;&lt;keyword&gt;Infant, Newborn&lt;/keyword&gt;&lt;keyword&gt;Monitoring, Ambulatory/*methods&lt;/keyword&gt;&lt;keyword&gt;Sensitivity and Specificity&lt;/keyword&gt;&lt;/keywords&gt;&lt;dates&gt;&lt;year&gt;2004&lt;/year&gt;&lt;pub-dates&gt;&lt;date&gt;Jul&lt;/date&gt;&lt;/pub-dates&gt;&lt;/dates&gt;&lt;isbn&gt;0017-5749 (Print)&amp;#xD;0017-5749&lt;/isbn&gt;&lt;accession-num&gt;15194656&lt;/accession-num&gt;&lt;urls&gt;&lt;related-urls&gt;&lt;url&gt;https://www.ncbi.nlm.nih.gov/pmc/articles/PMC1774114/pdf/gut05301024.pdf&lt;/url&gt;&lt;/related-urls&gt;&lt;/urls&gt;&lt;custom2&gt;PMC1774114&lt;/custom2&gt;&lt;electronic-resource-num&gt;10.1136/gut.2003.033290&lt;/electronic-resource-num&gt;&lt;remote-database-provider&gt;NLM&lt;/remote-database-provider&gt;&lt;language&gt;eng&lt;/language&gt;&lt;/record&gt;&lt;/Cite&gt;&lt;/EndNote&gt;</w:instrText>
      </w:r>
      <w:r w:rsidRPr="00FA7959">
        <w:rPr>
          <w:rFonts w:ascii="Times New Roman" w:hAnsi="Times New Roman"/>
          <w:szCs w:val="18"/>
          <w:lang w:val="en-GB"/>
        </w:rPr>
        <w:fldChar w:fldCharType="separate"/>
      </w:r>
      <w:r w:rsidR="004A7854">
        <w:rPr>
          <w:rFonts w:ascii="Times New Roman" w:hAnsi="Times New Roman"/>
          <w:noProof/>
          <w:szCs w:val="18"/>
          <w:lang w:val="en-GB"/>
        </w:rPr>
        <w:t>(3)</w:t>
      </w:r>
      <w:r w:rsidRPr="00FA7959">
        <w:rPr>
          <w:rFonts w:ascii="Times New Roman" w:hAnsi="Times New Roman"/>
          <w:szCs w:val="18"/>
          <w:lang w:val="en-GB"/>
        </w:rPr>
        <w:fldChar w:fldCharType="end"/>
      </w:r>
      <w:r w:rsidRPr="00FA7959">
        <w:rPr>
          <w:rFonts w:ascii="Times New Roman" w:hAnsi="Times New Roman"/>
          <w:szCs w:val="18"/>
          <w:lang w:val="en-GB"/>
        </w:rPr>
        <w:t>.</w:t>
      </w:r>
      <w:r w:rsidRPr="00B24E1C">
        <w:rPr>
          <w:rFonts w:ascii="Times New Roman" w:hAnsi="Times New Roman"/>
          <w:szCs w:val="18"/>
          <w:lang w:val="en-GB"/>
        </w:rPr>
        <w:t xml:space="preserve"> </w:t>
      </w:r>
      <w:r w:rsidRPr="00B24E1C">
        <w:rPr>
          <w:rFonts w:ascii="Times New Roman" w:hAnsi="Times New Roman"/>
          <w:lang w:val="en-GB"/>
        </w:rPr>
        <w:t>Nocturnal reflux detection</w:t>
      </w:r>
      <w:r w:rsidRPr="00547DF6">
        <w:rPr>
          <w:rFonts w:ascii="Times New Roman" w:hAnsi="Times New Roman"/>
          <w:lang w:val="en-GB"/>
        </w:rPr>
        <w:t xml:space="preserve"> was started when the sleep position device was turned on and a recumbent position was measured (supine, left, right or prone position).</w:t>
      </w:r>
      <w:r>
        <w:rPr>
          <w:rFonts w:ascii="Times New Roman" w:hAnsi="Times New Roman"/>
          <w:lang w:val="en-GB"/>
        </w:rPr>
        <w:t xml:space="preserve"> For each episode, the composition of the reflux (liquid or mixed liquid- gas), the type of reflux (acid or weakly acidic), proximal extent and position (left, right, supine, prone) were manually assessed </w:t>
      </w:r>
      <w:r w:rsidRPr="00F00B89">
        <w:rPr>
          <w:rFonts w:ascii="Times New Roman" w:hAnsi="Times New Roman"/>
          <w:lang w:val="en-GB"/>
        </w:rPr>
        <w:t>by two investigators</w:t>
      </w:r>
      <w:r>
        <w:rPr>
          <w:rFonts w:ascii="Times New Roman" w:hAnsi="Times New Roman"/>
          <w:lang w:val="en-GB"/>
        </w:rPr>
        <w:t xml:space="preserve"> (J.M.S &amp; M.D.) </w:t>
      </w:r>
      <w:r w:rsidRPr="00F00B89">
        <w:rPr>
          <w:rFonts w:ascii="Times New Roman" w:hAnsi="Times New Roman"/>
          <w:lang w:val="en-GB"/>
        </w:rPr>
        <w:t>independently</w:t>
      </w:r>
      <w:r w:rsidR="007B44EE">
        <w:rPr>
          <w:rFonts w:ascii="Times New Roman" w:hAnsi="Times New Roman"/>
          <w:lang w:val="en-GB"/>
        </w:rPr>
        <w:t xml:space="preserve">. </w:t>
      </w:r>
      <w:r>
        <w:rPr>
          <w:rFonts w:ascii="Times New Roman" w:hAnsi="Times New Roman"/>
          <w:lang w:val="en-GB"/>
        </w:rPr>
        <w:t>A third investigator</w:t>
      </w:r>
      <w:r w:rsidRPr="0004547C">
        <w:rPr>
          <w:rFonts w:ascii="Times New Roman" w:hAnsi="Times New Roman"/>
          <w:lang w:val="en-GB"/>
        </w:rPr>
        <w:t xml:space="preserve"> was con</w:t>
      </w:r>
      <w:r>
        <w:rPr>
          <w:rFonts w:ascii="Times New Roman" w:hAnsi="Times New Roman"/>
          <w:lang w:val="en-GB"/>
        </w:rPr>
        <w:t>sulted</w:t>
      </w:r>
      <w:r w:rsidRPr="0004547C">
        <w:rPr>
          <w:rFonts w:ascii="Times New Roman" w:hAnsi="Times New Roman"/>
          <w:lang w:val="en-GB"/>
        </w:rPr>
        <w:t xml:space="preserve"> if consensus was not reached</w:t>
      </w:r>
      <w:r>
        <w:rPr>
          <w:rFonts w:ascii="Times New Roman" w:hAnsi="Times New Roman"/>
          <w:lang w:val="en-GB"/>
        </w:rPr>
        <w:t xml:space="preserve"> (A.J.B)</w:t>
      </w:r>
      <w:r w:rsidRPr="0004547C">
        <w:rPr>
          <w:rFonts w:ascii="Times New Roman" w:hAnsi="Times New Roman"/>
          <w:lang w:val="en-GB"/>
        </w:rPr>
        <w:t>.</w:t>
      </w:r>
      <w:r>
        <w:rPr>
          <w:rFonts w:ascii="Times New Roman" w:hAnsi="Times New Roman"/>
          <w:lang w:val="en-GB"/>
        </w:rPr>
        <w:t xml:space="preserve"> </w:t>
      </w:r>
      <w:r w:rsidRPr="00942FD5">
        <w:rPr>
          <w:rFonts w:ascii="Times New Roman" w:hAnsi="Times New Roman"/>
          <w:szCs w:val="18"/>
          <w:lang w:val="en-GB"/>
        </w:rPr>
        <w:t>The position “up</w:t>
      </w:r>
      <w:r>
        <w:rPr>
          <w:rFonts w:ascii="Times New Roman" w:hAnsi="Times New Roman"/>
          <w:szCs w:val="18"/>
          <w:lang w:val="en-GB"/>
        </w:rPr>
        <w:t>right</w:t>
      </w:r>
      <w:r w:rsidRPr="00942FD5">
        <w:rPr>
          <w:rFonts w:ascii="Times New Roman" w:hAnsi="Times New Roman"/>
          <w:szCs w:val="18"/>
          <w:lang w:val="en-GB"/>
        </w:rPr>
        <w:t>” was not included in this calculation as it was not defined as a sleep position</w:t>
      </w:r>
      <w:r w:rsidRPr="00F96CDE">
        <w:rPr>
          <w:rFonts w:ascii="Times New Roman" w:hAnsi="Times New Roman"/>
          <w:szCs w:val="18"/>
          <w:lang w:val="en-GB"/>
        </w:rPr>
        <w:t>.</w:t>
      </w:r>
      <w:r>
        <w:rPr>
          <w:rFonts w:ascii="Times New Roman" w:hAnsi="Times New Roman"/>
          <w:szCs w:val="18"/>
          <w:lang w:val="en-GB"/>
        </w:rPr>
        <w:t xml:space="preserve"> All reflux events were</w:t>
      </w:r>
      <w:r w:rsidRPr="00942FD5">
        <w:rPr>
          <w:rFonts w:ascii="Times New Roman" w:hAnsi="Times New Roman"/>
          <w:szCs w:val="18"/>
          <w:lang w:val="en-GB"/>
        </w:rPr>
        <w:t xml:space="preserve"> assigned to the sleep position </w:t>
      </w:r>
      <w:r>
        <w:rPr>
          <w:rFonts w:ascii="Times New Roman" w:hAnsi="Times New Roman"/>
          <w:szCs w:val="18"/>
          <w:lang w:val="en-GB"/>
        </w:rPr>
        <w:t xml:space="preserve">that was present </w:t>
      </w:r>
      <w:r w:rsidRPr="00942FD5">
        <w:rPr>
          <w:rFonts w:ascii="Times New Roman" w:hAnsi="Times New Roman"/>
          <w:szCs w:val="18"/>
          <w:lang w:val="en-GB"/>
        </w:rPr>
        <w:t xml:space="preserve">at the moment the pH dropped below 4. When a patient changed position </w:t>
      </w:r>
      <w:r>
        <w:rPr>
          <w:rFonts w:ascii="Times New Roman" w:hAnsi="Times New Roman"/>
          <w:szCs w:val="18"/>
          <w:lang w:val="en-GB"/>
        </w:rPr>
        <w:t xml:space="preserve">while </w:t>
      </w:r>
      <w:r w:rsidRPr="00942FD5">
        <w:rPr>
          <w:rFonts w:ascii="Times New Roman" w:hAnsi="Times New Roman"/>
          <w:szCs w:val="18"/>
          <w:lang w:val="en-GB"/>
        </w:rPr>
        <w:t xml:space="preserve">the pH was &lt; 4, the </w:t>
      </w:r>
      <w:r>
        <w:rPr>
          <w:rFonts w:ascii="Times New Roman" w:hAnsi="Times New Roman"/>
          <w:szCs w:val="18"/>
          <w:lang w:val="en-GB"/>
        </w:rPr>
        <w:t xml:space="preserve">reflux event </w:t>
      </w:r>
      <w:r w:rsidRPr="00942FD5">
        <w:rPr>
          <w:rFonts w:ascii="Times New Roman" w:hAnsi="Times New Roman"/>
          <w:szCs w:val="18"/>
          <w:lang w:val="en-GB"/>
        </w:rPr>
        <w:t xml:space="preserve">was </w:t>
      </w:r>
      <w:r>
        <w:rPr>
          <w:rFonts w:ascii="Times New Roman" w:hAnsi="Times New Roman"/>
          <w:szCs w:val="18"/>
          <w:lang w:val="en-GB"/>
        </w:rPr>
        <w:t xml:space="preserve">assigned </w:t>
      </w:r>
      <w:r w:rsidRPr="00942FD5">
        <w:rPr>
          <w:rFonts w:ascii="Times New Roman" w:hAnsi="Times New Roman"/>
          <w:szCs w:val="18"/>
          <w:lang w:val="en-GB"/>
        </w:rPr>
        <w:t>to the sleep position</w:t>
      </w:r>
      <w:r>
        <w:rPr>
          <w:rFonts w:ascii="Times New Roman" w:hAnsi="Times New Roman"/>
          <w:szCs w:val="18"/>
          <w:lang w:val="en-GB"/>
        </w:rPr>
        <w:t xml:space="preserve"> during which the reflux event started</w:t>
      </w:r>
      <w:r w:rsidRPr="00942FD5">
        <w:rPr>
          <w:rFonts w:ascii="Times New Roman" w:hAnsi="Times New Roman"/>
          <w:szCs w:val="18"/>
          <w:lang w:val="en-GB"/>
        </w:rPr>
        <w:t xml:space="preserve">. When a change in sleep position was accompanied </w:t>
      </w:r>
      <w:r>
        <w:rPr>
          <w:rFonts w:ascii="Times New Roman" w:hAnsi="Times New Roman"/>
          <w:szCs w:val="18"/>
          <w:lang w:val="en-GB"/>
        </w:rPr>
        <w:t>by a 50% drop in impedance or a drop</w:t>
      </w:r>
      <w:r w:rsidRPr="00942FD5">
        <w:rPr>
          <w:rFonts w:ascii="Times New Roman" w:hAnsi="Times New Roman"/>
          <w:szCs w:val="18"/>
          <w:lang w:val="en-GB"/>
        </w:rPr>
        <w:t xml:space="preserve"> of</w:t>
      </w:r>
      <w:r>
        <w:rPr>
          <w:rFonts w:ascii="Times New Roman" w:hAnsi="Times New Roman"/>
          <w:szCs w:val="18"/>
          <w:lang w:val="en-GB"/>
        </w:rPr>
        <w:t xml:space="preserve"> </w:t>
      </w:r>
      <w:r w:rsidRPr="00942FD5">
        <w:rPr>
          <w:rFonts w:ascii="Times New Roman" w:hAnsi="Times New Roman"/>
          <w:szCs w:val="18"/>
          <w:lang w:val="en-GB"/>
        </w:rPr>
        <w:t>&gt; 1 pH unit even when already below 4</w:t>
      </w:r>
      <w:r>
        <w:rPr>
          <w:rFonts w:ascii="Times New Roman" w:hAnsi="Times New Roman"/>
          <w:szCs w:val="18"/>
          <w:lang w:val="en-GB"/>
        </w:rPr>
        <w:t>,</w:t>
      </w:r>
      <w:r w:rsidRPr="00942FD5">
        <w:rPr>
          <w:rFonts w:ascii="Times New Roman" w:hAnsi="Times New Roman"/>
          <w:szCs w:val="18"/>
          <w:lang w:val="en-GB"/>
        </w:rPr>
        <w:t xml:space="preserve"> this was counted as a new </w:t>
      </w:r>
      <w:r>
        <w:rPr>
          <w:rFonts w:ascii="Times New Roman" w:hAnsi="Times New Roman"/>
          <w:szCs w:val="18"/>
          <w:lang w:val="en-GB"/>
        </w:rPr>
        <w:t xml:space="preserve">reflux </w:t>
      </w:r>
      <w:r w:rsidRPr="00942FD5">
        <w:rPr>
          <w:rFonts w:ascii="Times New Roman" w:hAnsi="Times New Roman"/>
          <w:szCs w:val="18"/>
          <w:lang w:val="en-GB"/>
        </w:rPr>
        <w:t>event.</w:t>
      </w:r>
      <w:r>
        <w:rPr>
          <w:rFonts w:ascii="Times New Roman" w:hAnsi="Times New Roman"/>
          <w:szCs w:val="18"/>
          <w:lang w:val="en-GB"/>
        </w:rPr>
        <w:t xml:space="preserve"> </w:t>
      </w:r>
      <w:r>
        <w:rPr>
          <w:rFonts w:ascii="Times New Roman" w:hAnsi="Times New Roman"/>
          <w:lang w:val="en-GB"/>
        </w:rPr>
        <w:t xml:space="preserve">A reflux event that was preceded or followed by a </w:t>
      </w:r>
      <w:r>
        <w:rPr>
          <w:rFonts w:ascii="Times New Roman" w:hAnsi="Times New Roman"/>
          <w:lang w:val="en-GB"/>
        </w:rPr>
        <w:lastRenderedPageBreak/>
        <w:t xml:space="preserve">change in sleeping position with a time window of 20 seconds (10 seconds before and 10 seconds after the start of the reflux event) was defined as a Position Change (PC) reflux. This takes into account the 0.1 Hz sampling rate of the sleep position registration </w:t>
      </w:r>
      <w:r w:rsidR="007B44EE">
        <w:rPr>
          <w:rFonts w:ascii="Times New Roman" w:hAnsi="Times New Roman"/>
          <w:lang w:val="en-GB"/>
        </w:rPr>
        <w:t>device</w:t>
      </w:r>
      <w:r w:rsidRPr="00C61EC3">
        <w:rPr>
          <w:rFonts w:ascii="Times New Roman" w:hAnsi="Times New Roman"/>
          <w:lang w:val="en-GB"/>
        </w:rPr>
        <w:t>. Artefacts</w:t>
      </w:r>
      <w:r w:rsidRPr="002966E4">
        <w:rPr>
          <w:rFonts w:ascii="Times New Roman" w:hAnsi="Times New Roman"/>
          <w:lang w:val="en-GB"/>
        </w:rPr>
        <w:t xml:space="preserve"> and meal periods were excluded from the analysis.</w:t>
      </w:r>
    </w:p>
    <w:p w:rsidR="00405028" w:rsidRPr="002C4367" w:rsidRDefault="00405028" w:rsidP="00405028">
      <w:pPr>
        <w:pStyle w:val="Kop2"/>
      </w:pPr>
      <w:r w:rsidRPr="002C4367">
        <w:t xml:space="preserve">Statistical Analysis </w:t>
      </w:r>
    </w:p>
    <w:p w:rsidR="004A7854" w:rsidRPr="004A7854" w:rsidRDefault="00405028" w:rsidP="004A7854">
      <w:pPr>
        <w:spacing w:line="480" w:lineRule="auto"/>
        <w:jc w:val="both"/>
        <w:rPr>
          <w:rFonts w:ascii="Times New Roman" w:hAnsi="Times New Roman"/>
          <w:lang w:val="en-US"/>
        </w:rPr>
      </w:pPr>
      <w:r w:rsidRPr="002C4367">
        <w:rPr>
          <w:rFonts w:ascii="Times New Roman" w:hAnsi="Times New Roman"/>
          <w:lang w:val="en-US"/>
        </w:rPr>
        <w:t xml:space="preserve">Descriptive statistics are presented as percentage for categorical data, mean with standard deviation (SD) or median </w:t>
      </w:r>
      <w:r>
        <w:rPr>
          <w:rFonts w:ascii="Times New Roman" w:hAnsi="Times New Roman"/>
          <w:lang w:val="en-US"/>
        </w:rPr>
        <w:t xml:space="preserve">with </w:t>
      </w:r>
      <w:r w:rsidRPr="002C4367">
        <w:rPr>
          <w:rFonts w:ascii="Times New Roman" w:hAnsi="Times New Roman"/>
          <w:lang w:val="en-US"/>
        </w:rPr>
        <w:t xml:space="preserve">p25 – p75 for continuous variables. </w:t>
      </w:r>
      <w:r>
        <w:rPr>
          <w:rFonts w:ascii="Times New Roman" w:hAnsi="Times New Roman"/>
          <w:lang w:val="en-US"/>
        </w:rPr>
        <w:t xml:space="preserve">Friedman test and Wilcoxon signed rank test was used for comparison between sleep positions and acid exposure time. </w:t>
      </w:r>
      <w:r w:rsidR="00B67CAD" w:rsidRPr="00B67CAD">
        <w:rPr>
          <w:rFonts w:ascii="Times New Roman" w:hAnsi="Times New Roman"/>
          <w:lang w:val="en-US"/>
        </w:rPr>
        <w:t>To analyze the relationship between acid clearance time and sleep positions, we were interested in the median acid clearance time/ per reflux episode/per body position</w:t>
      </w:r>
      <w:r w:rsidR="00B67CAD">
        <w:rPr>
          <w:rFonts w:ascii="Times New Roman" w:hAnsi="Times New Roman"/>
          <w:lang w:val="en-US"/>
        </w:rPr>
        <w:t xml:space="preserve"> (unrelated data). Therefore, the </w:t>
      </w:r>
      <w:r>
        <w:rPr>
          <w:rFonts w:ascii="Times New Roman" w:hAnsi="Times New Roman"/>
          <w:lang w:val="en-US"/>
        </w:rPr>
        <w:t>Kruskal-Wallis and Dunn’s test was used for comparison between sleep positions and acid clearance time. Bonferroni correction was not applied. A p</w:t>
      </w:r>
      <w:r w:rsidRPr="002C4367">
        <w:rPr>
          <w:rFonts w:ascii="Times New Roman" w:hAnsi="Times New Roman"/>
          <w:lang w:val="en-US"/>
        </w:rPr>
        <w:t xml:space="preserve"> value &lt; 0.0</w:t>
      </w:r>
      <w:r>
        <w:rPr>
          <w:rFonts w:ascii="Times New Roman" w:hAnsi="Times New Roman"/>
          <w:lang w:val="en-US"/>
        </w:rPr>
        <w:t>5 was considered</w:t>
      </w:r>
      <w:r w:rsidRPr="002C4367">
        <w:rPr>
          <w:rFonts w:ascii="Times New Roman" w:hAnsi="Times New Roman"/>
          <w:lang w:val="en-US"/>
        </w:rPr>
        <w:t xml:space="preserve"> statistically significant. SPSS statistics (version 24; SPSS, Chicago, Illinois, USA) was used for statistical analysis.</w:t>
      </w:r>
    </w:p>
    <w:p w:rsidR="004A7854" w:rsidRPr="003A66BF" w:rsidRDefault="004A7854" w:rsidP="003A66BF">
      <w:pPr>
        <w:spacing w:line="480" w:lineRule="auto"/>
        <w:rPr>
          <w:rFonts w:ascii="Times New Roman" w:hAnsi="Times New Roman"/>
          <w:b/>
          <w:lang w:val="en-US"/>
        </w:rPr>
      </w:pPr>
      <w:r w:rsidRPr="003A66BF">
        <w:rPr>
          <w:rFonts w:ascii="Times New Roman" w:hAnsi="Times New Roman"/>
          <w:b/>
          <w:lang w:val="en-US"/>
        </w:rPr>
        <w:t>References</w:t>
      </w:r>
    </w:p>
    <w:p w:rsidR="004A7854" w:rsidRPr="003A66BF" w:rsidRDefault="004A7854" w:rsidP="003A66BF">
      <w:pPr>
        <w:pStyle w:val="EndNoteBibliography"/>
        <w:spacing w:after="0" w:line="480" w:lineRule="auto"/>
        <w:rPr>
          <w:rFonts w:ascii="Times New Roman" w:hAnsi="Times New Roman" w:cs="Times New Roman"/>
        </w:rPr>
      </w:pPr>
      <w:r w:rsidRPr="003A66BF">
        <w:rPr>
          <w:rFonts w:ascii="Times New Roman" w:hAnsi="Times New Roman" w:cs="Times New Roman"/>
        </w:rPr>
        <w:fldChar w:fldCharType="begin"/>
      </w:r>
      <w:r w:rsidRPr="003A66BF">
        <w:rPr>
          <w:rFonts w:ascii="Times New Roman" w:hAnsi="Times New Roman" w:cs="Times New Roman"/>
        </w:rPr>
        <w:instrText xml:space="preserve"> ADDIN EN.REFLIST </w:instrText>
      </w:r>
      <w:r w:rsidRPr="003A66BF">
        <w:rPr>
          <w:rFonts w:ascii="Times New Roman" w:hAnsi="Times New Roman" w:cs="Times New Roman"/>
        </w:rPr>
        <w:fldChar w:fldCharType="separate"/>
      </w:r>
      <w:r w:rsidRPr="003A66BF">
        <w:rPr>
          <w:rFonts w:ascii="Times New Roman" w:hAnsi="Times New Roman" w:cs="Times New Roman"/>
        </w:rPr>
        <w:t>1.</w:t>
      </w:r>
      <w:r w:rsidRPr="003A66BF">
        <w:rPr>
          <w:rFonts w:ascii="Times New Roman" w:hAnsi="Times New Roman" w:cs="Times New Roman"/>
        </w:rPr>
        <w:tab/>
        <w:t>Trudgill NJ, Sifrim D, Sweis R, Fullard M, Basu K, McCord M, et al. British Society of Gastroenterology guidelines for oesophageal manometry and oesophageal reflux monitoring. Gut. 2019;68(10):1731-50.</w:t>
      </w:r>
    </w:p>
    <w:p w:rsidR="004A7854" w:rsidRPr="003A66BF" w:rsidRDefault="004A7854" w:rsidP="003A66BF">
      <w:pPr>
        <w:pStyle w:val="EndNoteBibliography"/>
        <w:spacing w:after="0" w:line="480" w:lineRule="auto"/>
        <w:rPr>
          <w:rFonts w:ascii="Times New Roman" w:hAnsi="Times New Roman" w:cs="Times New Roman"/>
        </w:rPr>
      </w:pPr>
      <w:r w:rsidRPr="003A66BF">
        <w:rPr>
          <w:rFonts w:ascii="Times New Roman" w:hAnsi="Times New Roman" w:cs="Times New Roman"/>
        </w:rPr>
        <w:t>2.</w:t>
      </w:r>
      <w:r w:rsidRPr="003A66BF">
        <w:rPr>
          <w:rFonts w:ascii="Times New Roman" w:hAnsi="Times New Roman" w:cs="Times New Roman"/>
        </w:rPr>
        <w:tab/>
        <w:t>Kahrilas PJ, Bredenoord AJ, Fox M, Gyawali CP, Roman S, Smout AJ, et al. The Chicago Classification of esophageal motility disorders, v3.0. Neurogastroenterol Motil. 2015;27(2):160-74.</w:t>
      </w:r>
    </w:p>
    <w:p w:rsidR="004A7854" w:rsidRPr="003A66BF" w:rsidRDefault="004A7854" w:rsidP="003A66BF">
      <w:pPr>
        <w:pStyle w:val="EndNoteBibliography"/>
        <w:spacing w:line="480" w:lineRule="auto"/>
        <w:rPr>
          <w:rFonts w:ascii="Times New Roman" w:hAnsi="Times New Roman" w:cs="Times New Roman"/>
        </w:rPr>
      </w:pPr>
      <w:r w:rsidRPr="003A66BF">
        <w:rPr>
          <w:rFonts w:ascii="Times New Roman" w:hAnsi="Times New Roman" w:cs="Times New Roman"/>
        </w:rPr>
        <w:t>3.</w:t>
      </w:r>
      <w:r w:rsidRPr="003A66BF">
        <w:rPr>
          <w:rFonts w:ascii="Times New Roman" w:hAnsi="Times New Roman" w:cs="Times New Roman"/>
        </w:rPr>
        <w:tab/>
        <w:t>Sifrim D, Castell D, Dent J, Kahrilas PJ. Gastro-oesophageal reflux monitoring: review and consensus report on detection and definitions of acid, non-acid, and gas reflux. Gut. 2004;53(7):1024-31.</w:t>
      </w:r>
    </w:p>
    <w:p w:rsidR="006C5174" w:rsidRPr="00405028" w:rsidRDefault="004A7854" w:rsidP="003A66BF">
      <w:pPr>
        <w:spacing w:line="480" w:lineRule="auto"/>
        <w:rPr>
          <w:lang w:val="en-US"/>
        </w:rPr>
      </w:pPr>
      <w:r w:rsidRPr="003A66BF">
        <w:rPr>
          <w:rFonts w:ascii="Times New Roman" w:hAnsi="Times New Roman"/>
          <w:lang w:val="en-US"/>
        </w:rPr>
        <w:fldChar w:fldCharType="end"/>
      </w:r>
    </w:p>
    <w:sectPr w:rsidR="006C5174" w:rsidRPr="004050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AD" w:rsidRDefault="00B67CAD" w:rsidP="00B67CAD">
      <w:pPr>
        <w:spacing w:after="0" w:line="240" w:lineRule="auto"/>
      </w:pPr>
      <w:r>
        <w:separator/>
      </w:r>
    </w:p>
  </w:endnote>
  <w:endnote w:type="continuationSeparator" w:id="0">
    <w:p w:rsidR="00B67CAD" w:rsidRDefault="00B67CAD" w:rsidP="00B6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AD" w:rsidRDefault="00B67CAD" w:rsidP="00B67CAD">
      <w:pPr>
        <w:spacing w:after="0" w:line="240" w:lineRule="auto"/>
      </w:pPr>
      <w:r>
        <w:separator/>
      </w:r>
    </w:p>
  </w:footnote>
  <w:footnote w:type="continuationSeparator" w:id="0">
    <w:p w:rsidR="00B67CAD" w:rsidRDefault="00B67CAD" w:rsidP="00B67C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05028"/>
    <w:rsid w:val="003A66BF"/>
    <w:rsid w:val="00405028"/>
    <w:rsid w:val="004A1FAD"/>
    <w:rsid w:val="004A7854"/>
    <w:rsid w:val="00506EB8"/>
    <w:rsid w:val="006C5174"/>
    <w:rsid w:val="007B44EE"/>
    <w:rsid w:val="007C46E7"/>
    <w:rsid w:val="00B1520C"/>
    <w:rsid w:val="00B67CAD"/>
    <w:rsid w:val="00C63470"/>
    <w:rsid w:val="00D1638F"/>
    <w:rsid w:val="00FD361A"/>
    <w:rsid w:val="00FE4D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4B2F"/>
  <w15:chartTrackingRefBased/>
  <w15:docId w15:val="{3DCC6F33-F0E2-44FB-A170-C2E42D76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5028"/>
    <w:pPr>
      <w:spacing w:after="200" w:line="276" w:lineRule="auto"/>
    </w:pPr>
    <w:rPr>
      <w:rFonts w:ascii="Calibri" w:eastAsia="Batang" w:hAnsi="Calibri" w:cs="Times New Roman"/>
    </w:rPr>
  </w:style>
  <w:style w:type="paragraph" w:styleId="Kop1">
    <w:name w:val="heading 1"/>
    <w:basedOn w:val="Titel"/>
    <w:next w:val="Standaard"/>
    <w:link w:val="Kop1Char"/>
    <w:uiPriority w:val="9"/>
    <w:qFormat/>
    <w:rsid w:val="00405028"/>
    <w:pPr>
      <w:outlineLvl w:val="0"/>
    </w:pPr>
  </w:style>
  <w:style w:type="paragraph" w:styleId="Kop2">
    <w:name w:val="heading 2"/>
    <w:basedOn w:val="Kop1"/>
    <w:next w:val="Standaard"/>
    <w:link w:val="Kop2Char"/>
    <w:uiPriority w:val="9"/>
    <w:unhideWhenUsed/>
    <w:qFormat/>
    <w:rsid w:val="00405028"/>
    <w:pPr>
      <w:outlineLvl w:val="1"/>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506EB8"/>
    <w:pPr>
      <w:spacing w:after="0" w:line="480" w:lineRule="auto"/>
    </w:pPr>
    <w:rPr>
      <w:rFonts w:ascii="Times New Roman" w:hAnsi="Times New Roman"/>
      <w:b/>
      <w:sz w:val="32"/>
      <w:lang w:val="en-US"/>
    </w:rPr>
  </w:style>
  <w:style w:type="character" w:customStyle="1" w:styleId="TitelChar">
    <w:name w:val="Titel Char"/>
    <w:basedOn w:val="Standaardalinea-lettertype"/>
    <w:link w:val="Titel"/>
    <w:uiPriority w:val="10"/>
    <w:rsid w:val="00506EB8"/>
    <w:rPr>
      <w:rFonts w:ascii="Times New Roman" w:eastAsia="Batang" w:hAnsi="Times New Roman" w:cs="Times New Roman"/>
      <w:b/>
      <w:sz w:val="32"/>
      <w:lang w:val="en-US"/>
    </w:rPr>
  </w:style>
  <w:style w:type="paragraph" w:styleId="Ondertitel">
    <w:name w:val="Subtitle"/>
    <w:basedOn w:val="Standaard"/>
    <w:next w:val="Standaard"/>
    <w:link w:val="OndertitelChar"/>
    <w:uiPriority w:val="11"/>
    <w:qFormat/>
    <w:rsid w:val="00506EB8"/>
    <w:pPr>
      <w:numPr>
        <w:ilvl w:val="1"/>
      </w:numPr>
    </w:pPr>
    <w:rPr>
      <w:rFonts w:ascii="Trebuchet MS" w:eastAsiaTheme="minorEastAsia" w:hAnsi="Trebuchet MS" w:cstheme="minorBidi"/>
      <w:spacing w:val="15"/>
      <w:sz w:val="28"/>
    </w:rPr>
  </w:style>
  <w:style w:type="character" w:customStyle="1" w:styleId="OndertitelChar">
    <w:name w:val="Ondertitel Char"/>
    <w:basedOn w:val="Standaardalinea-lettertype"/>
    <w:link w:val="Ondertitel"/>
    <w:uiPriority w:val="11"/>
    <w:rsid w:val="00506EB8"/>
    <w:rPr>
      <w:rFonts w:ascii="Trebuchet MS" w:eastAsiaTheme="minorEastAsia" w:hAnsi="Trebuchet MS"/>
      <w:spacing w:val="15"/>
      <w:sz w:val="28"/>
    </w:rPr>
  </w:style>
  <w:style w:type="character" w:styleId="Subtielebenadrukking">
    <w:name w:val="Subtle Emphasis"/>
    <w:basedOn w:val="Standaardalinea-lettertype"/>
    <w:uiPriority w:val="19"/>
    <w:qFormat/>
    <w:rsid w:val="00FD361A"/>
    <w:rPr>
      <w:rFonts w:ascii="Verdana" w:hAnsi="Verdana"/>
      <w:i/>
      <w:iCs/>
      <w:color w:val="auto"/>
    </w:rPr>
  </w:style>
  <w:style w:type="character" w:customStyle="1" w:styleId="Kop1Char">
    <w:name w:val="Kop 1 Char"/>
    <w:basedOn w:val="Standaardalinea-lettertype"/>
    <w:link w:val="Kop1"/>
    <w:uiPriority w:val="9"/>
    <w:rsid w:val="00405028"/>
    <w:rPr>
      <w:rFonts w:ascii="Times New Roman" w:eastAsia="Batang" w:hAnsi="Times New Roman" w:cs="Times New Roman"/>
      <w:b/>
      <w:sz w:val="32"/>
      <w:lang w:val="en-US"/>
    </w:rPr>
  </w:style>
  <w:style w:type="character" w:customStyle="1" w:styleId="Kop2Char">
    <w:name w:val="Kop 2 Char"/>
    <w:basedOn w:val="Standaardalinea-lettertype"/>
    <w:link w:val="Kop2"/>
    <w:uiPriority w:val="9"/>
    <w:rsid w:val="00405028"/>
    <w:rPr>
      <w:rFonts w:ascii="Times New Roman" w:eastAsia="Batang" w:hAnsi="Times New Roman" w:cs="Times New Roman"/>
      <w:b/>
      <w:sz w:val="24"/>
      <w:lang w:val="en-US"/>
    </w:rPr>
  </w:style>
  <w:style w:type="table" w:styleId="Tabelraster">
    <w:name w:val="Table Grid"/>
    <w:basedOn w:val="Standaardtabel"/>
    <w:uiPriority w:val="39"/>
    <w:rsid w:val="00B6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67CA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67CAD"/>
    <w:rPr>
      <w:rFonts w:ascii="Calibri" w:eastAsia="Batang" w:hAnsi="Calibri" w:cs="Times New Roman"/>
    </w:rPr>
  </w:style>
  <w:style w:type="paragraph" w:styleId="Voettekst">
    <w:name w:val="footer"/>
    <w:basedOn w:val="Standaard"/>
    <w:link w:val="VoettekstChar"/>
    <w:uiPriority w:val="99"/>
    <w:unhideWhenUsed/>
    <w:rsid w:val="00B67CA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67CAD"/>
    <w:rPr>
      <w:rFonts w:ascii="Calibri" w:eastAsia="Batang" w:hAnsi="Calibri" w:cs="Times New Roman"/>
    </w:rPr>
  </w:style>
  <w:style w:type="paragraph" w:customStyle="1" w:styleId="EndNoteBibliographyTitle">
    <w:name w:val="EndNote Bibliography Title"/>
    <w:basedOn w:val="Standaard"/>
    <w:link w:val="EndNoteBibliographyTitleChar"/>
    <w:rsid w:val="004A7854"/>
    <w:pPr>
      <w:spacing w:after="0"/>
      <w:jc w:val="center"/>
    </w:pPr>
    <w:rPr>
      <w:rFonts w:cs="Calibri"/>
      <w:noProof/>
      <w:lang w:val="en-US"/>
    </w:rPr>
  </w:style>
  <w:style w:type="character" w:customStyle="1" w:styleId="EndNoteBibliographyTitleChar">
    <w:name w:val="EndNote Bibliography Title Char"/>
    <w:basedOn w:val="Standaardalinea-lettertype"/>
    <w:link w:val="EndNoteBibliographyTitle"/>
    <w:rsid w:val="004A7854"/>
    <w:rPr>
      <w:rFonts w:ascii="Calibri" w:eastAsia="Batang" w:hAnsi="Calibri" w:cs="Calibri"/>
      <w:noProof/>
      <w:lang w:val="en-US"/>
    </w:rPr>
  </w:style>
  <w:style w:type="paragraph" w:customStyle="1" w:styleId="EndNoteBibliography">
    <w:name w:val="EndNote Bibliography"/>
    <w:basedOn w:val="Standaard"/>
    <w:link w:val="EndNoteBibliographyChar"/>
    <w:rsid w:val="004A7854"/>
    <w:pPr>
      <w:spacing w:line="240" w:lineRule="auto"/>
    </w:pPr>
    <w:rPr>
      <w:rFonts w:cs="Calibri"/>
      <w:noProof/>
      <w:lang w:val="en-US"/>
    </w:rPr>
  </w:style>
  <w:style w:type="character" w:customStyle="1" w:styleId="EndNoteBibliographyChar">
    <w:name w:val="EndNote Bibliography Char"/>
    <w:basedOn w:val="Standaardalinea-lettertype"/>
    <w:link w:val="EndNoteBibliography"/>
    <w:rsid w:val="004A7854"/>
    <w:rPr>
      <w:rFonts w:ascii="Calibri" w:eastAsia="Batang"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1272</Words>
  <Characters>7001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Schuitenmaker, J.M. (Jeroen)</dc:creator>
  <cp:keywords/>
  <dc:description/>
  <cp:lastModifiedBy>Schuitenmaker, J.M. (Jeroen)</cp:lastModifiedBy>
  <cp:revision>6</cp:revision>
  <dcterms:created xsi:type="dcterms:W3CDTF">2021-09-27T18:06:00Z</dcterms:created>
  <dcterms:modified xsi:type="dcterms:W3CDTF">2021-11-09T08:55:00Z</dcterms:modified>
</cp:coreProperties>
</file>