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7EA4" w14:textId="48CBA93C" w:rsidR="00162919" w:rsidRPr="00F16271" w:rsidRDefault="00162919" w:rsidP="00162919">
      <w:pPr>
        <w:pStyle w:val="Overskrift1"/>
        <w:spacing w:line="276" w:lineRule="auto"/>
        <w:rPr>
          <w:b w:val="0"/>
          <w:sz w:val="28"/>
        </w:rPr>
      </w:pPr>
      <w:r w:rsidRPr="00F16271">
        <w:rPr>
          <w:sz w:val="28"/>
        </w:rPr>
        <w:t>Supplemental Digital Content 1</w:t>
      </w:r>
      <w:r w:rsidRPr="00F16271">
        <w:rPr>
          <w:b w:val="0"/>
          <w:sz w:val="28"/>
        </w:rPr>
        <w:t xml:space="preserve"> </w:t>
      </w:r>
    </w:p>
    <w:p w14:paraId="25C76169" w14:textId="48283598" w:rsidR="005931F7" w:rsidRPr="00F16271" w:rsidRDefault="00550972" w:rsidP="00162919">
      <w:pPr>
        <w:pStyle w:val="Overskrift1"/>
        <w:spacing w:before="0" w:beforeAutospacing="0" w:line="276" w:lineRule="auto"/>
        <w:rPr>
          <w:sz w:val="28"/>
        </w:rPr>
      </w:pPr>
      <w:r>
        <w:rPr>
          <w:b w:val="0"/>
          <w:sz w:val="28"/>
        </w:rPr>
        <w:t>A d</w:t>
      </w:r>
      <w:r w:rsidRPr="00F16271">
        <w:rPr>
          <w:b w:val="0"/>
          <w:sz w:val="28"/>
        </w:rPr>
        <w:t xml:space="preserve">etailed </w:t>
      </w:r>
      <w:r w:rsidR="00162919" w:rsidRPr="00F16271">
        <w:rPr>
          <w:b w:val="0"/>
          <w:sz w:val="28"/>
        </w:rPr>
        <w:t>description of patients and methods</w:t>
      </w:r>
    </w:p>
    <w:p w14:paraId="0070A2B4" w14:textId="77777777" w:rsidR="00CB4F33" w:rsidRDefault="00CB4F33" w:rsidP="00F16271">
      <w:pPr>
        <w:pStyle w:val="NormalWeb"/>
        <w:spacing w:before="0" w:beforeAutospacing="0" w:after="0" w:afterAutospacing="0" w:line="480" w:lineRule="auto"/>
        <w:rPr>
          <w:lang w:val="en-US"/>
        </w:rPr>
      </w:pPr>
    </w:p>
    <w:p w14:paraId="4A6F43D8" w14:textId="53376783" w:rsidR="00ED550D" w:rsidRDefault="00CB4F33" w:rsidP="00F16271">
      <w:pPr>
        <w:spacing w:line="480" w:lineRule="auto"/>
        <w:rPr>
          <w:rFonts w:ascii="Arial" w:hAnsi="Arial" w:cs="Arial"/>
          <w:lang w:val="en-US"/>
        </w:rPr>
      </w:pPr>
      <w:r>
        <w:rPr>
          <w:rFonts w:ascii="Arial" w:hAnsi="Arial" w:cs="Arial"/>
          <w:lang w:val="en-US"/>
        </w:rPr>
        <w:t>Our study was a historical cohort study of patients with ALD who participated in one of three Danish National Health Su</w:t>
      </w:r>
      <w:bookmarkStart w:id="0" w:name="_GoBack"/>
      <w:bookmarkEnd w:id="0"/>
      <w:r>
        <w:rPr>
          <w:rFonts w:ascii="Arial" w:hAnsi="Arial" w:cs="Arial"/>
          <w:lang w:val="en-US"/>
        </w:rPr>
        <w:t>rveys conducted in 2010, 2013, and 2017.</w:t>
      </w:r>
      <w:r>
        <w:rPr>
          <w:rFonts w:ascii="Arial" w:hAnsi="Arial" w:cs="Arial"/>
          <w:lang w:val="en-US"/>
        </w:rPr>
        <w:fldChar w:fldCharType="begin" w:fldLock="1"/>
      </w:r>
      <w:r w:rsidR="00B6591D">
        <w:rPr>
          <w:rFonts w:ascii="Arial" w:hAnsi="Arial" w:cs="Arial"/>
          <w:lang w:val="en-US"/>
        </w:rPr>
        <w:instrText>ADDIN CSL_CITATION {"citationItems":[{"id":"ITEM-1","itemData":{"DOI":"10.1177/1403494820966534","author":[{"dropping-particle":"","family":"Christensen","given":"Anne Illemann","non-dropping-particle":"","parse-names":false,"suffix":""},{"dropping-particle":"","family":"Lau","given":"Cathrine Juel","non-dropping-particle":"","parse-names":false,"suffix":""},{"dropping-particle":"","family":"Kristensen","given":"Peter Lund","non-dropping-particle":"","parse-names":false,"suffix":""},{"dropping-particle":"","family":"Johnsen","given":"Sisse Buch","non-dropping-particle":"","parse-names":false,"suffix":""},{"dropping-particle":"","family":"Wingstrand","given":"Anne","non-dropping-particle":"","parse-names":false,"suffix":""},{"dropping-particle":"","family":"Friis","given":"Karina","non-dropping-particle":"","parse-names":false,"suffix":""},{"dropping-particle":"","family":"Davidsen","given":"Michael","non-dropping-particle":"","parse-names":false,"suffix":""},{"dropping-particle":"","family":"Andreasen","given":"Anne Helms","non-dropping-particle":"","parse-names":false,"suffix":""}],"id":"ITEM-1","issue":"July","issued":{"date-parts":[["2020"]]},"page":"1-9","title":"The Danish National Health Survey : Study design , response rate and respondent characteristics in 2010 , 2013 and 2017","type":"article-journal"},"uris":["http://www.mendeley.com/documents/?uuid=e35764d2-b580-4167-8a5e-289818fc42e2"]}],"mendeley":{"formattedCitation":"&lt;sup&gt;1&lt;/sup&gt;","plainTextFormattedCitation":"1","previouslyFormattedCitation":"&lt;sup&gt;1&lt;/sup&gt;"},"properties":{"noteIndex":0},"schema":"https://github.com/citation-style-language/schema/raw/master/csl-citation.json"}</w:instrText>
      </w:r>
      <w:r>
        <w:rPr>
          <w:rFonts w:ascii="Arial" w:hAnsi="Arial" w:cs="Arial"/>
          <w:lang w:val="en-US"/>
        </w:rPr>
        <w:fldChar w:fldCharType="separate"/>
      </w:r>
      <w:r w:rsidR="006B3D2F" w:rsidRPr="006B3D2F">
        <w:rPr>
          <w:rFonts w:ascii="Arial" w:hAnsi="Arial" w:cs="Arial"/>
          <w:noProof/>
          <w:vertAlign w:val="superscript"/>
          <w:lang w:val="en-US"/>
        </w:rPr>
        <w:t>1</w:t>
      </w:r>
      <w:r>
        <w:rPr>
          <w:rFonts w:ascii="Arial" w:hAnsi="Arial" w:cs="Arial"/>
          <w:lang w:val="en-US"/>
        </w:rPr>
        <w:fldChar w:fldCharType="end"/>
      </w:r>
      <w:r>
        <w:rPr>
          <w:rFonts w:ascii="Arial" w:hAnsi="Arial" w:cs="Arial"/>
          <w:lang w:val="en-US"/>
        </w:rPr>
        <w:t xml:space="preserve">  W</w:t>
      </w:r>
      <w:r w:rsidR="00EE3369" w:rsidRPr="00F16271">
        <w:rPr>
          <w:rFonts w:ascii="Arial" w:hAnsi="Arial" w:cs="Arial"/>
          <w:lang w:val="en-US"/>
        </w:rPr>
        <w:t xml:space="preserve">e used the unique identification number assigned to </w:t>
      </w:r>
      <w:r w:rsidR="00847948" w:rsidRPr="00F16271">
        <w:rPr>
          <w:rFonts w:ascii="Arial" w:hAnsi="Arial" w:cs="Arial"/>
          <w:lang w:val="en-US"/>
        </w:rPr>
        <w:t>all individuals living in Denmark</w:t>
      </w:r>
      <w:r w:rsidR="00005AA0">
        <w:rPr>
          <w:rFonts w:ascii="Arial" w:hAnsi="Arial" w:cs="Arial"/>
          <w:lang w:val="en-US"/>
        </w:rPr>
        <w:t xml:space="preserve"> and linked</w:t>
      </w:r>
      <w:r w:rsidR="00EE3369" w:rsidRPr="00F16271">
        <w:rPr>
          <w:rFonts w:ascii="Arial" w:hAnsi="Arial" w:cs="Arial"/>
          <w:lang w:val="en-US"/>
        </w:rPr>
        <w:t xml:space="preserve"> information from </w:t>
      </w:r>
      <w:r w:rsidR="000A3D32" w:rsidRPr="00F16271">
        <w:rPr>
          <w:rFonts w:ascii="Arial" w:hAnsi="Arial" w:cs="Arial"/>
          <w:lang w:val="en-US"/>
        </w:rPr>
        <w:t>DNHS with the national regist</w:t>
      </w:r>
      <w:r w:rsidR="0001375F">
        <w:rPr>
          <w:rFonts w:ascii="Arial" w:hAnsi="Arial" w:cs="Arial"/>
          <w:lang w:val="en-US"/>
        </w:rPr>
        <w:t>rie</w:t>
      </w:r>
      <w:r w:rsidR="000A3D32" w:rsidRPr="00F16271">
        <w:rPr>
          <w:rFonts w:ascii="Arial" w:hAnsi="Arial" w:cs="Arial"/>
          <w:lang w:val="en-US"/>
        </w:rPr>
        <w:t xml:space="preserve">s to obtain </w:t>
      </w:r>
      <w:r w:rsidR="00797259" w:rsidRPr="00F16271">
        <w:rPr>
          <w:rFonts w:ascii="Arial" w:hAnsi="Arial" w:cs="Arial"/>
          <w:lang w:val="en-US"/>
        </w:rPr>
        <w:t>data on</w:t>
      </w:r>
      <w:r w:rsidR="00E47150">
        <w:rPr>
          <w:rFonts w:ascii="Arial" w:hAnsi="Arial" w:cs="Arial"/>
          <w:lang w:val="en-US"/>
        </w:rPr>
        <w:t xml:space="preserve"> ALD,</w:t>
      </w:r>
      <w:r w:rsidR="00797259" w:rsidRPr="00F16271">
        <w:rPr>
          <w:rFonts w:ascii="Arial" w:hAnsi="Arial" w:cs="Arial"/>
          <w:lang w:val="en-US"/>
        </w:rPr>
        <w:t xml:space="preserve"> </w:t>
      </w:r>
      <w:r w:rsidR="00EE3369" w:rsidRPr="00F16271">
        <w:rPr>
          <w:rFonts w:ascii="Arial" w:hAnsi="Arial" w:cs="Arial"/>
          <w:lang w:val="en-US"/>
        </w:rPr>
        <w:t>hospital care, alcohol</w:t>
      </w:r>
      <w:r w:rsidR="00DC423A" w:rsidRPr="00F16271">
        <w:rPr>
          <w:rFonts w:ascii="Arial" w:hAnsi="Arial" w:cs="Arial"/>
          <w:lang w:val="en-US"/>
        </w:rPr>
        <w:t xml:space="preserve"> </w:t>
      </w:r>
      <w:r w:rsidR="00831552" w:rsidRPr="00F16271">
        <w:rPr>
          <w:rFonts w:ascii="Arial" w:hAnsi="Arial" w:cs="Arial"/>
          <w:lang w:val="en-US"/>
        </w:rPr>
        <w:t>misuse</w:t>
      </w:r>
      <w:r w:rsidR="00EE3369" w:rsidRPr="00F16271">
        <w:rPr>
          <w:rFonts w:ascii="Arial" w:hAnsi="Arial" w:cs="Arial"/>
          <w:lang w:val="en-US"/>
        </w:rPr>
        <w:t xml:space="preserve"> treatment, socioeconomic status</w:t>
      </w:r>
      <w:r w:rsidR="000B42C9" w:rsidRPr="00F16271">
        <w:rPr>
          <w:rFonts w:ascii="Arial" w:hAnsi="Arial" w:cs="Arial"/>
          <w:lang w:val="en-US"/>
        </w:rPr>
        <w:t>,</w:t>
      </w:r>
      <w:r w:rsidR="00EE3369" w:rsidRPr="00F16271">
        <w:rPr>
          <w:rFonts w:ascii="Arial" w:hAnsi="Arial" w:cs="Arial"/>
          <w:lang w:val="en-US"/>
        </w:rPr>
        <w:t xml:space="preserve"> and vital statistics</w:t>
      </w:r>
      <w:r w:rsidR="00DC5DD4">
        <w:rPr>
          <w:rFonts w:ascii="Arial" w:hAnsi="Arial" w:cs="Arial"/>
          <w:lang w:val="en-US"/>
        </w:rPr>
        <w:t>.</w:t>
      </w:r>
      <w:r w:rsidR="005A7E59" w:rsidRPr="00F16271">
        <w:rPr>
          <w:rFonts w:ascii="Arial" w:hAnsi="Arial" w:cs="Arial"/>
        </w:rPr>
        <w:fldChar w:fldCharType="begin" w:fldLock="1"/>
      </w:r>
      <w:r w:rsidR="00B6591D">
        <w:rPr>
          <w:rFonts w:ascii="Arial" w:hAnsi="Arial" w:cs="Arial"/>
          <w:lang w:val="en-US"/>
        </w:rPr>
        <w:instrText>ADDIN CSL_CITATION {"citationItems":[{"id":"ITEM-1","itemData":{"DOI":"10.2147/CLEP.S91125","ISBN":"1179-1349 (Print)\\r1179-1349","ISSN":"11791349","PMID":"26604824","abstract":"BACKGROUND: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exists.\\n\\nOBJECTIVES: To review the content, data quality, and research potential of the DNPR.\\n\\nMETHODS: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reviewed.\\n\\nRESULTS: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population.\\n\\nCONCLUSION: The DNPR is a valuable tool for epidemiological research. However, both its strengths and limitations must be considered when interpreting research results, and continuous validation of its clinical data is essential.","author":[{"dropping-particle":"","family":"Schmidt","given":"Morten","non-dropping-particle":"","parse-names":false,"suffix":""},{"dropping-particle":"","family":"Schmidt","given":"Sigrun Alba Johannesdottir","non-dropping-particle":"","parse-names":false,"suffix":""},{"dropping-particle":"","family":"Sandegaard","given":"Jakob Lynge","non-dropping-particle":"","parse-names":false,"suffix":""},{"dropping-particle":"","family":"Ehrenstein","given":"Vera","non-dropping-particle":"","parse-names":false,"suffix":""},{"dropping-particle":"","family":"Pedersen","given":"Lars","non-dropping-particle":"","parse-names":false,"suffix":""},{"dropping-particle":"","family":"Sørensen","given":"Henrik Toft","non-dropping-particle":"","parse-names":false,"suffix":""}],"container-title":"Clinical Epidemiology","id":"ITEM-1","issued":{"date-parts":[["2015"]]},"page":"449-490","title":"The Danish National Patient Registry: A review of content, data quality, and research potential","type":"article-journal","volume":"7"},"uris":["http://www.mendeley.com/documents/?uuid=b097ac6a-4fd3-4545-b407-8203918be1f9"]}],"mendeley":{"formattedCitation":"&lt;sup&gt;2&lt;/sup&gt;","plainTextFormattedCitation":"2","previouslyFormattedCitation":"&lt;sup&gt;2&lt;/sup&gt;"},"properties":{"noteIndex":0},"schema":"https://github.com/citation-style-language/schema/raw/master/csl-citation.json"}</w:instrText>
      </w:r>
      <w:r w:rsidR="005A7E59" w:rsidRPr="00F16271">
        <w:rPr>
          <w:rFonts w:ascii="Arial" w:hAnsi="Arial" w:cs="Arial"/>
        </w:rPr>
        <w:fldChar w:fldCharType="separate"/>
      </w:r>
      <w:r w:rsidR="006B3D2F" w:rsidRPr="006B3D2F">
        <w:rPr>
          <w:rFonts w:ascii="Arial" w:hAnsi="Arial" w:cs="Arial"/>
          <w:noProof/>
          <w:vertAlign w:val="superscript"/>
          <w:lang w:val="en-US"/>
        </w:rPr>
        <w:t>2</w:t>
      </w:r>
      <w:r w:rsidR="005A7E59" w:rsidRPr="00F16271">
        <w:rPr>
          <w:rFonts w:ascii="Arial" w:hAnsi="Arial" w:cs="Arial"/>
        </w:rPr>
        <w:fldChar w:fldCharType="end"/>
      </w:r>
      <w:r w:rsidR="00512F25" w:rsidRPr="00042C31">
        <w:rPr>
          <w:rFonts w:ascii="Arial" w:hAnsi="Arial" w:cs="Arial"/>
          <w:lang w:val="en-US"/>
        </w:rPr>
        <w:t xml:space="preserve"> </w:t>
      </w:r>
    </w:p>
    <w:p w14:paraId="36305D6C" w14:textId="77777777" w:rsidR="00CB4F33" w:rsidRPr="005805A4" w:rsidRDefault="00CB4F33" w:rsidP="00F16271">
      <w:pPr>
        <w:spacing w:line="480" w:lineRule="auto"/>
        <w:rPr>
          <w:rFonts w:ascii="Arial" w:hAnsi="Arial" w:cs="Arial"/>
          <w:lang w:val="en-US"/>
        </w:rPr>
      </w:pPr>
    </w:p>
    <w:p w14:paraId="3E632CCD" w14:textId="4DB9E3DB" w:rsidR="00485408" w:rsidRPr="00F16271" w:rsidRDefault="00ED550D" w:rsidP="00F16271">
      <w:pPr>
        <w:pStyle w:val="Overskrift5"/>
        <w:spacing w:before="120" w:after="120"/>
        <w:rPr>
          <w:lang w:val="en-US"/>
        </w:rPr>
      </w:pPr>
      <w:r w:rsidRPr="00F16271">
        <w:rPr>
          <w:lang w:val="en-US"/>
        </w:rPr>
        <w:t>THE STUDY POPULATION</w:t>
      </w:r>
    </w:p>
    <w:p w14:paraId="3F97425B" w14:textId="77777777" w:rsidR="00DC5DD4" w:rsidRPr="00555B7E" w:rsidRDefault="00DC5DD4" w:rsidP="00F16271">
      <w:pPr>
        <w:pStyle w:val="Ingenafstand"/>
        <w:rPr>
          <w:lang w:val="en-US"/>
        </w:rPr>
      </w:pPr>
    </w:p>
    <w:p w14:paraId="1B693864" w14:textId="50AA83C1" w:rsidR="00EE3369" w:rsidRPr="00E5591E" w:rsidRDefault="00EC251B" w:rsidP="00130D32">
      <w:pPr>
        <w:pStyle w:val="Overskrift3"/>
        <w:spacing w:line="480" w:lineRule="auto"/>
      </w:pPr>
      <w:r>
        <w:t>Data sources</w:t>
      </w:r>
    </w:p>
    <w:p w14:paraId="7DBA82EB" w14:textId="64199846" w:rsidR="00485408" w:rsidRDefault="00005AA0" w:rsidP="00F16271">
      <w:pPr>
        <w:spacing w:after="0" w:line="480" w:lineRule="auto"/>
        <w:rPr>
          <w:rFonts w:ascii="Arial" w:hAnsi="Arial" w:cs="Arial"/>
          <w:lang w:val="en-US"/>
        </w:rPr>
      </w:pPr>
      <w:r>
        <w:rPr>
          <w:rFonts w:ascii="Arial" w:hAnsi="Arial" w:cs="Arial"/>
          <w:lang w:val="en-US"/>
        </w:rPr>
        <w:t xml:space="preserve">        </w:t>
      </w:r>
      <w:r w:rsidR="00DC5DD4">
        <w:rPr>
          <w:rFonts w:ascii="Arial" w:hAnsi="Arial" w:cs="Arial"/>
          <w:lang w:val="en-US"/>
        </w:rPr>
        <w:t>W</w:t>
      </w:r>
      <w:r w:rsidR="00EE3369" w:rsidRPr="00E5591E">
        <w:rPr>
          <w:rFonts w:ascii="Arial" w:hAnsi="Arial" w:cs="Arial"/>
          <w:lang w:val="en-US"/>
        </w:rPr>
        <w:t xml:space="preserve">e used data from the three </w:t>
      </w:r>
      <w:r w:rsidR="00EA4229">
        <w:rPr>
          <w:rFonts w:ascii="Arial" w:hAnsi="Arial" w:cs="Arial"/>
          <w:lang w:val="en-US"/>
        </w:rPr>
        <w:t>national</w:t>
      </w:r>
      <w:r w:rsidR="005212E5">
        <w:rPr>
          <w:rFonts w:ascii="Arial" w:hAnsi="Arial" w:cs="Arial"/>
          <w:lang w:val="en-US"/>
        </w:rPr>
        <w:t>ly</w:t>
      </w:r>
      <w:r w:rsidR="00EA4229">
        <w:rPr>
          <w:rFonts w:ascii="Arial" w:hAnsi="Arial" w:cs="Arial"/>
          <w:lang w:val="en-US"/>
        </w:rPr>
        <w:t xml:space="preserve"> representative </w:t>
      </w:r>
      <w:r w:rsidR="00EE3369" w:rsidRPr="00E5591E">
        <w:rPr>
          <w:rFonts w:ascii="Arial" w:hAnsi="Arial" w:cs="Arial"/>
          <w:lang w:val="en-US"/>
        </w:rPr>
        <w:t>Danish National Health Surveys</w:t>
      </w:r>
      <w:r w:rsidR="00CB4F33">
        <w:rPr>
          <w:rFonts w:ascii="Arial" w:hAnsi="Arial" w:cs="Arial"/>
          <w:lang w:val="en-US"/>
        </w:rPr>
        <w:t xml:space="preserve"> (DNHS)</w:t>
      </w:r>
      <w:r>
        <w:rPr>
          <w:rFonts w:ascii="Arial" w:hAnsi="Arial" w:cs="Arial"/>
          <w:lang w:val="en-US"/>
        </w:rPr>
        <w:t>.</w:t>
      </w:r>
      <w:r w:rsidR="00EE3369" w:rsidRPr="004E5FD4">
        <w:rPr>
          <w:rFonts w:ascii="Arial" w:hAnsi="Arial" w:cs="Arial"/>
          <w:i/>
          <w:lang w:val="en-US"/>
        </w:rPr>
        <w:fldChar w:fldCharType="begin" w:fldLock="1"/>
      </w:r>
      <w:r w:rsidR="00B6591D">
        <w:rPr>
          <w:rFonts w:ascii="Arial" w:hAnsi="Arial" w:cs="Arial"/>
          <w:i/>
          <w:lang w:val="en-US"/>
        </w:rPr>
        <w:instrText>ADDIN CSL_CITATION {"citationItems":[{"id":"ITEM-1","itemData":{"DOI":"10.1177/1403494820966534","author":[{"dropping-particle":"","family":"Christensen","given":"Anne Illemann","non-dropping-particle":"","parse-names":false,"suffix":""},{"dropping-particle":"","family":"Lau","given":"Cathrine Juel","non-dropping-particle":"","parse-names":false,"suffix":""},{"dropping-particle":"","family":"Kristensen","given":"Peter Lund","non-dropping-particle":"","parse-names":false,"suffix":""},{"dropping-particle":"","family":"Johnsen","given":"Sisse Buch","non-dropping-particle":"","parse-names":false,"suffix":""},{"dropping-particle":"","family":"Wingstrand","given":"Anne","non-dropping-particle":"","parse-names":false,"suffix":""},{"dropping-particle":"","family":"Friis","given":"Karina","non-dropping-particle":"","parse-names":false,"suffix":""},{"dropping-particle":"","family":"Davidsen","given":"Michael","non-dropping-particle":"","parse-names":false,"suffix":""},{"dropping-particle":"","family":"Andreasen","given":"Anne Helms","non-dropping-particle":"","parse-names":false,"suffix":""}],"id":"ITEM-1","issue":"July","issued":{"date-parts":[["2020"]]},"page":"1-9","title":"The Danish National Health Survey : Study design , response rate and respondent characteristics in 2010 , 2013 and 2017","type":"article-journal"},"uris":["http://www.mendeley.com/documents/?uuid=e35764d2-b580-4167-8a5e-289818fc42e2","http://www.mendeley.com/documents/?uuid=dcc147d2-cb4c-4fca-b348-19b628642764"]}],"mendeley":{"formattedCitation":"&lt;sup&gt;1&lt;/sup&gt;","plainTextFormattedCitation":"1","previouslyFormattedCitation":"&lt;sup&gt;1&lt;/sup&gt;"},"properties":{"noteIndex":0},"schema":"https://github.com/citation-style-language/schema/raw/master/csl-citation.json"}</w:instrText>
      </w:r>
      <w:r w:rsidR="00EE3369" w:rsidRPr="004E5FD4">
        <w:rPr>
          <w:rFonts w:ascii="Arial" w:hAnsi="Arial" w:cs="Arial"/>
          <w:i/>
          <w:lang w:val="en-US"/>
        </w:rPr>
        <w:fldChar w:fldCharType="separate"/>
      </w:r>
      <w:r w:rsidR="006B3D2F" w:rsidRPr="006B3D2F">
        <w:rPr>
          <w:rFonts w:ascii="Arial" w:hAnsi="Arial" w:cs="Arial"/>
          <w:noProof/>
          <w:vertAlign w:val="superscript"/>
          <w:lang w:val="en-US"/>
        </w:rPr>
        <w:t>1</w:t>
      </w:r>
      <w:r w:rsidR="00EE3369" w:rsidRPr="004E5FD4">
        <w:rPr>
          <w:rFonts w:ascii="Arial" w:hAnsi="Arial" w:cs="Arial"/>
          <w:i/>
          <w:lang w:val="en-US"/>
        </w:rPr>
        <w:fldChar w:fldCharType="end"/>
      </w:r>
      <w:r w:rsidR="00EE3369" w:rsidRPr="00D346B0">
        <w:rPr>
          <w:rFonts w:ascii="Arial" w:hAnsi="Arial" w:cs="Arial"/>
          <w:lang w:val="en-US"/>
        </w:rPr>
        <w:t xml:space="preserve"> </w:t>
      </w:r>
      <w:r w:rsidR="005212E5">
        <w:rPr>
          <w:rFonts w:ascii="Arial" w:hAnsi="Arial" w:cs="Arial"/>
          <w:lang w:val="en-US"/>
        </w:rPr>
        <w:t>Each survey</w:t>
      </w:r>
      <w:r w:rsidR="00847948" w:rsidRPr="00D346B0">
        <w:rPr>
          <w:rFonts w:ascii="Arial" w:hAnsi="Arial" w:cs="Arial"/>
          <w:lang w:val="en-US"/>
        </w:rPr>
        <w:t xml:space="preserve"> </w:t>
      </w:r>
      <w:r w:rsidR="00EE3369" w:rsidRPr="00D346B0">
        <w:rPr>
          <w:rFonts w:ascii="Arial" w:hAnsi="Arial" w:cs="Arial"/>
          <w:lang w:val="en-US"/>
        </w:rPr>
        <w:t>included</w:t>
      </w:r>
      <w:r w:rsidR="00610C00">
        <w:rPr>
          <w:rFonts w:ascii="Arial" w:hAnsi="Arial" w:cs="Arial"/>
          <w:lang w:val="en-US"/>
        </w:rPr>
        <w:t xml:space="preserve"> </w:t>
      </w:r>
      <w:r w:rsidR="005212E5">
        <w:rPr>
          <w:rFonts w:ascii="Arial" w:hAnsi="Arial" w:cs="Arial"/>
          <w:lang w:val="en-US"/>
        </w:rPr>
        <w:t xml:space="preserve">a random stratified </w:t>
      </w:r>
      <w:r w:rsidR="00847948">
        <w:rPr>
          <w:rFonts w:ascii="Arial" w:hAnsi="Arial" w:cs="Arial"/>
          <w:lang w:val="en-US"/>
        </w:rPr>
        <w:t>sample</w:t>
      </w:r>
      <w:r w:rsidR="00847948" w:rsidRPr="00D346B0">
        <w:rPr>
          <w:rFonts w:ascii="Arial" w:hAnsi="Arial" w:cs="Arial"/>
          <w:lang w:val="en-US"/>
        </w:rPr>
        <w:t xml:space="preserve"> </w:t>
      </w:r>
      <w:r w:rsidR="005212E5">
        <w:rPr>
          <w:rFonts w:ascii="Arial" w:hAnsi="Arial" w:cs="Arial"/>
          <w:lang w:val="en-US"/>
        </w:rPr>
        <w:t xml:space="preserve">of </w:t>
      </w:r>
      <w:r w:rsidR="00610C00">
        <w:rPr>
          <w:rFonts w:ascii="Arial" w:hAnsi="Arial" w:cs="Arial"/>
          <w:lang w:val="en-US"/>
        </w:rPr>
        <w:t xml:space="preserve">individuals </w:t>
      </w:r>
      <w:r w:rsidR="00EE3369" w:rsidRPr="00D346B0">
        <w:rPr>
          <w:rFonts w:ascii="Arial" w:hAnsi="Arial" w:cs="Arial"/>
          <w:lang w:val="en-US"/>
        </w:rPr>
        <w:t xml:space="preserve">aged 16 years </w:t>
      </w:r>
      <w:r w:rsidR="00847948">
        <w:rPr>
          <w:rFonts w:ascii="Arial" w:hAnsi="Arial" w:cs="Arial"/>
          <w:lang w:val="en-US"/>
        </w:rPr>
        <w:t xml:space="preserve">or older </w:t>
      </w:r>
      <w:r w:rsidR="00EE3369" w:rsidRPr="00D346B0">
        <w:rPr>
          <w:rFonts w:ascii="Arial" w:hAnsi="Arial" w:cs="Arial"/>
          <w:lang w:val="en-US"/>
        </w:rPr>
        <w:t xml:space="preserve">with residence in Denmark. </w:t>
      </w:r>
      <w:r w:rsidR="00EE3369" w:rsidRPr="00D346B0">
        <w:rPr>
          <w:rFonts w:ascii="Arial" w:hAnsi="Arial" w:cs="Arial"/>
          <w:lang w:val="en-GB"/>
        </w:rPr>
        <w:t>The questionnaires contained approximately 50 key questions and</w:t>
      </w:r>
      <w:r w:rsidR="000B42C9">
        <w:rPr>
          <w:rFonts w:ascii="Arial" w:hAnsi="Arial" w:cs="Arial"/>
          <w:lang w:val="en-GB"/>
        </w:rPr>
        <w:t>,</w:t>
      </w:r>
      <w:r w:rsidR="00EE3369" w:rsidRPr="00D346B0">
        <w:rPr>
          <w:rFonts w:ascii="Arial" w:hAnsi="Arial" w:cs="Arial"/>
          <w:lang w:val="en-GB"/>
        </w:rPr>
        <w:t xml:space="preserve"> within these</w:t>
      </w:r>
      <w:r w:rsidR="000B42C9">
        <w:rPr>
          <w:rFonts w:ascii="Arial" w:hAnsi="Arial" w:cs="Arial"/>
          <w:lang w:val="en-GB"/>
        </w:rPr>
        <w:t>,</w:t>
      </w:r>
      <w:r w:rsidR="00EE3369" w:rsidRPr="00D346B0">
        <w:rPr>
          <w:rFonts w:ascii="Arial" w:hAnsi="Arial" w:cs="Arial"/>
          <w:lang w:val="en-GB"/>
        </w:rPr>
        <w:t xml:space="preserve"> 11 questions regarding alcohol intake. In total, 911,349 persons received the questionnaire </w:t>
      </w:r>
      <w:r w:rsidR="00A61F60">
        <w:rPr>
          <w:rFonts w:ascii="Arial" w:hAnsi="Arial" w:cs="Arial"/>
          <w:lang w:val="en-GB"/>
        </w:rPr>
        <w:t>from</w:t>
      </w:r>
      <w:r w:rsidR="00A61F60" w:rsidRPr="00D346B0">
        <w:rPr>
          <w:rFonts w:ascii="Arial" w:hAnsi="Arial" w:cs="Arial"/>
          <w:lang w:val="en-GB"/>
        </w:rPr>
        <w:t xml:space="preserve"> </w:t>
      </w:r>
      <w:r w:rsidR="00EE3369" w:rsidRPr="00705955">
        <w:rPr>
          <w:rFonts w:ascii="Arial" w:hAnsi="Arial" w:cs="Arial"/>
          <w:lang w:val="en-GB"/>
        </w:rPr>
        <w:t>2010-2017</w:t>
      </w:r>
      <w:r w:rsidR="00EE3369" w:rsidRPr="00D346B0">
        <w:rPr>
          <w:rFonts w:ascii="Arial" w:hAnsi="Arial" w:cs="Arial"/>
          <w:lang w:val="en-US"/>
        </w:rPr>
        <w:t xml:space="preserve">. The </w:t>
      </w:r>
      <w:r w:rsidR="00EE3369" w:rsidRPr="00D346B0">
        <w:rPr>
          <w:rFonts w:ascii="Arial" w:hAnsi="Arial" w:cs="Arial"/>
          <w:lang w:val="en-GB"/>
        </w:rPr>
        <w:t>participation rate</w:t>
      </w:r>
      <w:r w:rsidR="00E5682F">
        <w:rPr>
          <w:rFonts w:ascii="Arial" w:hAnsi="Arial" w:cs="Arial"/>
          <w:lang w:val="en-GB"/>
        </w:rPr>
        <w:t>s</w:t>
      </w:r>
      <w:r w:rsidR="00EE3369" w:rsidRPr="00D346B0">
        <w:rPr>
          <w:rFonts w:ascii="Arial" w:hAnsi="Arial" w:cs="Arial"/>
          <w:lang w:val="en-GB"/>
        </w:rPr>
        <w:t xml:space="preserve"> for 2010, 2013</w:t>
      </w:r>
      <w:r w:rsidR="000B42C9">
        <w:rPr>
          <w:rFonts w:ascii="Arial" w:hAnsi="Arial" w:cs="Arial"/>
          <w:lang w:val="en-GB"/>
        </w:rPr>
        <w:t>,</w:t>
      </w:r>
      <w:r w:rsidR="00EE3369" w:rsidRPr="00D346B0">
        <w:rPr>
          <w:rFonts w:ascii="Arial" w:hAnsi="Arial" w:cs="Arial"/>
          <w:lang w:val="en-GB"/>
        </w:rPr>
        <w:t xml:space="preserve"> and 2017 </w:t>
      </w:r>
      <w:r w:rsidR="005212E5">
        <w:rPr>
          <w:rFonts w:ascii="Arial" w:hAnsi="Arial" w:cs="Arial"/>
          <w:lang w:val="en-GB"/>
        </w:rPr>
        <w:t xml:space="preserve">ranged </w:t>
      </w:r>
      <w:r w:rsidR="00C04266">
        <w:rPr>
          <w:rFonts w:ascii="Arial" w:hAnsi="Arial" w:cs="Arial"/>
          <w:lang w:val="en-GB"/>
        </w:rPr>
        <w:t xml:space="preserve">from </w:t>
      </w:r>
      <w:r w:rsidR="00EA4229">
        <w:rPr>
          <w:rFonts w:ascii="Arial" w:hAnsi="Arial" w:cs="Arial"/>
          <w:lang w:val="en-GB"/>
        </w:rPr>
        <w:t>54</w:t>
      </w:r>
      <w:r w:rsidR="005212E5">
        <w:rPr>
          <w:rFonts w:ascii="Arial" w:hAnsi="Arial" w:cs="Arial"/>
          <w:lang w:val="en-GB"/>
        </w:rPr>
        <w:t>%</w:t>
      </w:r>
      <w:r w:rsidR="00EA4229">
        <w:rPr>
          <w:rFonts w:ascii="Arial" w:hAnsi="Arial" w:cs="Arial"/>
          <w:lang w:val="en-GB"/>
        </w:rPr>
        <w:t xml:space="preserve"> to 60%</w:t>
      </w:r>
      <w:r w:rsidR="00EA4229" w:rsidRPr="00D346B0">
        <w:rPr>
          <w:rFonts w:ascii="Arial" w:hAnsi="Arial" w:cs="Arial"/>
          <w:lang w:val="en-GB"/>
        </w:rPr>
        <w:t>.</w:t>
      </w:r>
      <w:r w:rsidR="00485408">
        <w:rPr>
          <w:rFonts w:ascii="Arial" w:hAnsi="Arial" w:cs="Arial"/>
          <w:lang w:val="en-GB"/>
        </w:rPr>
        <w:t xml:space="preserve"> In total, </w:t>
      </w:r>
      <w:r w:rsidR="00EE3369" w:rsidRPr="00D346B0">
        <w:rPr>
          <w:rFonts w:ascii="Arial" w:hAnsi="Arial" w:cs="Arial"/>
          <w:lang w:val="en-GB"/>
        </w:rPr>
        <w:t>523,294 questionnaires</w:t>
      </w:r>
      <w:r w:rsidR="00485408">
        <w:rPr>
          <w:rFonts w:ascii="Arial" w:hAnsi="Arial" w:cs="Arial"/>
          <w:lang w:val="en-GB"/>
        </w:rPr>
        <w:t xml:space="preserve"> were answered.</w:t>
      </w:r>
      <w:r w:rsidR="00EE3369" w:rsidRPr="00D346B0">
        <w:rPr>
          <w:rFonts w:ascii="Arial" w:hAnsi="Arial" w:cs="Arial"/>
          <w:lang w:val="en-GB"/>
        </w:rPr>
        <w:fldChar w:fldCharType="begin" w:fldLock="1"/>
      </w:r>
      <w:r w:rsidR="00B6591D">
        <w:rPr>
          <w:rFonts w:ascii="Arial" w:hAnsi="Arial" w:cs="Arial"/>
          <w:lang w:val="en-GB"/>
        </w:rPr>
        <w:instrText>ADDIN CSL_CITATION {"citationItems":[{"id":"ITEM-1","itemData":{"DOI":"10.1177/1403494820966534","author":[{"dropping-particle":"","family":"Christensen","given":"Anne Illemann","non-dropping-particle":"","parse-names":false,"suffix":""},{"dropping-particle":"","family":"Lau","given":"Cathrine Juel","non-dropping-particle":"","parse-names":false,"suffix":""},{"dropping-particle":"","family":"Kristensen","given":"Peter Lund","non-dropping-particle":"","parse-names":false,"suffix":""},{"dropping-particle":"","family":"Johnsen","given":"Sisse Buch","non-dropping-particle":"","parse-names":false,"suffix":""},{"dropping-particle":"","family":"Wingstrand","given":"Anne","non-dropping-particle":"","parse-names":false,"suffix":""},{"dropping-particle":"","family":"Friis","given":"Karina","non-dropping-particle":"","parse-names":false,"suffix":""},{"dropping-particle":"","family":"Davidsen","given":"Michael","non-dropping-particle":"","parse-names":false,"suffix":""},{"dropping-particle":"","family":"Andreasen","given":"Anne Helms","non-dropping-particle":"","parse-names":false,"suffix":""}],"id":"ITEM-1","issue":"July","issued":{"date-parts":[["2020"]]},"page":"1-9","title":"The Danish National Health Survey : Study design , response rate and respondent characteristics in 2010 , 2013 and 2017","type":"article-journal"},"uris":["http://www.mendeley.com/documents/?uuid=e35764d2-b580-4167-8a5e-289818fc42e2"]}],"mendeley":{"formattedCitation":"&lt;sup&gt;1&lt;/sup&gt;","plainTextFormattedCitation":"1","previouslyFormattedCitation":"&lt;sup&gt;1&lt;/sup&gt;"},"properties":{"noteIndex":0},"schema":"https://github.com/citation-style-language/schema/raw/master/csl-citation.json"}</w:instrText>
      </w:r>
      <w:r w:rsidR="00EE3369" w:rsidRPr="00D346B0">
        <w:rPr>
          <w:rFonts w:ascii="Arial" w:hAnsi="Arial" w:cs="Arial"/>
          <w:lang w:val="en-GB"/>
        </w:rPr>
        <w:fldChar w:fldCharType="separate"/>
      </w:r>
      <w:r w:rsidR="006B3D2F" w:rsidRPr="006B3D2F">
        <w:rPr>
          <w:rFonts w:ascii="Arial" w:hAnsi="Arial" w:cs="Arial"/>
          <w:noProof/>
          <w:vertAlign w:val="superscript"/>
          <w:lang w:val="en-GB"/>
        </w:rPr>
        <w:t>1</w:t>
      </w:r>
      <w:r w:rsidR="00EE3369" w:rsidRPr="00D346B0">
        <w:rPr>
          <w:rFonts w:ascii="Arial" w:hAnsi="Arial" w:cs="Arial"/>
          <w:lang w:val="en-GB"/>
        </w:rPr>
        <w:fldChar w:fldCharType="end"/>
      </w:r>
      <w:r w:rsidR="00D4649A">
        <w:rPr>
          <w:rFonts w:ascii="Arial" w:hAnsi="Arial" w:cs="Arial"/>
          <w:lang w:val="en-GB"/>
        </w:rPr>
        <w:t xml:space="preserve"> </w:t>
      </w:r>
      <w:r w:rsidR="00EE3369" w:rsidRPr="00D346B0">
        <w:rPr>
          <w:rFonts w:ascii="Arial" w:hAnsi="Arial" w:cs="Arial"/>
          <w:lang w:val="en-GB"/>
        </w:rPr>
        <w:t xml:space="preserve">In </w:t>
      </w:r>
      <w:r w:rsidR="00CB4F33">
        <w:rPr>
          <w:rFonts w:ascii="Arial" w:hAnsi="Arial" w:cs="Arial"/>
          <w:lang w:val="en-GB"/>
        </w:rPr>
        <w:t xml:space="preserve">our </w:t>
      </w:r>
      <w:r w:rsidR="00EE3369" w:rsidRPr="00D346B0">
        <w:rPr>
          <w:rFonts w:ascii="Arial" w:hAnsi="Arial" w:cs="Arial"/>
          <w:lang w:val="en-GB"/>
        </w:rPr>
        <w:t xml:space="preserve">study, we </w:t>
      </w:r>
      <w:r w:rsidR="00EE3369">
        <w:rPr>
          <w:rFonts w:ascii="Arial" w:hAnsi="Arial" w:cs="Arial"/>
          <w:lang w:val="en-GB"/>
        </w:rPr>
        <w:t>used</w:t>
      </w:r>
      <w:r w:rsidR="00EE3369" w:rsidRPr="00D346B0">
        <w:rPr>
          <w:rFonts w:ascii="Arial" w:hAnsi="Arial" w:cs="Arial"/>
          <w:lang w:val="en-GB"/>
        </w:rPr>
        <w:t xml:space="preserve"> the answers to questions regarding </w:t>
      </w:r>
      <w:r w:rsidR="00CB4F33">
        <w:rPr>
          <w:rFonts w:ascii="Arial" w:hAnsi="Arial" w:cs="Arial"/>
          <w:lang w:val="en-US"/>
        </w:rPr>
        <w:t>alcohol habits, CAGE-questionnaire</w:t>
      </w:r>
      <w:r w:rsidR="00CB4F33">
        <w:rPr>
          <w:rFonts w:ascii="Arial" w:hAnsi="Arial" w:cs="Arial"/>
          <w:lang w:val="en-US"/>
        </w:rPr>
        <w:fldChar w:fldCharType="begin" w:fldLock="1"/>
      </w:r>
      <w:r w:rsidR="00B6591D">
        <w:rPr>
          <w:rFonts w:ascii="Arial" w:hAnsi="Arial" w:cs="Arial"/>
          <w:lang w:val="en-US"/>
        </w:rPr>
        <w:instrText>ADDIN CSL_CITATION {"citationItems":[{"id":"ITEM-1","itemData":{"DOI":"10.25011/cim.v30i1.447","ISSN":"0147958X","PMID":"17716538","abstract":"Purpose: To review the reliability and validity of the CAGE questionnaire across different patient populations and discuss its role in the detection of alcohol-related problems. Methods: The Cochrane Database for Systematic Reviews, Medline, Embase, and Psychinfo were searched. No systematic reviews were found on the Cochrane Database. Search of the other databases yielded one systematic review and one meta-analysis, on different aspects of CAGE. Three articles on reliability and 16 on validity of CAGE were found and used. Studies generally yielded Level II evidence. Results: CAGE has demonstrated high test-retest reliability (0.80-0.95), and adequate correlations (0.48-0.70) with other screening instruments. The questionnaire is a valid tool for detecting alcohol abuse and dependence in medical and surgical inpatients, ambulatory medical patients, and psychiatric inpatients (average sensitivity 0.71, specificity 0.90). Its performance in primary care patients has been varied, while it has not performed well in white women, prenatal women, and college students. Furthermore, it is not an appropriate screening test for less severe forms of drinking. Conclusions: CAGE is short, feasible to use, and easily applied in clinical practice. However, users should be aware of its limitations when interpreting the results. A positive screen should be followed by a proper diagnostic evaluation using standard clinical criteria. © 2007 CIM.","author":[{"dropping-particle":"","family":"Dhalla","given":"Shayesta","non-dropping-particle":"","parse-names":false,"suffix":""},{"dropping-particle":"","family":"Kopec","given":"Jacek A.","non-dropping-particle":"","parse-names":false,"suffix":""}],"container-title":"Clinical and Investigative Medicine","id":"ITEM-1","issue":"1","issued":{"date-parts":[["2007"]]},"page":"33-41","title":"The CAGE questionnaire for alcohol misuse: A review of reliability and validity studies","type":"article-journal","volume":"30"},"uris":["http://www.mendeley.com/documents/?uuid=5e5bf88a-c7aa-49c6-b899-62de97d6b8bd","http://www.mendeley.com/documents/?uuid=3bee0c33-cbba-470a-b1a0-7c088da7fbc3"]}],"mendeley":{"formattedCitation":"&lt;sup&gt;3&lt;/sup&gt;","plainTextFormattedCitation":"3","previouslyFormattedCitation":"&lt;sup&gt;3&lt;/sup&gt;"},"properties":{"noteIndex":0},"schema":"https://github.com/citation-style-language/schema/raw/master/csl-citation.json"}</w:instrText>
      </w:r>
      <w:r w:rsidR="00CB4F33">
        <w:rPr>
          <w:rFonts w:ascii="Arial" w:hAnsi="Arial" w:cs="Arial"/>
          <w:lang w:val="en-US"/>
        </w:rPr>
        <w:fldChar w:fldCharType="separate"/>
      </w:r>
      <w:r w:rsidR="006B3D2F" w:rsidRPr="006B3D2F">
        <w:rPr>
          <w:rFonts w:ascii="Arial" w:hAnsi="Arial" w:cs="Arial"/>
          <w:noProof/>
          <w:vertAlign w:val="superscript"/>
          <w:lang w:val="en-US"/>
        </w:rPr>
        <w:t>3</w:t>
      </w:r>
      <w:r w:rsidR="00CB4F33">
        <w:rPr>
          <w:rFonts w:ascii="Arial" w:hAnsi="Arial" w:cs="Arial"/>
          <w:lang w:val="en-US"/>
        </w:rPr>
        <w:fldChar w:fldCharType="end"/>
      </w:r>
      <w:r w:rsidR="00CB4F33">
        <w:rPr>
          <w:rFonts w:ascii="Arial" w:hAnsi="Arial" w:cs="Arial"/>
          <w:lang w:val="en-US"/>
        </w:rPr>
        <w:t>, health-related quality of life (12-item Short Form questionnaire)</w:t>
      </w:r>
      <w:r w:rsidR="00CB4F33">
        <w:rPr>
          <w:rFonts w:ascii="Arial" w:hAnsi="Arial" w:cs="Arial"/>
          <w:color w:val="000000" w:themeColor="text1"/>
          <w:lang w:val="en-US"/>
        </w:rPr>
        <w:fldChar w:fldCharType="begin" w:fldLock="1"/>
      </w:r>
      <w:r w:rsidR="00B6591D">
        <w:rPr>
          <w:rFonts w:ascii="Arial" w:hAnsi="Arial" w:cs="Arial"/>
          <w:color w:val="000000" w:themeColor="text1"/>
          <w:lang w:val="en-US"/>
        </w:rPr>
        <w:instrText>ADDIN CSL_CITATION {"citationItems":[{"id":"ITEM-1","itemData":{"abstract":"Regression methods were used to select and score 12 items from the Medical Outcomes Study 36-Item Short-Form Health Survey (SF-36) to reproduce the Physical Component Summary and Mental Component Summary scales in the general US population (n = 2,333). The resulting 12-item short-form (SF-12) achieved multiple R squares of 0.911 and 0.918 in predictions of the SF-36 Physical Component Summary and SF-36 Mental Component Summary scores, respectively. Scoring algorithms from the general population used to score 12-item versions of the two components (Physical Component Summary and Mental Component Summary) achieved R squares of 0.905 with the SF-36 Physical Component Summary and 0.938 with the SF-36 Mental Component Summary when cross-validated in the Medical Outcomes Study. Test-retest (2-week) correlations of 0.89 and 0.76 were observed for the 12-item Physical Component Summary and the 12-item Mental Component Summary, respectively, in the general US population (n = 232). Twenty cross-sectional and longitudinal tests of empirical validity previously published for the 36-item short-form scales and summary measures were replicated for the 12-item Physical Component Summary and the 12-item Mental Component Summary, including comparisons between patient groups known to differ or to change in terms of the presence and seriousness of physical and mental conditions, acute symptoms, age and aging, self-reported 1-year changes in health, and recovery from depression. In 14 validity tests involving physical criteria, relative validity estimates for the 12-item Physical Component Summary ranged from 0.43 to 0.93 (median = 0.67) in comparison with the best 36-item short-form scale. Relative validity estimates for the 12-item Mental Component Summary in 6 tests involving mental criteria ranged from 0.60 to 1.07 (median = 0.97) in relation to the best 36-item short-form scale. Average scores for the 2 summary measures, and those for most scales in the 8-scale profile based on the 12-item short-form, closely mirrored those for the 36-item short-form, although standard errors were nearly always larger for the 12-item short-form.","author":[{"dropping-particle":"","family":"WARE, JOHN; KOSINSKI, MARK; KELLER, SUSAN","given":"","non-dropping-particle":"","parse-names":false,"suffix":""}],"container-title":"Medical care","id":"ITEM-1","issue":"3","issued":{"date-parts":[["1996"]]},"page":"220-233","title":"A 12-Item Short-Form Health Survey: Construction of Scales and Preliminary Tests of Reliability and Validity","type":"article-journal","volume":"34"},"uris":["http://www.mendeley.com/documents/?uuid=e126d07c-d576-4395-a1e5-ae388d54d82f"]}],"mendeley":{"formattedCitation":"&lt;sup&gt;4&lt;/sup&gt;","plainTextFormattedCitation":"4","previouslyFormattedCitation":"&lt;sup&gt;4&lt;/sup&gt;"},"properties":{"noteIndex":0},"schema":"https://github.com/citation-style-language/schema/raw/master/csl-citation.json"}</w:instrText>
      </w:r>
      <w:r w:rsidR="00CB4F33">
        <w:rPr>
          <w:rFonts w:ascii="Arial" w:hAnsi="Arial" w:cs="Arial"/>
          <w:color w:val="000000" w:themeColor="text1"/>
          <w:lang w:val="en-US"/>
        </w:rPr>
        <w:fldChar w:fldCharType="separate"/>
      </w:r>
      <w:r w:rsidR="006B3D2F" w:rsidRPr="006B3D2F">
        <w:rPr>
          <w:rFonts w:ascii="Arial" w:hAnsi="Arial" w:cs="Arial"/>
          <w:noProof/>
          <w:color w:val="000000" w:themeColor="text1"/>
          <w:vertAlign w:val="superscript"/>
          <w:lang w:val="en-US"/>
        </w:rPr>
        <w:t>4</w:t>
      </w:r>
      <w:r w:rsidR="00CB4F33">
        <w:rPr>
          <w:rFonts w:ascii="Arial" w:hAnsi="Arial" w:cs="Arial"/>
          <w:color w:val="000000" w:themeColor="text1"/>
          <w:lang w:val="en-US"/>
        </w:rPr>
        <w:fldChar w:fldCharType="end"/>
      </w:r>
      <w:r w:rsidR="00CB4F33">
        <w:rPr>
          <w:rFonts w:ascii="Arial" w:hAnsi="Arial" w:cs="Arial"/>
          <w:lang w:val="en-US"/>
        </w:rPr>
        <w:t>, and motivation to reduce alcohol consumption.</w:t>
      </w:r>
    </w:p>
    <w:p w14:paraId="70B991B7" w14:textId="77777777" w:rsidR="0001375F" w:rsidRPr="0001375F" w:rsidRDefault="0001375F" w:rsidP="00F16271">
      <w:pPr>
        <w:spacing w:after="0" w:line="480" w:lineRule="auto"/>
        <w:rPr>
          <w:rFonts w:ascii="Arial" w:hAnsi="Arial"/>
          <w:lang w:val="en-GB"/>
        </w:rPr>
      </w:pPr>
    </w:p>
    <w:p w14:paraId="389B8313" w14:textId="693EF304" w:rsidR="00EC251B" w:rsidRDefault="00EC251B" w:rsidP="00EC251B">
      <w:pPr>
        <w:tabs>
          <w:tab w:val="left" w:pos="567"/>
        </w:tabs>
        <w:spacing w:after="0" w:line="480" w:lineRule="auto"/>
        <w:rPr>
          <w:rFonts w:ascii="Arial" w:hAnsi="Arial" w:cs="Arial"/>
          <w:lang w:val="en-GB"/>
        </w:rPr>
      </w:pPr>
      <w:r>
        <w:rPr>
          <w:rFonts w:ascii="Arial" w:hAnsi="Arial" w:cs="Arial"/>
          <w:lang w:val="en-US"/>
        </w:rPr>
        <w:tab/>
      </w:r>
      <w:r w:rsidRPr="008A78B7">
        <w:rPr>
          <w:rFonts w:ascii="Arial" w:hAnsi="Arial" w:cs="Arial"/>
          <w:lang w:val="en-US"/>
        </w:rPr>
        <w:t xml:space="preserve">The </w:t>
      </w:r>
      <w:r w:rsidRPr="00AA7DF6">
        <w:rPr>
          <w:rFonts w:ascii="Arial" w:hAnsi="Arial" w:cs="Arial"/>
          <w:i/>
          <w:lang w:val="en-US"/>
        </w:rPr>
        <w:t>National Patient Registry</w:t>
      </w:r>
      <w:r w:rsidRPr="008A78B7">
        <w:rPr>
          <w:rFonts w:ascii="Arial" w:hAnsi="Arial" w:cs="Arial"/>
          <w:lang w:val="en-US"/>
        </w:rPr>
        <w:t xml:space="preserve"> </w:t>
      </w:r>
      <w:proofErr w:type="gramStart"/>
      <w:r w:rsidRPr="008A78B7">
        <w:rPr>
          <w:rFonts w:ascii="Arial" w:hAnsi="Arial" w:cs="Arial"/>
          <w:lang w:val="en-US"/>
        </w:rPr>
        <w:t>was established</w:t>
      </w:r>
      <w:proofErr w:type="gramEnd"/>
      <w:r w:rsidRPr="008A78B7">
        <w:rPr>
          <w:rFonts w:ascii="Arial" w:hAnsi="Arial" w:cs="Arial"/>
          <w:lang w:val="en-US"/>
        </w:rPr>
        <w:t xml:space="preserve"> in 1977 and contains data on all </w:t>
      </w:r>
      <w:r>
        <w:rPr>
          <w:rFonts w:ascii="Arial" w:hAnsi="Arial" w:cs="Arial"/>
          <w:lang w:val="en-US"/>
        </w:rPr>
        <w:t xml:space="preserve">hospital inpatient </w:t>
      </w:r>
      <w:r w:rsidRPr="008A78B7">
        <w:rPr>
          <w:rFonts w:ascii="Arial" w:hAnsi="Arial" w:cs="Arial"/>
          <w:lang w:val="en-US"/>
        </w:rPr>
        <w:t xml:space="preserve">admissions </w:t>
      </w:r>
      <w:r>
        <w:rPr>
          <w:rFonts w:ascii="Arial" w:hAnsi="Arial" w:cs="Arial"/>
          <w:lang w:val="en-US"/>
        </w:rPr>
        <w:t xml:space="preserve">with </w:t>
      </w:r>
      <w:r w:rsidRPr="008A78B7">
        <w:rPr>
          <w:rFonts w:ascii="Arial" w:hAnsi="Arial" w:cs="Arial"/>
          <w:lang w:val="en-US"/>
        </w:rPr>
        <w:t>emergency and outpatie</w:t>
      </w:r>
      <w:r w:rsidRPr="00D346B0">
        <w:rPr>
          <w:rFonts w:ascii="Arial" w:hAnsi="Arial" w:cs="Arial"/>
          <w:lang w:val="en-US"/>
        </w:rPr>
        <w:t xml:space="preserve">nt hospital contacts </w:t>
      </w:r>
      <w:r>
        <w:rPr>
          <w:rFonts w:ascii="Arial" w:hAnsi="Arial" w:cs="Arial"/>
          <w:lang w:val="en-US"/>
        </w:rPr>
        <w:t xml:space="preserve">added </w:t>
      </w:r>
      <w:r w:rsidRPr="00D346B0">
        <w:rPr>
          <w:rFonts w:ascii="Arial" w:hAnsi="Arial" w:cs="Arial"/>
          <w:lang w:val="en-US"/>
        </w:rPr>
        <w:t>since 19</w:t>
      </w:r>
      <w:r>
        <w:rPr>
          <w:rFonts w:ascii="Arial" w:hAnsi="Arial" w:cs="Arial"/>
          <w:lang w:val="en-US"/>
        </w:rPr>
        <w:t>95</w:t>
      </w:r>
      <w:r w:rsidRPr="00D346B0">
        <w:rPr>
          <w:rFonts w:ascii="Arial" w:hAnsi="Arial" w:cs="Arial"/>
          <w:lang w:val="en-US"/>
        </w:rPr>
        <w:t xml:space="preserve">. Diagnoses </w:t>
      </w:r>
      <w:proofErr w:type="gramStart"/>
      <w:r>
        <w:rPr>
          <w:rFonts w:ascii="Arial" w:hAnsi="Arial" w:cs="Arial"/>
          <w:lang w:val="en-US"/>
        </w:rPr>
        <w:t>were</w:t>
      </w:r>
      <w:r w:rsidRPr="00D346B0">
        <w:rPr>
          <w:rFonts w:ascii="Arial" w:hAnsi="Arial" w:cs="Arial"/>
          <w:lang w:val="en-US"/>
        </w:rPr>
        <w:t xml:space="preserve"> recorded</w:t>
      </w:r>
      <w:proofErr w:type="gramEnd"/>
      <w:r w:rsidRPr="00D346B0">
        <w:rPr>
          <w:rFonts w:ascii="Arial" w:hAnsi="Arial" w:cs="Arial"/>
          <w:lang w:val="en-US"/>
        </w:rPr>
        <w:t xml:space="preserve"> </w:t>
      </w:r>
      <w:r w:rsidRPr="00433531">
        <w:rPr>
          <w:rFonts w:ascii="Arial" w:hAnsi="Arial" w:cs="Arial"/>
          <w:lang w:val="en-US"/>
        </w:rPr>
        <w:t xml:space="preserve">according to the </w:t>
      </w:r>
      <w:r>
        <w:rPr>
          <w:rFonts w:ascii="Arial" w:hAnsi="Arial" w:cs="Arial"/>
          <w:lang w:val="en-US"/>
        </w:rPr>
        <w:t>tenth edition of the</w:t>
      </w:r>
      <w:r w:rsidRPr="00433531">
        <w:rPr>
          <w:rFonts w:ascii="Arial" w:hAnsi="Arial" w:cs="Arial"/>
          <w:lang w:val="en-US"/>
        </w:rPr>
        <w:t xml:space="preserve"> International Classification of Diseases (</w:t>
      </w:r>
      <w:r w:rsidRPr="0070458B">
        <w:rPr>
          <w:rFonts w:ascii="Arial" w:hAnsi="Arial" w:cs="Arial"/>
          <w:lang w:val="en-US"/>
        </w:rPr>
        <w:t>ICD-</w:t>
      </w:r>
      <w:r w:rsidRPr="00705955">
        <w:rPr>
          <w:rFonts w:ascii="Arial" w:hAnsi="Arial" w:cs="Arial"/>
          <w:lang w:val="en-US"/>
        </w:rPr>
        <w:t>10</w:t>
      </w:r>
      <w:r w:rsidRPr="004D3FEC">
        <w:rPr>
          <w:rFonts w:ascii="Arial" w:hAnsi="Arial" w:cs="Arial"/>
          <w:lang w:val="en-US"/>
        </w:rPr>
        <w:t>) since 1994.</w:t>
      </w:r>
    </w:p>
    <w:p w14:paraId="5FD04F5F" w14:textId="77777777" w:rsidR="00EC251B" w:rsidRDefault="00EC251B" w:rsidP="00130D32">
      <w:pPr>
        <w:pStyle w:val="Overskrift3"/>
        <w:spacing w:line="480" w:lineRule="auto"/>
      </w:pPr>
    </w:p>
    <w:p w14:paraId="06DFCE97" w14:textId="6C4078F7" w:rsidR="00EE3369" w:rsidRPr="00D346B0" w:rsidRDefault="00005AA0" w:rsidP="00130D32">
      <w:pPr>
        <w:pStyle w:val="Overskrift3"/>
        <w:spacing w:line="480" w:lineRule="auto"/>
      </w:pPr>
      <w:r>
        <w:t>The sample of patients</w:t>
      </w:r>
      <w:r w:rsidRPr="00D346B0">
        <w:t xml:space="preserve"> </w:t>
      </w:r>
      <w:r w:rsidR="00EE3369" w:rsidRPr="00D346B0">
        <w:t>with alcohol-related liver disease</w:t>
      </w:r>
    </w:p>
    <w:p w14:paraId="3DABA61D" w14:textId="65B626BE" w:rsidR="00AA7DF6" w:rsidRDefault="00005AA0" w:rsidP="00AA7DF6">
      <w:pPr>
        <w:spacing w:line="480" w:lineRule="auto"/>
        <w:rPr>
          <w:rFonts w:ascii="Arial" w:hAnsi="Arial" w:cs="Arial"/>
          <w:lang w:val="en-US"/>
        </w:rPr>
      </w:pPr>
      <w:r>
        <w:rPr>
          <w:rFonts w:ascii="Arial" w:hAnsi="Arial" w:cs="Arial"/>
          <w:lang w:val="en-US"/>
        </w:rPr>
        <w:t xml:space="preserve">      </w:t>
      </w:r>
      <w:r w:rsidR="00485408" w:rsidRPr="00933A7F">
        <w:rPr>
          <w:rFonts w:ascii="Arial" w:hAnsi="Arial" w:cs="Arial"/>
          <w:lang w:val="en-US"/>
        </w:rPr>
        <w:t xml:space="preserve">A strength of the </w:t>
      </w:r>
      <w:r w:rsidR="00AA7DF6">
        <w:rPr>
          <w:rFonts w:ascii="Arial" w:hAnsi="Arial" w:cs="Arial"/>
          <w:lang w:val="en-US"/>
        </w:rPr>
        <w:t>our</w:t>
      </w:r>
      <w:r w:rsidR="00485408" w:rsidRPr="00933A7F">
        <w:rPr>
          <w:rFonts w:ascii="Arial" w:hAnsi="Arial" w:cs="Arial"/>
          <w:lang w:val="en-US"/>
        </w:rPr>
        <w:t xml:space="preserve"> study was the large pooled sample with complete and valid registry information on hospital contacts, diagnoses, and socioeconomic status.</w:t>
      </w:r>
      <w:r w:rsidR="00485408" w:rsidRPr="00933A7F">
        <w:rPr>
          <w:rFonts w:ascii="Arial" w:hAnsi="Arial" w:cs="Arial"/>
          <w:lang w:val="en-US"/>
        </w:rPr>
        <w:fldChar w:fldCharType="begin" w:fldLock="1"/>
      </w:r>
      <w:r w:rsidR="00B6591D">
        <w:rPr>
          <w:rFonts w:ascii="Arial" w:hAnsi="Arial" w:cs="Arial"/>
          <w:lang w:val="en-US"/>
        </w:rPr>
        <w:instrText>ADDIN CSL_CITATION {"citationItems":[{"id":"ITEM-1","itemData":{"DOI":"10.2147/CLEP.S91125","ISBN":"1179-1349 (Print)\\r1179-1349","ISSN":"11791349","PMID":"26604824","abstract":"BACKGROUND: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exists.\\n\\nOBJECTIVES: To review the content, data quality, and research potential of the DNPR.\\n\\nMETHODS: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reviewed.\\n\\nRESULTS: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population.\\n\\nCONCLUSION: The DNPR is a valuable tool for epidemiological research. However, both its strengths and limitations must be considered when interpreting research results, and continuous validation of its clinical data is essential.","author":[{"dropping-particle":"","family":"Schmidt","given":"Morten","non-dropping-particle":"","parse-names":false,"suffix":""},{"dropping-particle":"","family":"Schmidt","given":"Sigrun Alba Johannesdottir","non-dropping-particle":"","parse-names":false,"suffix":""},{"dropping-particle":"","family":"Sandegaard","given":"Jakob Lynge","non-dropping-particle":"","parse-names":false,"suffix":""},{"dropping-particle":"","family":"Ehrenstein","given":"Vera","non-dropping-particle":"","parse-names":false,"suffix":""},{"dropping-particle":"","family":"Pedersen","given":"Lars","non-dropping-particle":"","parse-names":false,"suffix":""},{"dropping-particle":"","family":"Sørensen","given":"Henrik Toft","non-dropping-particle":"","parse-names":false,"suffix":""}],"container-title":"Clinical Epidemiology","id":"ITEM-1","issued":{"date-parts":[["2015"]]},"page":"449-490","title":"The Danish National Patient Registry: A review of content, data quality, and research potential","type":"article-journal","volume":"7"},"uris":["http://www.mendeley.com/documents/?uuid=b097ac6a-4fd3-4545-b407-8203918be1f9"]},{"id":"ITEM-2","itemData":{"DOI":"10.1177/1403494810394715","ISSN":"14034948","PMID":"21775362","abstract":"Introduction: Collection of systematic information on education is a long-established practice in Denmark. Content: We describe the education registers available through Statistics Denmark. In particular, we describe the most widely used register: the Population Education Register (PER). Validity and coverage: In 2008, 96% of the Danish population aged 15-69 have non-missing education information in PER. For the immigrant population born in the same cohorts the coverage is 85-90%, which is a high coverage in an international context. Conclusion: The validity and coverage of the Danish education registers are very high. © 2011 the Nordic Societies of Public Health.","author":[{"dropping-particle":"","family":"Jensen","given":"Vibeke M.","non-dropping-particle":"","parse-names":false,"suffix":""},{"dropping-particle":"","family":"Rasmussen","given":"Astrid W.","non-dropping-particle":"","parse-names":false,"suffix":""}],"container-title":"Scandinavian Journal of Public Health","id":"ITEM-2","issue":"7","issued":{"date-parts":[["2011"]]},"page":"91-94","title":"Danish education registers","type":"article-journal","volume":"39"},"uris":["http://www.mendeley.com/documents/?uuid=8378826a-3e0c-4d35-981c-8c3a619a6af9"]},{"id":"ITEM-3","itemData":{"DOI":"10.1177/1403494811408483","ISSN":"14034948","PMID":"21775363","abstract":"Introduction: Statistics Denmark has a number of registers about labour market affiliation, which includes information on employees, establishments and the relation between employees and establishments. Content: The registers describe a person's attachment to the labour market, information on the establishments and information on the relations between persons and establishments. The registers presented either include information at one specific point in time each year (end of November) or during the year. Validity and coverage: Both the validity and coverage of the registers are considered to be high. Conclusion: These registers provide valuable information on personal labour market affiliation and can be used to study determinants and consequences of labour market affiliation. © 2011 the Nordic Societies of Public Health.","author":[{"dropping-particle":"","family":"Petersson","given":"Flemming","non-dropping-particle":"","parse-names":false,"suffix":""},{"dropping-particle":"","family":"Baadsgaard","given":"Mikkel","non-dropping-particle":"","parse-names":false,"suffix":""},{"dropping-particle":"","family":"Thygesen","given":"Lau Caspar","non-dropping-particle":"","parse-names":false,"suffix":""}],"container-title":"Scandinavian Journal of Public Health","id":"ITEM-3","issue":"7","issued":{"date-parts":[["2011"]]},"page":"95-98","title":"Danish registers on personal labour market affiliation","type":"article-journal","volume":"39"},"uris":["http://www.mendeley.com/documents/?uuid=69c77d05-5f85-49e2-87b5-99e199019430"]}],"mendeley":{"formattedCitation":"&lt;sup&gt;2,5,6&lt;/sup&gt;","plainTextFormattedCitation":"2,5,6","previouslyFormattedCitation":"&lt;sup&gt;2,5,6&lt;/sup&gt;"},"properties":{"noteIndex":0},"schema":"https://github.com/citation-style-language/schema/raw/master/csl-citation.json"}</w:instrText>
      </w:r>
      <w:r w:rsidR="00485408" w:rsidRPr="00933A7F">
        <w:rPr>
          <w:rFonts w:ascii="Arial" w:hAnsi="Arial" w:cs="Arial"/>
          <w:lang w:val="en-US"/>
        </w:rPr>
        <w:fldChar w:fldCharType="separate"/>
      </w:r>
      <w:r w:rsidR="006B3D2F" w:rsidRPr="006B3D2F">
        <w:rPr>
          <w:rFonts w:ascii="Arial" w:hAnsi="Arial" w:cs="Arial"/>
          <w:noProof/>
          <w:vertAlign w:val="superscript"/>
          <w:lang w:val="en-US"/>
        </w:rPr>
        <w:t>2,5,6</w:t>
      </w:r>
      <w:r w:rsidR="00485408" w:rsidRPr="00933A7F">
        <w:rPr>
          <w:rFonts w:ascii="Arial" w:hAnsi="Arial" w:cs="Arial"/>
          <w:lang w:val="en-US"/>
        </w:rPr>
        <w:fldChar w:fldCharType="end"/>
      </w:r>
      <w:r w:rsidR="00485408" w:rsidRPr="00933A7F">
        <w:rPr>
          <w:rFonts w:ascii="Arial" w:hAnsi="Arial" w:cs="Arial"/>
          <w:lang w:val="en-US"/>
        </w:rPr>
        <w:t xml:space="preserve"> </w:t>
      </w:r>
      <w:r w:rsidR="00EE3369" w:rsidRPr="00D346B0">
        <w:rPr>
          <w:rFonts w:ascii="Arial" w:hAnsi="Arial" w:cs="Arial"/>
          <w:lang w:val="en-US"/>
        </w:rPr>
        <w:t xml:space="preserve">We used the </w:t>
      </w:r>
      <w:r w:rsidR="00EE3369" w:rsidRPr="00AA7DF6">
        <w:rPr>
          <w:rFonts w:ascii="Arial" w:hAnsi="Arial" w:cs="Arial"/>
          <w:i/>
          <w:lang w:val="en-US"/>
        </w:rPr>
        <w:t>National Patient Registr</w:t>
      </w:r>
      <w:r w:rsidR="00EA4229" w:rsidRPr="00AA7DF6">
        <w:rPr>
          <w:rFonts w:ascii="Arial" w:hAnsi="Arial" w:cs="Arial"/>
          <w:i/>
          <w:lang w:val="en-US"/>
        </w:rPr>
        <w:t>y</w:t>
      </w:r>
      <w:r w:rsidR="00EE3369" w:rsidRPr="008A78B7">
        <w:rPr>
          <w:rFonts w:ascii="Arial" w:hAnsi="Arial" w:cs="Arial"/>
          <w:lang w:val="en-US"/>
        </w:rPr>
        <w:t xml:space="preserve"> to identify patients diagnosed with ALD </w:t>
      </w:r>
      <w:r w:rsidR="005212E5">
        <w:rPr>
          <w:rFonts w:ascii="Arial" w:hAnsi="Arial" w:cs="Arial"/>
          <w:lang w:val="en-US"/>
        </w:rPr>
        <w:t xml:space="preserve">before they </w:t>
      </w:r>
      <w:r w:rsidR="00EE3369" w:rsidRPr="008A78B7">
        <w:rPr>
          <w:rFonts w:ascii="Arial" w:hAnsi="Arial" w:cs="Arial"/>
          <w:lang w:val="en-US"/>
        </w:rPr>
        <w:t xml:space="preserve">participated in </w:t>
      </w:r>
      <w:r w:rsidR="006D70F7" w:rsidRPr="008A78B7">
        <w:rPr>
          <w:rFonts w:ascii="Arial" w:hAnsi="Arial" w:cs="Arial"/>
          <w:lang w:val="en-US"/>
        </w:rPr>
        <w:t xml:space="preserve">DNHS </w:t>
      </w:r>
      <w:r w:rsidR="00A61F60">
        <w:rPr>
          <w:rFonts w:ascii="Arial" w:hAnsi="Arial" w:cs="Arial"/>
          <w:lang w:val="en-US"/>
        </w:rPr>
        <w:t xml:space="preserve">in </w:t>
      </w:r>
      <w:r w:rsidR="00EE3369" w:rsidRPr="008A78B7">
        <w:rPr>
          <w:rFonts w:ascii="Arial" w:hAnsi="Arial" w:cs="Arial"/>
          <w:lang w:val="en-US"/>
        </w:rPr>
        <w:t>2010</w:t>
      </w:r>
      <w:r w:rsidR="00A61F60">
        <w:rPr>
          <w:rFonts w:ascii="Arial" w:hAnsi="Arial" w:cs="Arial"/>
          <w:lang w:val="en-US"/>
        </w:rPr>
        <w:t>, 2013</w:t>
      </w:r>
      <w:r w:rsidR="006B3D2F">
        <w:rPr>
          <w:rFonts w:ascii="Arial" w:hAnsi="Arial" w:cs="Arial"/>
          <w:lang w:val="en-US"/>
        </w:rPr>
        <w:t>,</w:t>
      </w:r>
      <w:r w:rsidR="00EE73BA" w:rsidRPr="00D41F98">
        <w:rPr>
          <w:rFonts w:ascii="Arial" w:hAnsi="Arial" w:cs="Arial"/>
          <w:lang w:val="en-US"/>
        </w:rPr>
        <w:t xml:space="preserve"> </w:t>
      </w:r>
      <w:r w:rsidR="005212E5">
        <w:rPr>
          <w:rFonts w:ascii="Arial" w:hAnsi="Arial" w:cs="Arial"/>
          <w:lang w:val="en-US"/>
        </w:rPr>
        <w:t>or</w:t>
      </w:r>
      <w:r w:rsidR="00EE73BA" w:rsidRPr="00D41F98">
        <w:rPr>
          <w:rFonts w:ascii="Arial" w:hAnsi="Arial" w:cs="Arial"/>
          <w:lang w:val="en-US"/>
        </w:rPr>
        <w:t xml:space="preserve"> </w:t>
      </w:r>
      <w:r w:rsidR="00EE3369" w:rsidRPr="008A78B7">
        <w:rPr>
          <w:rFonts w:ascii="Arial" w:hAnsi="Arial" w:cs="Arial"/>
          <w:lang w:val="en-US"/>
        </w:rPr>
        <w:t>2017</w:t>
      </w:r>
      <w:r w:rsidR="00191789">
        <w:rPr>
          <w:rFonts w:ascii="Arial" w:hAnsi="Arial" w:cs="Arial"/>
          <w:lang w:val="en-US"/>
        </w:rPr>
        <w:t>.</w:t>
      </w:r>
      <w:r w:rsidR="00EE3369" w:rsidRPr="008A78B7">
        <w:rPr>
          <w:rFonts w:ascii="Arial" w:hAnsi="Arial" w:cs="Arial"/>
          <w:lang w:val="en-US"/>
        </w:rPr>
        <w:fldChar w:fldCharType="begin" w:fldLock="1"/>
      </w:r>
      <w:r w:rsidR="00B6591D">
        <w:rPr>
          <w:rFonts w:ascii="Arial" w:hAnsi="Arial" w:cs="Arial"/>
          <w:lang w:val="en-US"/>
        </w:rPr>
        <w:instrText>ADDIN CSL_CITATION {"citationItems":[{"id":"ITEM-1","itemData":{"DOI":"10.2147/CLEP.S91125","ISBN":"1179-1349 (Print)\\r1179-1349","ISSN":"11791349","PMID":"26604824","abstract":"BACKGROUND: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exists.\\n\\nOBJECTIVES: To review the content, data quality, and research potential of the DNPR.\\n\\nMETHODS: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reviewed.\\n\\nRESULTS: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population.\\n\\nCONCLUSION: The DNPR is a valuable tool for epidemiological research. However, both its strengths and limitations must be considered when interpreting research results, and continuous validation of its clinical data is essential.","author":[{"dropping-particle":"","family":"Schmidt","given":"Morten","non-dropping-particle":"","parse-names":false,"suffix":""},{"dropping-particle":"","family":"Schmidt","given":"Sigrun Alba Johannesdottir","non-dropping-particle":"","parse-names":false,"suffix":""},{"dropping-particle":"","family":"Sandegaard","given":"Jakob Lynge","non-dropping-particle":"","parse-names":false,"suffix":""},{"dropping-particle":"","family":"Ehrenstein","given":"Vera","non-dropping-particle":"","parse-names":false,"suffix":""},{"dropping-particle":"","family":"Pedersen","given":"Lars","non-dropping-particle":"","parse-names":false,"suffix":""},{"dropping-particle":"","family":"Sørensen","given":"Henrik Toft","non-dropping-particle":"","parse-names":false,"suffix":""}],"container-title":"Clinical Epidemiology","id":"ITEM-1","issued":{"date-parts":[["2015"]]},"page":"449-490","title":"The Danish National Patient Registry: A review of content, data quality, and research potential","type":"article-journal","volume":"7"},"uris":["http://www.mendeley.com/documents/?uuid=67326061-b862-4bf0-963c-7acb9fc52539","http://www.mendeley.com/documents/?uuid=b097ac6a-4fd3-4545-b407-8203918be1f9"]}],"mendeley":{"formattedCitation":"&lt;sup&gt;2&lt;/sup&gt;","plainTextFormattedCitation":"2","previouslyFormattedCitation":"&lt;sup&gt;2&lt;/sup&gt;"},"properties":{"noteIndex":0},"schema":"https://github.com/citation-style-language/schema/raw/master/csl-citation.json"}</w:instrText>
      </w:r>
      <w:r w:rsidR="00EE3369" w:rsidRPr="008A78B7">
        <w:rPr>
          <w:rFonts w:ascii="Arial" w:hAnsi="Arial" w:cs="Arial"/>
          <w:lang w:val="en-US"/>
        </w:rPr>
        <w:fldChar w:fldCharType="separate"/>
      </w:r>
      <w:r w:rsidR="006B3D2F" w:rsidRPr="006B3D2F">
        <w:rPr>
          <w:rFonts w:ascii="Arial" w:hAnsi="Arial" w:cs="Arial"/>
          <w:noProof/>
          <w:vertAlign w:val="superscript"/>
          <w:lang w:val="en-US"/>
        </w:rPr>
        <w:t>2</w:t>
      </w:r>
      <w:r w:rsidR="00EE3369" w:rsidRPr="008A78B7">
        <w:rPr>
          <w:rFonts w:ascii="Arial" w:hAnsi="Arial" w:cs="Arial"/>
          <w:lang w:val="en-US"/>
        </w:rPr>
        <w:fldChar w:fldCharType="end"/>
      </w:r>
      <w:r w:rsidR="00EE3369" w:rsidRPr="008A78B7">
        <w:rPr>
          <w:rFonts w:ascii="Arial" w:hAnsi="Arial" w:cs="Arial"/>
          <w:lang w:val="en-US"/>
        </w:rPr>
        <w:t xml:space="preserve"> </w:t>
      </w:r>
      <w:r w:rsidR="00A41524">
        <w:rPr>
          <w:rFonts w:ascii="Arial" w:hAnsi="Arial" w:cs="Arial"/>
          <w:lang w:val="en-US"/>
        </w:rPr>
        <w:t>All diagnoses were hospital diagnoses</w:t>
      </w:r>
      <w:r w:rsidR="005212E5">
        <w:rPr>
          <w:rFonts w:ascii="Arial" w:hAnsi="Arial" w:cs="Arial"/>
          <w:lang w:val="en-US"/>
        </w:rPr>
        <w:t>, and w</w:t>
      </w:r>
      <w:r w:rsidR="00A41524">
        <w:rPr>
          <w:rFonts w:ascii="Arial" w:hAnsi="Arial" w:cs="Arial"/>
          <w:lang w:val="en-US"/>
        </w:rPr>
        <w:t>e had no data on diagnoses given in primary care</w:t>
      </w:r>
      <w:r w:rsidR="00A41524" w:rsidRPr="00F16271">
        <w:rPr>
          <w:rFonts w:ascii="Arial" w:hAnsi="Arial" w:cs="Arial"/>
          <w:lang w:val="en-US"/>
        </w:rPr>
        <w:t xml:space="preserve">. </w:t>
      </w:r>
      <w:r w:rsidR="006B3D2F" w:rsidRPr="00F16271">
        <w:rPr>
          <w:rFonts w:ascii="Arial" w:hAnsi="Arial" w:cs="Arial"/>
          <w:lang w:val="en-US"/>
        </w:rPr>
        <w:t>We excluded patients who had their first diagnosis more than ten years before participating in DNHS (n=323). In Denmark, few patients survive more than ten years with ALD</w:t>
      </w:r>
      <w:r w:rsidR="006B3D2F" w:rsidRPr="00F16271">
        <w:rPr>
          <w:rFonts w:ascii="Arial" w:hAnsi="Arial" w:cs="Arial"/>
          <w:lang w:val="en-US"/>
        </w:rPr>
        <w:fldChar w:fldCharType="begin" w:fldLock="1"/>
      </w:r>
      <w:r w:rsidR="00D978E9">
        <w:rPr>
          <w:rFonts w:ascii="Arial" w:hAnsi="Arial" w:cs="Arial"/>
          <w:lang w:val="en-US"/>
        </w:rPr>
        <w:instrText>ADDIN CSL_CITATION {"citationItems":[{"id":"ITEM-1","itemData":{"DOI":"10.2147/CLEP.S287870","ISSN":"11791349","abstract":"Purpose: Alcohol consumption has decreased in Denmark in recent years. We aimed to illustrate and investigate the developments in the incidence, hospital care, and mortality of alcohol-related liver disease (ALD) in Denmark during the last 25 years. Patients and Methods: Through nationwide healthcare registries, we identified all Danish patients with incident ALD in 1994–2018. We computed standardized incidence rates by sex, age, and geography, age-specific incidence rates by birth cohort, and standardized preva-lence. We enumerated inpatient admissions, days of admission, outpatient visits, and emergency room visits. Lastly, we estimated relative risks of mortality, standardized mortality rates, and the proportion of deaths caused by ALD. Results: The standardized incidence rate decreased from its peak at 357 per 1,000,000 in 2009 to 240 per 1,000,000 in 2018, and the decrease was evident for both sexes and all age groups below 70 years. The standardized prevalence was stable around 0.22% from 2011 onwards. There was an almost fivefold geographic variation in standardized incidence by municipalities, and age-specific incidence rates decreased sequentially with each 5-year birth cohort after 1960. The number of inpatient admissions, days of admission, and emergency room visits decreased during the study period, while the number of outpatient visits was stable. For patients diagnosed in 2014–2018 compared to 1994–1998, the relative risk of 1-year mortality was 0.83 (95% confidence interval: 0.78–0.87), and the standardized mortality along with the proportion of deaths caused by ALD decreased during the study period. Conclusion: The incidence of ALD decreased from 357 to 240 per 1,000,000 over the last 10 years in Denmark. During the same period, the prevalence remained stable around 0.22% and mortality decreased. Additionally, the burden of ALD on hospital care decreased significantly between 1994 and 2018. We anticipate a further decrease in the incidence of ALD in the future.","author":[{"dropping-particle":"","family":"Kraglund","given":"Frederik","non-dropping-particle":"","parse-names":false,"suffix":""},{"dropping-particle":"","family":"Deleuran","given":"Thomas","non-dropping-particle":"","parse-names":false,"suffix":""},{"dropping-particle":"","family":"Askgaard","given":"Gro","non-dropping-particle":"","parse-names":false,"suffix":""},{"dropping-particle":"","family":"Fleming","given":"Kate M.","non-dropping-particle":"","parse-names":false,"suffix":""},{"dropping-particle":"","family":"Jepsen","given":"Peter","non-dropping-particle":"","parse-names":false,"suffix":""}],"container-title":"Clinical Epidemiology","id":"ITEM-1","issued":{"date-parts":[["2021"]]},"page":"1-11","title":"Decreasing incidence of alcohol-related liver disease in Denmark: A 25-year nationwide study","type":"article-journal","volume":"13"},"uris":["http://www.mendeley.com/documents/?uuid=78a42f1b-6862-4831-8e3a-afcbde4103f5"]}],"mendeley":{"formattedCitation":"&lt;sup&gt;7&lt;/sup&gt;","plainTextFormattedCitation":"7","previouslyFormattedCitation":"&lt;sup&gt;8&lt;/sup&gt;"},"properties":{"noteIndex":0},"schema":"https://github.com/citation-style-language/schema/raw/master/csl-citation.json"}</w:instrText>
      </w:r>
      <w:r w:rsidR="006B3D2F" w:rsidRPr="00F16271">
        <w:rPr>
          <w:rFonts w:ascii="Arial" w:hAnsi="Arial" w:cs="Arial"/>
          <w:lang w:val="en-US"/>
        </w:rPr>
        <w:fldChar w:fldCharType="separate"/>
      </w:r>
      <w:r w:rsidR="00D978E9" w:rsidRPr="00D978E9">
        <w:rPr>
          <w:rFonts w:ascii="Arial" w:hAnsi="Arial" w:cs="Arial"/>
          <w:noProof/>
          <w:vertAlign w:val="superscript"/>
          <w:lang w:val="en-US"/>
        </w:rPr>
        <w:t>7</w:t>
      </w:r>
      <w:r w:rsidR="006B3D2F" w:rsidRPr="00F16271">
        <w:rPr>
          <w:rFonts w:ascii="Arial" w:hAnsi="Arial" w:cs="Arial"/>
          <w:lang w:val="en-US"/>
        </w:rPr>
        <w:fldChar w:fldCharType="end"/>
      </w:r>
      <w:r w:rsidR="00866EAE">
        <w:rPr>
          <w:rFonts w:ascii="Arial" w:hAnsi="Arial" w:cs="Arial"/>
          <w:lang w:val="en-US"/>
        </w:rPr>
        <w:t xml:space="preserve">, </w:t>
      </w:r>
      <w:r w:rsidR="00CE1164">
        <w:rPr>
          <w:rFonts w:ascii="Arial" w:hAnsi="Arial" w:cs="Arial"/>
          <w:lang w:val="en-US"/>
        </w:rPr>
        <w:t>and we were concerned that many of the</w:t>
      </w:r>
      <w:r w:rsidR="006B3D2F" w:rsidRPr="00F16271">
        <w:rPr>
          <w:rFonts w:ascii="Arial" w:hAnsi="Arial" w:cs="Arial"/>
          <w:lang w:val="en-US"/>
        </w:rPr>
        <w:t xml:space="preserve"> long-term survivors</w:t>
      </w:r>
      <w:r w:rsidR="00CE1164">
        <w:rPr>
          <w:rFonts w:ascii="Arial" w:hAnsi="Arial" w:cs="Arial"/>
          <w:lang w:val="en-US"/>
        </w:rPr>
        <w:t xml:space="preserve"> did not truly have ALD. By excluding </w:t>
      </w:r>
      <w:proofErr w:type="gramStart"/>
      <w:r w:rsidR="00CE1164">
        <w:rPr>
          <w:rFonts w:ascii="Arial" w:hAnsi="Arial" w:cs="Arial"/>
          <w:lang w:val="en-US"/>
        </w:rPr>
        <w:t>them</w:t>
      </w:r>
      <w:proofErr w:type="gramEnd"/>
      <w:r w:rsidR="00CE1164">
        <w:rPr>
          <w:rFonts w:ascii="Arial" w:hAnsi="Arial" w:cs="Arial"/>
          <w:lang w:val="en-US"/>
        </w:rPr>
        <w:t xml:space="preserve"> we included a </w:t>
      </w:r>
      <w:r w:rsidR="006B3D2F" w:rsidRPr="00F16271">
        <w:rPr>
          <w:rFonts w:ascii="Arial" w:hAnsi="Arial" w:cs="Arial"/>
          <w:lang w:val="en-US"/>
        </w:rPr>
        <w:t xml:space="preserve">more homogenous study population. </w:t>
      </w:r>
      <w:r w:rsidR="00AA7DF6" w:rsidRPr="00F16271">
        <w:rPr>
          <w:rFonts w:ascii="Arial" w:hAnsi="Arial" w:cs="Arial"/>
          <w:lang w:val="en-US"/>
        </w:rPr>
        <w:t>See Supplemental Digital Content 5 that illustrates the creation of the cohort.</w:t>
      </w:r>
      <w:r w:rsidR="00AA7DF6">
        <w:rPr>
          <w:rFonts w:ascii="Arial" w:hAnsi="Arial" w:cs="Arial"/>
          <w:lang w:val="en-US"/>
        </w:rPr>
        <w:t xml:space="preserve"> </w:t>
      </w:r>
      <w:r w:rsidRPr="00D346B0">
        <w:rPr>
          <w:rFonts w:ascii="Arial" w:hAnsi="Arial" w:cs="Arial"/>
          <w:lang w:val="en-US"/>
        </w:rPr>
        <w:t xml:space="preserve">If patients participated in more than one of the health surveys (n=45), we used information from the earliest survey after their </w:t>
      </w:r>
      <w:r>
        <w:rPr>
          <w:rFonts w:ascii="Arial" w:hAnsi="Arial" w:cs="Arial"/>
          <w:lang w:val="en-US"/>
        </w:rPr>
        <w:t xml:space="preserve">ALD </w:t>
      </w:r>
      <w:r w:rsidRPr="00D346B0">
        <w:rPr>
          <w:rFonts w:ascii="Arial" w:hAnsi="Arial" w:cs="Arial"/>
          <w:lang w:val="en-US"/>
        </w:rPr>
        <w:t>diagnosis.</w:t>
      </w:r>
    </w:p>
    <w:p w14:paraId="5A57A72A" w14:textId="2AD914A1" w:rsidR="00876D1E" w:rsidRDefault="00EC251B" w:rsidP="0001375F">
      <w:pPr>
        <w:tabs>
          <w:tab w:val="left" w:pos="567"/>
        </w:tabs>
        <w:spacing w:line="480" w:lineRule="auto"/>
        <w:rPr>
          <w:rFonts w:ascii="Arial" w:hAnsi="Arial" w:cs="Arial"/>
          <w:lang w:val="en-US"/>
        </w:rPr>
      </w:pPr>
      <w:r>
        <w:rPr>
          <w:rFonts w:ascii="Arial" w:hAnsi="Arial" w:cs="Arial"/>
          <w:lang w:val="en-US"/>
        </w:rPr>
        <w:tab/>
      </w:r>
      <w:r w:rsidR="00EE3369" w:rsidRPr="00433531">
        <w:rPr>
          <w:rFonts w:ascii="Arial" w:hAnsi="Arial" w:cs="Arial"/>
          <w:lang w:val="en-US"/>
        </w:rPr>
        <w:t xml:space="preserve">ALD </w:t>
      </w:r>
      <w:proofErr w:type="gramStart"/>
      <w:r w:rsidR="00EE3369" w:rsidRPr="00433531">
        <w:rPr>
          <w:rFonts w:ascii="Arial" w:hAnsi="Arial" w:cs="Arial"/>
          <w:lang w:val="en-US"/>
        </w:rPr>
        <w:t>was defined</w:t>
      </w:r>
      <w:proofErr w:type="gramEnd"/>
      <w:r w:rsidR="00EE3369" w:rsidRPr="00433531">
        <w:rPr>
          <w:rFonts w:ascii="Arial" w:hAnsi="Arial" w:cs="Arial"/>
          <w:lang w:val="en-US"/>
        </w:rPr>
        <w:t xml:space="preserve"> in </w:t>
      </w:r>
      <w:r w:rsidR="00AA7DF6">
        <w:rPr>
          <w:rFonts w:ascii="Arial" w:hAnsi="Arial" w:cs="Arial"/>
          <w:lang w:val="en-US"/>
        </w:rPr>
        <w:t>our</w:t>
      </w:r>
      <w:r w:rsidR="00AA7DF6" w:rsidRPr="00433531">
        <w:rPr>
          <w:rFonts w:ascii="Arial" w:hAnsi="Arial" w:cs="Arial"/>
          <w:lang w:val="en-US"/>
        </w:rPr>
        <w:t xml:space="preserve"> </w:t>
      </w:r>
      <w:r w:rsidR="00EE3369" w:rsidRPr="00433531">
        <w:rPr>
          <w:rFonts w:ascii="Arial" w:hAnsi="Arial" w:cs="Arial"/>
          <w:lang w:val="en-US"/>
        </w:rPr>
        <w:t xml:space="preserve">study either </w:t>
      </w:r>
      <w:r w:rsidR="000B42C9">
        <w:rPr>
          <w:rFonts w:ascii="Arial" w:hAnsi="Arial" w:cs="Arial"/>
          <w:lang w:val="en-US"/>
        </w:rPr>
        <w:t>as</w:t>
      </w:r>
      <w:r w:rsidR="00EE3369" w:rsidRPr="00433531">
        <w:rPr>
          <w:rFonts w:ascii="Arial" w:hAnsi="Arial" w:cs="Arial"/>
          <w:lang w:val="en-US"/>
        </w:rPr>
        <w:t xml:space="preserve"> a diagnos</w:t>
      </w:r>
      <w:r w:rsidR="00883839">
        <w:rPr>
          <w:rFonts w:ascii="Arial" w:hAnsi="Arial" w:cs="Arial"/>
          <w:lang w:val="en-US"/>
        </w:rPr>
        <w:t>tic code</w:t>
      </w:r>
      <w:r w:rsidR="00EE3369" w:rsidRPr="00433531">
        <w:rPr>
          <w:rFonts w:ascii="Arial" w:hAnsi="Arial" w:cs="Arial"/>
          <w:lang w:val="en-US"/>
        </w:rPr>
        <w:t xml:space="preserve"> specifying ALD or </w:t>
      </w:r>
      <w:r w:rsidR="000B42C9">
        <w:rPr>
          <w:rFonts w:ascii="Arial" w:hAnsi="Arial" w:cs="Arial"/>
          <w:lang w:val="en-US"/>
        </w:rPr>
        <w:t>as</w:t>
      </w:r>
      <w:r w:rsidR="00EE3369" w:rsidRPr="00433531">
        <w:rPr>
          <w:rFonts w:ascii="Arial" w:hAnsi="Arial" w:cs="Arial"/>
          <w:lang w:val="en-US"/>
        </w:rPr>
        <w:t xml:space="preserve"> the combination of a diagnos</w:t>
      </w:r>
      <w:r w:rsidR="0052365D">
        <w:rPr>
          <w:rFonts w:ascii="Arial" w:hAnsi="Arial" w:cs="Arial"/>
          <w:lang w:val="en-US"/>
        </w:rPr>
        <w:t>tic code</w:t>
      </w:r>
      <w:r w:rsidR="00883839">
        <w:rPr>
          <w:rFonts w:ascii="Arial" w:hAnsi="Arial" w:cs="Arial"/>
          <w:lang w:val="en-US"/>
        </w:rPr>
        <w:t xml:space="preserve"> for</w:t>
      </w:r>
      <w:r w:rsidR="00EE3369" w:rsidRPr="00433531">
        <w:rPr>
          <w:rFonts w:ascii="Arial" w:hAnsi="Arial" w:cs="Arial"/>
          <w:lang w:val="en-US"/>
        </w:rPr>
        <w:t xml:space="preserve"> </w:t>
      </w:r>
      <w:r w:rsidR="00AA7DF6">
        <w:rPr>
          <w:rFonts w:ascii="Arial" w:hAnsi="Arial" w:cs="Arial"/>
          <w:lang w:val="en-US"/>
        </w:rPr>
        <w:t xml:space="preserve">a </w:t>
      </w:r>
      <w:r w:rsidR="00EE3369" w:rsidRPr="00433531">
        <w:rPr>
          <w:rFonts w:ascii="Arial" w:hAnsi="Arial" w:cs="Arial"/>
          <w:lang w:val="en-US"/>
        </w:rPr>
        <w:t>liver disease of unspecified etiology and a diagnostic code indicating alcohol use disorder. The</w:t>
      </w:r>
      <w:r w:rsidR="00EE3369" w:rsidRPr="00D346B0">
        <w:rPr>
          <w:rFonts w:ascii="Arial" w:hAnsi="Arial" w:cs="Arial"/>
          <w:lang w:val="en-US"/>
        </w:rPr>
        <w:t xml:space="preserve"> diagnostic codes for </w:t>
      </w:r>
      <w:r w:rsidR="00AA7DF6">
        <w:rPr>
          <w:rFonts w:ascii="Arial" w:hAnsi="Arial" w:cs="Arial"/>
          <w:lang w:val="en-US"/>
        </w:rPr>
        <w:t xml:space="preserve">a </w:t>
      </w:r>
      <w:r w:rsidR="00EE3369" w:rsidRPr="00D346B0">
        <w:rPr>
          <w:rFonts w:ascii="Arial" w:hAnsi="Arial" w:cs="Arial"/>
          <w:lang w:val="en-US"/>
        </w:rPr>
        <w:t xml:space="preserve">liver disease of unspecified etiology and alcohol use disorder had to </w:t>
      </w:r>
      <w:proofErr w:type="gramStart"/>
      <w:r w:rsidR="00EE3369" w:rsidRPr="00D346B0">
        <w:rPr>
          <w:rFonts w:ascii="Arial" w:hAnsi="Arial" w:cs="Arial"/>
          <w:lang w:val="en-US"/>
        </w:rPr>
        <w:t>be recorded</w:t>
      </w:r>
      <w:proofErr w:type="gramEnd"/>
      <w:r w:rsidR="00EE3369" w:rsidRPr="00D346B0">
        <w:rPr>
          <w:rFonts w:ascii="Arial" w:hAnsi="Arial" w:cs="Arial"/>
          <w:lang w:val="en-US"/>
        </w:rPr>
        <w:t xml:space="preserve"> </w:t>
      </w:r>
      <w:r w:rsidR="00A909B2" w:rsidRPr="00D41F98">
        <w:rPr>
          <w:rFonts w:ascii="Arial" w:hAnsi="Arial" w:cs="Arial"/>
          <w:lang w:val="en-US"/>
        </w:rPr>
        <w:t>within</w:t>
      </w:r>
      <w:r w:rsidR="00A909B2">
        <w:rPr>
          <w:rFonts w:ascii="Arial" w:hAnsi="Arial" w:cs="Arial"/>
          <w:lang w:val="en-US"/>
        </w:rPr>
        <w:t xml:space="preserve"> </w:t>
      </w:r>
      <w:r w:rsidR="00AA7DF6">
        <w:rPr>
          <w:rFonts w:ascii="Arial" w:hAnsi="Arial" w:cs="Arial"/>
          <w:lang w:val="en-US"/>
        </w:rPr>
        <w:t>one year. T</w:t>
      </w:r>
      <w:r w:rsidR="00EE3369" w:rsidRPr="00D346B0">
        <w:rPr>
          <w:rFonts w:ascii="Arial" w:hAnsi="Arial" w:cs="Arial"/>
          <w:lang w:val="en-US"/>
        </w:rPr>
        <w:t>he date of the latest of these codes defin</w:t>
      </w:r>
      <w:r w:rsidR="000B42C9">
        <w:rPr>
          <w:rFonts w:ascii="Arial" w:hAnsi="Arial" w:cs="Arial"/>
          <w:lang w:val="en-US"/>
        </w:rPr>
        <w:t>ed</w:t>
      </w:r>
      <w:r w:rsidR="00EE3369" w:rsidRPr="00D346B0">
        <w:rPr>
          <w:rFonts w:ascii="Arial" w:hAnsi="Arial" w:cs="Arial"/>
          <w:lang w:val="en-US"/>
        </w:rPr>
        <w:t xml:space="preserve"> the time of ALD diagnosis.</w:t>
      </w:r>
      <w:r w:rsidR="00485408">
        <w:rPr>
          <w:rFonts w:ascii="Arial" w:hAnsi="Arial" w:cs="Arial"/>
          <w:lang w:val="en-US"/>
        </w:rPr>
        <w:t xml:space="preserve"> For all applied diagnostic codes, see</w:t>
      </w:r>
      <w:r w:rsidR="00D904BF">
        <w:rPr>
          <w:rFonts w:ascii="Arial" w:hAnsi="Arial" w:cs="Arial"/>
          <w:lang w:val="en-US"/>
        </w:rPr>
        <w:t xml:space="preserve"> Supplemental Digital Content 4. </w:t>
      </w:r>
    </w:p>
    <w:p w14:paraId="29468EAC" w14:textId="1DA0142B" w:rsidR="004D4E0A" w:rsidRPr="00AA7DF6" w:rsidRDefault="00AA7DF6" w:rsidP="004D4E0A">
      <w:pPr>
        <w:spacing w:line="480" w:lineRule="auto"/>
        <w:rPr>
          <w:rFonts w:ascii="Helvetica" w:hAnsi="Helvetica"/>
          <w:lang w:val="en-US"/>
        </w:rPr>
      </w:pPr>
      <w:r w:rsidRPr="00F16271">
        <w:rPr>
          <w:rFonts w:ascii="Arial" w:hAnsi="Arial" w:cs="Arial"/>
          <w:szCs w:val="24"/>
          <w:lang w:val="en-US"/>
        </w:rPr>
        <w:t xml:space="preserve">        Compared to medical chart reviews, the positive predictive value of the diagnostic codes obtained from the hospital registry </w:t>
      </w:r>
      <w:r w:rsidR="00E47150">
        <w:rPr>
          <w:rFonts w:ascii="Arial" w:hAnsi="Arial" w:cs="Arial"/>
          <w:szCs w:val="24"/>
          <w:lang w:val="en-US"/>
        </w:rPr>
        <w:t>are</w:t>
      </w:r>
      <w:r w:rsidRPr="00F16271">
        <w:rPr>
          <w:rFonts w:ascii="Arial" w:hAnsi="Arial" w:cs="Arial"/>
          <w:szCs w:val="24"/>
          <w:lang w:val="en-US"/>
        </w:rPr>
        <w:t xml:space="preserve"> </w:t>
      </w:r>
      <w:r w:rsidRPr="00F16271">
        <w:rPr>
          <w:rFonts w:ascii="Helvetica" w:hAnsi="Helvetica"/>
          <w:lang w:val="en-US"/>
        </w:rPr>
        <w:t>85 %</w:t>
      </w:r>
      <w:r w:rsidRPr="00F16271">
        <w:rPr>
          <w:rFonts w:ascii="Helvetica" w:hAnsi="Helvetica"/>
          <w:lang w:val="en-US"/>
        </w:rPr>
        <w:fldChar w:fldCharType="begin" w:fldLock="1"/>
      </w:r>
      <w:r w:rsidR="00D978E9">
        <w:rPr>
          <w:rFonts w:ascii="Helvetica" w:hAnsi="Helvetica"/>
          <w:lang w:val="en-US"/>
        </w:rPr>
        <w:instrText>ADDIN CSL_CITATION {"citationItems":[{"id":"ITEM-1","itemData":{"DOI":"10.1023/A:1022835207287","ISSN":"01485598","PMID":"9172066","abstract":"We estimated the validity, i.e., whether the diagnostic criteria were fulfilled for the patients registered with the diagnosis of liver cirrhosis in a Danish hospital discharge registry, and the completeness, i.e., whether all patients with liver cirrhosis were included in the registry. Information in the regional hospital discharge registry in the Country of Aarhus, Denmark was compared with hospital records and information in a pathology registry, 85.4% of the patients registered with a diagnosis of liver cirrhosis fulfilled the diagnostic criteria for the diagnosis (validity). 93.2% of the patients registered with biopsy proven liver cirrhosis in the pathology registry were found in the discharge registry (completeness) with a diagnosis of liver cirrhosis. The hospital discharge registry showed relatively few misclassifications and the Danish National Registry of Patients (NRP), which is based on the regional registries, may provide a unique study base for future research.","author":[{"dropping-particle":"","family":"Vestberg","given":"Kim","non-dropping-particle":"","parse-names":false,"suffix":""},{"dropping-particle":"","family":"Thulstrup","given":"Ane Marie","non-dropping-particle":"","parse-names":false,"suffix":""},{"dropping-particle":"","family":"Sørensen","given":"Henrik Toft","non-dropping-particle":"","parse-names":false,"suffix":""},{"dropping-particle":"","family":"Ottesen","given":"Peter","non-dropping-particle":"","parse-names":false,"suffix":""},{"dropping-particle":"","family":"Sabroe","given":"Svend","non-dropping-particle":"","parse-names":false,"suffix":""},{"dropping-particle":"","family":"Vilstrup","given":"Hendrik","non-dropping-particle":"","parse-names":false,"suffix":""}],"container-title":"Journal of Medical Systems","id":"ITEM-1","issue":"1","issued":{"date-parts":[["1997"]]},"page":"11-20","title":"Data quality of administratively collected hospital discharge data for liver cirrhosis epidemiology","type":"article-journal","volume":"21"},"uris":["http://www.mendeley.com/documents/?uuid=44df9655-5a8b-4ccd-bc93-1ca609ef05da"]}],"mendeley":{"formattedCitation":"&lt;sup&gt;8&lt;/sup&gt;","plainTextFormattedCitation":"8","previouslyFormattedCitation":"&lt;sup&gt;9&lt;/sup&gt;"},"properties":{"noteIndex":0},"schema":"https://github.com/citation-style-language/schema/raw/master/csl-citation.json"}</w:instrText>
      </w:r>
      <w:r w:rsidRPr="00F16271">
        <w:rPr>
          <w:rFonts w:ascii="Helvetica" w:hAnsi="Helvetica"/>
          <w:lang w:val="en-US"/>
        </w:rPr>
        <w:fldChar w:fldCharType="separate"/>
      </w:r>
      <w:r w:rsidR="00D978E9" w:rsidRPr="00D978E9">
        <w:rPr>
          <w:rFonts w:ascii="Helvetica" w:hAnsi="Helvetica"/>
          <w:noProof/>
          <w:vertAlign w:val="superscript"/>
          <w:lang w:val="en-US"/>
        </w:rPr>
        <w:t>8</w:t>
      </w:r>
      <w:r w:rsidRPr="00F16271">
        <w:rPr>
          <w:rFonts w:ascii="Helvetica" w:hAnsi="Helvetica"/>
          <w:lang w:val="en-US"/>
        </w:rPr>
        <w:fldChar w:fldCharType="end"/>
      </w:r>
      <w:r w:rsidRPr="00F16271">
        <w:rPr>
          <w:rFonts w:ascii="Helvetica" w:hAnsi="Helvetica"/>
          <w:lang w:val="en-US"/>
        </w:rPr>
        <w:t>, 100%</w:t>
      </w:r>
      <w:r w:rsidRPr="00F16271">
        <w:rPr>
          <w:rFonts w:ascii="Helvetica" w:hAnsi="Helvetica"/>
          <w:lang w:val="en-US"/>
        </w:rPr>
        <w:fldChar w:fldCharType="begin" w:fldLock="1"/>
      </w:r>
      <w:r w:rsidR="00D978E9">
        <w:rPr>
          <w:rFonts w:ascii="Helvetica" w:hAnsi="Helvetica"/>
          <w:lang w:val="en-US"/>
        </w:rPr>
        <w:instrText>ADDIN CSL_CITATION {"citationItems":[{"id":"ITEM-1","itemData":{"ISSN":"1053-8569","PMID":"70069283","abstract":"Background: The Charlson comorbidity index (CCI) is widely used to control for confounding by comorbid diseases in pharmacoepidemiologic research. This research often uses health care databases such as the Danish National Registry of Patients (NRP), which covers diagnoses, coded by physicians according to the International Classification of Diseases (ICD-10 since 1994), at all Danish hospitals. This database can be linked to a registry of prescription medications. Limited data exist regarding the validity of the coding of CCI diagnoses in the NRP. Objectives: We examined the positive predictive value (PPV) of diagnoses included in CCI as ascertained in the NRP. Methods: We conducted this study in the population of Northern Jutland, Denmark (10% of Danes), between 1998 and 2007. We searched the NRP for admissions for one of the 19 CCI diseases coded as a primary diagnosis. We randomly selected 50 admissions for each disease. We reviewed the discharge letter of each admission to confirm the comorbid disease. We reviewed the medical record when the discharge letter did not include a conclusive description of the comorbid disease. We calculated PPVs as the proportion of NRP diagnoses that could be confirmed. Results: We examined all 1132 NPR discharge codes (949 primary diagnoses and 183 secondary diagnoses) from 949 admissions. The overall PPV for the 19 comorbid diseases was 0.99 (95% CI 0.98, 0.99) for the primary diagnosis. Including both primary and secondary diagnoses yielded a PPVof 0.98 (95% CI 0.98, 0.99). The PPVs ranged between 0.94 (95% CI 0.85, 0.98) for diabetes and cerebrovascular disease 1.00 for congestive heart failure, peripheral vascular disease, chronic pulmonary disease, ulcer disease, mild and severe liver disease, hemiplegia, renal disease, leukaemia, lymphoma and AIDS. Conclusions: The PPVof diagnoses included in the CCI, as ascertained in the Danish NRP, is high.","author":[{"dropping-particle":"","family":"Thygesen","given":"Sandra K","non-dropping-particle":"","parse-names":false,"suffix":""},{"dropping-particle":"","family":"Christiansen","given":"Christian F","non-dropping-particle":"","parse-names":false,"suffix":""},{"dropping-particle":"","family":"Lash","given":"Timothy L","non-dropping-particle":"","parse-names":false,"suffix":""},{"dropping-particle":"","family":"Christensen","given":"Steffen","non-dropping-particle":"","parse-names":false,"suffix":""},{"dropping-particle":"","family":"Sørensen","given":"Henrik T","non-dropping-particle":"","parse-names":false,"suffix":""}],"container-title":"BMC Med Res Methodol.","id":"ITEM-1","issue":"83","issued":{"date-parts":[["2011"]]},"page":"2-7","title":"Predictive value of coding of diagnoses in the charlson comorbidity index in the Danish national registry of patients","type":"article-journal","volume":"11"},"uris":["http://www.mendeley.com/documents/?uuid=28086ef9-1348-4c3d-b5e6-e80a99f58720"]}],"mendeley":{"formattedCitation":"&lt;sup&gt;9&lt;/sup&gt;","plainTextFormattedCitation":"9","previouslyFormattedCitation":"&lt;sup&gt;10&lt;/sup&gt;"},"properties":{"noteIndex":0},"schema":"https://github.com/citation-style-language/schema/raw/master/csl-citation.json"}</w:instrText>
      </w:r>
      <w:r w:rsidRPr="00F16271">
        <w:rPr>
          <w:rFonts w:ascii="Helvetica" w:hAnsi="Helvetica"/>
          <w:lang w:val="en-US"/>
        </w:rPr>
        <w:fldChar w:fldCharType="separate"/>
      </w:r>
      <w:r w:rsidR="00D978E9" w:rsidRPr="00D978E9">
        <w:rPr>
          <w:rFonts w:ascii="Helvetica" w:hAnsi="Helvetica"/>
          <w:noProof/>
          <w:vertAlign w:val="superscript"/>
          <w:lang w:val="en-US"/>
        </w:rPr>
        <w:t>9</w:t>
      </w:r>
      <w:r w:rsidRPr="00F16271">
        <w:rPr>
          <w:rFonts w:ascii="Helvetica" w:hAnsi="Helvetica"/>
          <w:lang w:val="en-US"/>
        </w:rPr>
        <w:fldChar w:fldCharType="end"/>
      </w:r>
      <w:r w:rsidRPr="00F16271">
        <w:rPr>
          <w:rFonts w:ascii="Helvetica" w:hAnsi="Helvetica"/>
          <w:lang w:val="en-US"/>
        </w:rPr>
        <w:t>, and 71 %</w:t>
      </w:r>
      <w:r w:rsidRPr="00F16271">
        <w:rPr>
          <w:rFonts w:ascii="Helvetica" w:hAnsi="Helvetica"/>
        </w:rPr>
        <w:fldChar w:fldCharType="begin" w:fldLock="1"/>
      </w:r>
      <w:r w:rsidR="00D978E9">
        <w:rPr>
          <w:rFonts w:ascii="Helvetica" w:hAnsi="Helvetica"/>
          <w:lang w:val="en-US"/>
        </w:rPr>
        <w:instrText>ADDIN CSL_CITATION {"citationItems":[{"id":"ITEM-1","itemData":{"author":[{"dropping-particle":"","family":"Fialla","given":"Annette Dam","non-dropping-particle":"","parse-names":false,"suffix":""},{"dropping-particle":"","family":"Schaffalitzky de Muckadell","given":"Ove B;","non-dropping-particle":"","parse-names":false,"suffix":""},{"dropping-particle":"","family":"Lassen","given":"Annmarie Touborg","non-dropping-particle":"","parse-names":false,"suffix":""}],"container-title":"Scandinavian Journal of Gastroenterology Volume 47, 2012 - Issue 6","id":"ITEM-1","issued":{"date-parts":[["0"]]},"title":"Incidence, etiology and mortality of cirrhosis: a population-based cohort study","type":"article-journal"},"uris":["http://www.mendeley.com/documents/?uuid=d24e0090-a7b5-4c3f-8b09-4ea4e0d2bd78"]}],"mendeley":{"formattedCitation":"&lt;sup&gt;10&lt;/sup&gt;","plainTextFormattedCitation":"10","previouslyFormattedCitation":"&lt;sup&gt;7&lt;/sup&gt;"},"properties":{"noteIndex":0},"schema":"https://github.com/citation-style-language/schema/raw/master/csl-citation.json"}</w:instrText>
      </w:r>
      <w:r w:rsidRPr="00F16271">
        <w:rPr>
          <w:rFonts w:ascii="Helvetica" w:hAnsi="Helvetica"/>
        </w:rPr>
        <w:fldChar w:fldCharType="separate"/>
      </w:r>
      <w:r w:rsidR="00D978E9" w:rsidRPr="00D978E9">
        <w:rPr>
          <w:rFonts w:ascii="Helvetica" w:hAnsi="Helvetica"/>
          <w:noProof/>
          <w:vertAlign w:val="superscript"/>
          <w:lang w:val="en-US"/>
        </w:rPr>
        <w:t>10</w:t>
      </w:r>
      <w:r w:rsidRPr="00F16271">
        <w:rPr>
          <w:rFonts w:ascii="Helvetica" w:hAnsi="Helvetica"/>
        </w:rPr>
        <w:fldChar w:fldCharType="end"/>
      </w:r>
      <w:r w:rsidRPr="00F16271">
        <w:rPr>
          <w:rFonts w:ascii="Helvetica" w:hAnsi="Helvetica"/>
          <w:lang w:val="en-US"/>
        </w:rPr>
        <w:t xml:space="preserve"> </w:t>
      </w:r>
      <w:r w:rsidRPr="00F16271">
        <w:rPr>
          <w:rFonts w:ascii="Arial" w:hAnsi="Arial" w:cs="Arial"/>
          <w:szCs w:val="24"/>
          <w:lang w:val="en-US"/>
        </w:rPr>
        <w:t>for respectively liver cirrhosis, mild and moderate/severe liver disease, and ALD.”</w:t>
      </w:r>
      <w:r w:rsidR="004D4E0A" w:rsidRPr="00AA7DF6">
        <w:rPr>
          <w:rFonts w:ascii="Arial" w:hAnsi="Arial" w:cs="Arial"/>
          <w:lang w:val="en-US"/>
        </w:rPr>
        <w:t xml:space="preserve">       </w:t>
      </w:r>
    </w:p>
    <w:p w14:paraId="358DB67D" w14:textId="77777777" w:rsidR="00984C26" w:rsidRDefault="00984C26" w:rsidP="00130D32">
      <w:pPr>
        <w:spacing w:after="0" w:line="480" w:lineRule="auto"/>
        <w:rPr>
          <w:rFonts w:ascii="Arial" w:hAnsi="Arial" w:cs="Arial"/>
          <w:lang w:val="en-US"/>
        </w:rPr>
      </w:pPr>
    </w:p>
    <w:p w14:paraId="0974E233" w14:textId="1BF7000C" w:rsidR="00EE3369" w:rsidRPr="00141337" w:rsidRDefault="00141337" w:rsidP="00130D32">
      <w:pPr>
        <w:spacing w:after="0" w:line="480" w:lineRule="auto"/>
        <w:rPr>
          <w:rFonts w:ascii="Arial" w:hAnsi="Arial" w:cs="Arial"/>
          <w:b/>
          <w:lang w:val="en-US"/>
        </w:rPr>
      </w:pPr>
      <w:r w:rsidRPr="00DF782A">
        <w:rPr>
          <w:rFonts w:ascii="Arial" w:hAnsi="Arial" w:cs="Arial"/>
          <w:b/>
          <w:lang w:val="en-US"/>
        </w:rPr>
        <w:t>National comparison cohort</w:t>
      </w:r>
    </w:p>
    <w:p w14:paraId="144C2D17" w14:textId="2247AE28" w:rsidR="00AB1192" w:rsidRPr="0073330E" w:rsidRDefault="00855413" w:rsidP="00130D32">
      <w:pPr>
        <w:spacing w:after="240" w:line="480" w:lineRule="auto"/>
        <w:rPr>
          <w:rFonts w:ascii="Arial" w:hAnsi="Arial" w:cs="Arial"/>
          <w:lang w:val="en-GB"/>
        </w:rPr>
      </w:pPr>
      <w:r>
        <w:rPr>
          <w:rFonts w:ascii="Arial" w:hAnsi="Arial" w:cs="Arial"/>
          <w:lang w:val="en-US"/>
        </w:rPr>
        <w:t xml:space="preserve">       </w:t>
      </w:r>
      <w:r w:rsidR="00652C89">
        <w:rPr>
          <w:rFonts w:ascii="Arial" w:hAnsi="Arial" w:cs="Arial"/>
          <w:lang w:val="en-US"/>
        </w:rPr>
        <w:t>We investigated whether</w:t>
      </w:r>
      <w:r w:rsidR="00610C00">
        <w:rPr>
          <w:rFonts w:ascii="Arial" w:hAnsi="Arial" w:cs="Arial"/>
          <w:lang w:val="en-US"/>
        </w:rPr>
        <w:t xml:space="preserve"> </w:t>
      </w:r>
      <w:r w:rsidR="00704052">
        <w:rPr>
          <w:rFonts w:ascii="Arial" w:hAnsi="Arial" w:cs="Arial"/>
          <w:lang w:val="en-US"/>
        </w:rPr>
        <w:t xml:space="preserve">the </w:t>
      </w:r>
      <w:r w:rsidR="00610C00">
        <w:rPr>
          <w:rFonts w:ascii="Arial" w:hAnsi="Arial" w:cs="Arial"/>
          <w:lang w:val="en-US"/>
        </w:rPr>
        <w:t>included</w:t>
      </w:r>
      <w:r w:rsidR="00652C89">
        <w:rPr>
          <w:rFonts w:ascii="Arial" w:hAnsi="Arial" w:cs="Arial"/>
          <w:lang w:val="en-US"/>
        </w:rPr>
        <w:t xml:space="preserve"> ALD patients</w:t>
      </w:r>
      <w:r w:rsidR="00610C00">
        <w:rPr>
          <w:rFonts w:ascii="Arial" w:hAnsi="Arial" w:cs="Arial"/>
          <w:lang w:val="en-US"/>
        </w:rPr>
        <w:t xml:space="preserve"> from DHNS</w:t>
      </w:r>
      <w:r w:rsidR="00652C89">
        <w:rPr>
          <w:rFonts w:ascii="Arial" w:hAnsi="Arial" w:cs="Arial"/>
          <w:lang w:val="en-US"/>
        </w:rPr>
        <w:t xml:space="preserve"> and all ALD patients in Denmark</w:t>
      </w:r>
      <w:r w:rsidR="005C779D">
        <w:rPr>
          <w:rFonts w:ascii="Arial" w:hAnsi="Arial" w:cs="Arial"/>
          <w:lang w:val="en-US"/>
        </w:rPr>
        <w:t xml:space="preserve"> </w:t>
      </w:r>
      <w:r w:rsidR="00652C89">
        <w:rPr>
          <w:rFonts w:ascii="Arial" w:hAnsi="Arial" w:cs="Arial"/>
          <w:lang w:val="en-US"/>
        </w:rPr>
        <w:t xml:space="preserve">were </w:t>
      </w:r>
      <w:r w:rsidR="00610C00">
        <w:rPr>
          <w:rFonts w:ascii="Arial" w:hAnsi="Arial" w:cs="Arial"/>
          <w:lang w:val="en-US"/>
        </w:rPr>
        <w:t xml:space="preserve">comparable </w:t>
      </w:r>
      <w:r w:rsidR="00EC251B">
        <w:rPr>
          <w:rFonts w:ascii="Arial" w:hAnsi="Arial" w:cs="Arial"/>
          <w:lang w:val="en-US"/>
        </w:rPr>
        <w:t>with respect</w:t>
      </w:r>
      <w:r w:rsidR="00191789" w:rsidRPr="0001375F">
        <w:rPr>
          <w:rFonts w:ascii="Arial" w:hAnsi="Arial"/>
          <w:lang w:val="en-US"/>
        </w:rPr>
        <w:t xml:space="preserve"> to</w:t>
      </w:r>
      <w:r w:rsidR="00610C00">
        <w:rPr>
          <w:rFonts w:ascii="Arial" w:hAnsi="Arial" w:cs="Arial"/>
          <w:lang w:val="en-US"/>
        </w:rPr>
        <w:t xml:space="preserve"> </w:t>
      </w:r>
      <w:r w:rsidR="00652C89">
        <w:rPr>
          <w:rFonts w:ascii="Arial" w:hAnsi="Arial" w:cs="Arial"/>
          <w:lang w:val="en-US"/>
        </w:rPr>
        <w:t xml:space="preserve">sociodemographic </w:t>
      </w:r>
      <w:r w:rsidR="00652C89" w:rsidRPr="00F16271">
        <w:rPr>
          <w:rFonts w:ascii="Arial" w:hAnsi="Arial" w:cs="Arial"/>
          <w:lang w:val="en-US"/>
        </w:rPr>
        <w:t xml:space="preserve">factors and </w:t>
      </w:r>
      <w:r w:rsidR="0081503F" w:rsidRPr="00F16271">
        <w:rPr>
          <w:rFonts w:ascii="Arial" w:hAnsi="Arial" w:cs="Arial"/>
          <w:lang w:val="en-US"/>
        </w:rPr>
        <w:t xml:space="preserve">liver </w:t>
      </w:r>
      <w:r w:rsidR="00652C89" w:rsidRPr="00F16271">
        <w:rPr>
          <w:rFonts w:ascii="Arial" w:hAnsi="Arial" w:cs="Arial"/>
          <w:lang w:val="en-US"/>
        </w:rPr>
        <w:t xml:space="preserve">disease severity. </w:t>
      </w:r>
      <w:r w:rsidR="00191789" w:rsidRPr="00F16271">
        <w:rPr>
          <w:rFonts w:ascii="Arial" w:hAnsi="Arial" w:cs="Arial"/>
          <w:lang w:val="en-US"/>
        </w:rPr>
        <w:t>W</w:t>
      </w:r>
      <w:r w:rsidR="00652C89" w:rsidRPr="00F16271">
        <w:rPr>
          <w:rFonts w:ascii="Arial" w:hAnsi="Arial" w:cs="Arial"/>
          <w:lang w:val="en-US"/>
        </w:rPr>
        <w:t xml:space="preserve">e </w:t>
      </w:r>
      <w:r w:rsidR="00757B16" w:rsidRPr="00F16271">
        <w:rPr>
          <w:rFonts w:ascii="Arial" w:hAnsi="Arial" w:cs="Arial"/>
          <w:lang w:val="en-US"/>
        </w:rPr>
        <w:t>identified</w:t>
      </w:r>
      <w:r w:rsidR="00652C89" w:rsidRPr="00F16271">
        <w:rPr>
          <w:rFonts w:ascii="Arial" w:hAnsi="Arial" w:cs="Arial"/>
          <w:lang w:val="en-US"/>
        </w:rPr>
        <w:t xml:space="preserve"> all patients in Denmark </w:t>
      </w:r>
      <w:r w:rsidR="001053CC" w:rsidRPr="00F16271">
        <w:rPr>
          <w:rFonts w:ascii="Arial" w:hAnsi="Arial" w:cs="Arial"/>
          <w:lang w:val="en-US"/>
        </w:rPr>
        <w:t xml:space="preserve">who were alive and had a diagnosis of </w:t>
      </w:r>
      <w:r w:rsidR="00652C89" w:rsidRPr="00F16271">
        <w:rPr>
          <w:rFonts w:ascii="Arial" w:hAnsi="Arial" w:cs="Arial"/>
          <w:lang w:val="en-US"/>
        </w:rPr>
        <w:t xml:space="preserve">ALD </w:t>
      </w:r>
      <w:r w:rsidR="00140EEB" w:rsidRPr="00F16271">
        <w:rPr>
          <w:rFonts w:ascii="Arial" w:hAnsi="Arial" w:cs="Arial"/>
          <w:lang w:val="en-US"/>
        </w:rPr>
        <w:t xml:space="preserve">in February </w:t>
      </w:r>
      <w:r w:rsidR="00726007" w:rsidRPr="00F16271">
        <w:rPr>
          <w:rFonts w:ascii="Arial" w:hAnsi="Arial" w:cs="Arial"/>
          <w:lang w:val="en-US"/>
        </w:rPr>
        <w:t>201</w:t>
      </w:r>
      <w:r w:rsidR="00177DA4" w:rsidRPr="00F16271">
        <w:rPr>
          <w:rFonts w:ascii="Arial" w:hAnsi="Arial" w:cs="Arial"/>
          <w:lang w:val="en-US"/>
        </w:rPr>
        <w:t>7</w:t>
      </w:r>
      <w:r w:rsidR="00191789" w:rsidRPr="00F16271">
        <w:rPr>
          <w:rFonts w:ascii="Arial" w:hAnsi="Arial" w:cs="Arial"/>
          <w:lang w:val="en-US"/>
        </w:rPr>
        <w:t xml:space="preserve">. </w:t>
      </w:r>
      <w:r w:rsidR="00191789" w:rsidRPr="00F16271">
        <w:rPr>
          <w:rFonts w:ascii="Arial" w:hAnsi="Arial" w:cs="Arial"/>
          <w:lang w:val="en-US"/>
        </w:rPr>
        <w:lastRenderedPageBreak/>
        <w:t>A</w:t>
      </w:r>
      <w:r w:rsidR="00F46176" w:rsidRPr="00F16271">
        <w:rPr>
          <w:rFonts w:ascii="Arial" w:hAnsi="Arial" w:cs="Arial"/>
          <w:lang w:val="en-US"/>
        </w:rPr>
        <w:t xml:space="preserve">t </w:t>
      </w:r>
      <w:r w:rsidR="00191789" w:rsidRPr="00F16271">
        <w:rPr>
          <w:rFonts w:ascii="Arial" w:hAnsi="Arial" w:cs="Arial"/>
          <w:lang w:val="en-US"/>
        </w:rPr>
        <w:t xml:space="preserve">this </w:t>
      </w:r>
      <w:r w:rsidR="00F46176" w:rsidRPr="00F16271">
        <w:rPr>
          <w:rFonts w:ascii="Arial" w:hAnsi="Arial" w:cs="Arial"/>
          <w:lang w:val="en-US"/>
        </w:rPr>
        <w:t>time</w:t>
      </w:r>
      <w:r w:rsidR="00350352" w:rsidRPr="00F16271">
        <w:rPr>
          <w:rFonts w:ascii="Arial" w:hAnsi="Arial" w:cs="Arial"/>
          <w:lang w:val="en-US"/>
        </w:rPr>
        <w:t xml:space="preserve"> point</w:t>
      </w:r>
      <w:r w:rsidR="00191789" w:rsidRPr="00F16271">
        <w:rPr>
          <w:rFonts w:ascii="Arial" w:hAnsi="Arial" w:cs="Arial"/>
          <w:lang w:val="en-US"/>
        </w:rPr>
        <w:t>,</w:t>
      </w:r>
      <w:r w:rsidR="00F46176" w:rsidRPr="00F16271">
        <w:rPr>
          <w:rFonts w:ascii="Arial" w:hAnsi="Arial" w:cs="Arial"/>
          <w:lang w:val="en-US"/>
        </w:rPr>
        <w:t xml:space="preserve"> we assessed their sociodemographic factors</w:t>
      </w:r>
      <w:r w:rsidR="00141337" w:rsidRPr="00F16271">
        <w:rPr>
          <w:rFonts w:ascii="Arial" w:hAnsi="Arial" w:cs="Arial"/>
          <w:lang w:val="en-US"/>
        </w:rPr>
        <w:t xml:space="preserve"> and liver disease severity</w:t>
      </w:r>
      <w:r w:rsidR="0017324C" w:rsidRPr="00F16271">
        <w:rPr>
          <w:rFonts w:ascii="Arial" w:hAnsi="Arial" w:cs="Arial"/>
          <w:lang w:val="en-US"/>
        </w:rPr>
        <w:t>.</w:t>
      </w:r>
      <w:r w:rsidR="00726007" w:rsidRPr="00F16271">
        <w:rPr>
          <w:rFonts w:ascii="Arial" w:hAnsi="Arial" w:cs="Arial"/>
          <w:lang w:val="en-US"/>
        </w:rPr>
        <w:t xml:space="preserve"> </w:t>
      </w:r>
      <w:r w:rsidR="00D74C49" w:rsidRPr="00F16271">
        <w:rPr>
          <w:rFonts w:ascii="Arial" w:hAnsi="Arial" w:cs="Arial"/>
          <w:lang w:val="en-US"/>
        </w:rPr>
        <w:t>We</w:t>
      </w:r>
      <w:r w:rsidR="00D74C49">
        <w:rPr>
          <w:rFonts w:ascii="Arial" w:hAnsi="Arial" w:cs="Arial"/>
          <w:lang w:val="en-US"/>
        </w:rPr>
        <w:t xml:space="preserve"> excluded patients who </w:t>
      </w:r>
      <w:proofErr w:type="gramStart"/>
      <w:r w:rsidR="00D74C49">
        <w:rPr>
          <w:rFonts w:ascii="Arial" w:hAnsi="Arial" w:cs="Arial"/>
          <w:lang w:val="en-US"/>
        </w:rPr>
        <w:t>had been diagnosed</w:t>
      </w:r>
      <w:proofErr w:type="gramEnd"/>
      <w:r w:rsidR="00D74C49">
        <w:rPr>
          <w:rFonts w:ascii="Arial" w:hAnsi="Arial" w:cs="Arial"/>
          <w:lang w:val="en-US"/>
        </w:rPr>
        <w:t xml:space="preserve"> with ALD </w:t>
      </w:r>
      <w:r w:rsidR="00191789">
        <w:rPr>
          <w:rFonts w:ascii="Arial" w:hAnsi="Arial" w:cs="Arial"/>
          <w:lang w:val="en-US"/>
        </w:rPr>
        <w:t>before</w:t>
      </w:r>
      <w:r w:rsidR="00140EEB">
        <w:rPr>
          <w:rFonts w:ascii="Arial" w:hAnsi="Arial" w:cs="Arial"/>
          <w:lang w:val="en-US"/>
        </w:rPr>
        <w:t xml:space="preserve"> February 2007 </w:t>
      </w:r>
      <w:r w:rsidR="00D74C49">
        <w:rPr>
          <w:rFonts w:ascii="Arial" w:hAnsi="Arial" w:cs="Arial"/>
          <w:lang w:val="en-US"/>
        </w:rPr>
        <w:t xml:space="preserve">(corresponding </w:t>
      </w:r>
      <w:r w:rsidR="00191789">
        <w:rPr>
          <w:rFonts w:ascii="Arial" w:hAnsi="Arial" w:cs="Arial"/>
          <w:lang w:val="en-US"/>
        </w:rPr>
        <w:t xml:space="preserve">to </w:t>
      </w:r>
      <w:r w:rsidR="00D74C49">
        <w:rPr>
          <w:rFonts w:ascii="Arial" w:hAnsi="Arial" w:cs="Arial"/>
          <w:lang w:val="en-US"/>
        </w:rPr>
        <w:t xml:space="preserve">the </w:t>
      </w:r>
      <w:r w:rsidR="00485408">
        <w:rPr>
          <w:rFonts w:ascii="Arial" w:hAnsi="Arial" w:cs="Arial"/>
          <w:lang w:val="en-US"/>
        </w:rPr>
        <w:t xml:space="preserve">exclusion criterion of patients with ALD diagnosis </w:t>
      </w:r>
      <w:r w:rsidR="00ED550D">
        <w:rPr>
          <w:rFonts w:ascii="Arial" w:hAnsi="Arial" w:cs="Arial"/>
          <w:lang w:val="en-US"/>
        </w:rPr>
        <w:t xml:space="preserve">more </w:t>
      </w:r>
      <w:r w:rsidR="00ED550D" w:rsidRPr="00EF39F3">
        <w:rPr>
          <w:rFonts w:ascii="Arial" w:hAnsi="Arial" w:cs="Arial"/>
          <w:lang w:val="en-US"/>
        </w:rPr>
        <w:t xml:space="preserve">than </w:t>
      </w:r>
      <w:r w:rsidR="00191789">
        <w:rPr>
          <w:rFonts w:ascii="Arial" w:hAnsi="Arial" w:cs="Arial"/>
          <w:lang w:val="en-US"/>
        </w:rPr>
        <w:t>ten</w:t>
      </w:r>
      <w:r w:rsidR="00191789" w:rsidRPr="00EF39F3">
        <w:rPr>
          <w:rFonts w:ascii="Arial" w:hAnsi="Arial" w:cs="Arial"/>
          <w:lang w:val="en-US"/>
        </w:rPr>
        <w:t xml:space="preserve"> </w:t>
      </w:r>
      <w:r w:rsidR="00D74C49" w:rsidRPr="00EF39F3">
        <w:rPr>
          <w:rFonts w:ascii="Arial" w:hAnsi="Arial" w:cs="Arial"/>
          <w:lang w:val="en-US"/>
        </w:rPr>
        <w:t>year</w:t>
      </w:r>
      <w:r w:rsidR="00ED550D" w:rsidRPr="00EF39F3">
        <w:rPr>
          <w:rFonts w:ascii="Arial" w:hAnsi="Arial" w:cs="Arial"/>
          <w:lang w:val="en-US"/>
        </w:rPr>
        <w:t>s</w:t>
      </w:r>
      <w:r w:rsidR="00D74C49" w:rsidRPr="00EF39F3">
        <w:rPr>
          <w:rFonts w:ascii="Arial" w:hAnsi="Arial" w:cs="Arial"/>
          <w:lang w:val="en-US"/>
        </w:rPr>
        <w:t xml:space="preserve"> </w:t>
      </w:r>
      <w:r w:rsidR="00191789">
        <w:rPr>
          <w:rFonts w:ascii="Arial" w:hAnsi="Arial" w:cs="Arial"/>
          <w:lang w:val="en-US"/>
        </w:rPr>
        <w:t>before</w:t>
      </w:r>
      <w:r w:rsidR="00D74C49" w:rsidRPr="00EF39F3">
        <w:rPr>
          <w:rFonts w:ascii="Arial" w:hAnsi="Arial" w:cs="Arial"/>
          <w:lang w:val="en-US"/>
        </w:rPr>
        <w:t xml:space="preserve"> DHNS).</w:t>
      </w:r>
      <w:r w:rsidR="00481333" w:rsidRPr="00EF39F3">
        <w:rPr>
          <w:rFonts w:ascii="Arial" w:hAnsi="Arial" w:cs="Arial"/>
          <w:lang w:val="en-US"/>
        </w:rPr>
        <w:t xml:space="preserve"> The included ALD patients w</w:t>
      </w:r>
      <w:r w:rsidR="00191789">
        <w:rPr>
          <w:rFonts w:ascii="Arial" w:hAnsi="Arial" w:cs="Arial"/>
          <w:lang w:val="en-US"/>
        </w:rPr>
        <w:t>ere</w:t>
      </w:r>
      <w:r w:rsidR="00481333" w:rsidRPr="00EF39F3">
        <w:rPr>
          <w:rFonts w:ascii="Arial" w:hAnsi="Arial" w:cs="Arial"/>
          <w:lang w:val="en-US"/>
        </w:rPr>
        <w:t xml:space="preserve"> representative according to </w:t>
      </w:r>
      <w:r w:rsidR="00481333" w:rsidRPr="00EF39F3">
        <w:rPr>
          <w:rFonts w:ascii="Arial" w:hAnsi="Arial" w:cs="Arial"/>
          <w:lang w:val="en-GB"/>
        </w:rPr>
        <w:t xml:space="preserve">sociodemographic characteristics and </w:t>
      </w:r>
      <w:r w:rsidR="00191789">
        <w:rPr>
          <w:rFonts w:ascii="Arial" w:hAnsi="Arial" w:cs="Arial"/>
          <w:lang w:val="en-GB"/>
        </w:rPr>
        <w:t xml:space="preserve">liver </w:t>
      </w:r>
      <w:r w:rsidR="00481333" w:rsidRPr="00EF39F3">
        <w:rPr>
          <w:rFonts w:ascii="Arial" w:hAnsi="Arial" w:cs="Arial"/>
          <w:lang w:val="en-GB"/>
        </w:rPr>
        <w:t>disease severity</w:t>
      </w:r>
      <w:r w:rsidRPr="00F16271">
        <w:rPr>
          <w:rFonts w:ascii="Arial" w:hAnsi="Arial" w:cs="Arial"/>
          <w:i/>
          <w:lang w:val="en-GB"/>
        </w:rPr>
        <w:t xml:space="preserve"> </w:t>
      </w:r>
      <w:r w:rsidRPr="00F16271">
        <w:rPr>
          <w:rFonts w:ascii="Arial" w:hAnsi="Arial" w:cs="Arial"/>
          <w:lang w:val="en-GB"/>
        </w:rPr>
        <w:t>(</w:t>
      </w:r>
      <w:r w:rsidR="00191789">
        <w:rPr>
          <w:rFonts w:ascii="Arial" w:hAnsi="Arial" w:cs="Arial"/>
          <w:lang w:val="en-GB"/>
        </w:rPr>
        <w:t>s</w:t>
      </w:r>
      <w:r w:rsidRPr="00F16271">
        <w:rPr>
          <w:rFonts w:ascii="Arial" w:hAnsi="Arial" w:cs="Arial"/>
          <w:lang w:val="en-GB"/>
        </w:rPr>
        <w:t xml:space="preserve">ee </w:t>
      </w:r>
      <w:r w:rsidRPr="00F16271">
        <w:rPr>
          <w:rFonts w:ascii="Arial" w:hAnsi="Arial" w:cs="Arial"/>
          <w:lang w:val="en-US"/>
        </w:rPr>
        <w:t>Supplemental Digital Content 3</w:t>
      </w:r>
      <w:r w:rsidRPr="00F16271">
        <w:rPr>
          <w:rFonts w:ascii="Arial" w:hAnsi="Arial" w:cs="Arial"/>
          <w:szCs w:val="24"/>
          <w:lang w:val="en-US"/>
        </w:rPr>
        <w:t>).</w:t>
      </w:r>
    </w:p>
    <w:p w14:paraId="287339DA" w14:textId="77777777" w:rsidR="00DC5DD4" w:rsidRPr="00EF39F3" w:rsidRDefault="00DC5DD4" w:rsidP="00F16271">
      <w:pPr>
        <w:spacing w:after="0" w:line="480" w:lineRule="auto"/>
        <w:rPr>
          <w:rFonts w:ascii="Arial" w:hAnsi="Arial" w:cs="Arial"/>
          <w:lang w:val="en-US"/>
        </w:rPr>
      </w:pPr>
    </w:p>
    <w:p w14:paraId="01C541A8" w14:textId="298A8472" w:rsidR="005C3EA7" w:rsidRPr="00555B7E" w:rsidRDefault="00ED550D" w:rsidP="00F16271">
      <w:pPr>
        <w:pStyle w:val="Overskrift5"/>
        <w:rPr>
          <w:lang w:val="en-US"/>
        </w:rPr>
      </w:pPr>
      <w:r w:rsidRPr="00F16271">
        <w:rPr>
          <w:lang w:val="en-US"/>
        </w:rPr>
        <w:t xml:space="preserve">THE </w:t>
      </w:r>
      <w:r w:rsidR="005C3EA7" w:rsidRPr="00F16271">
        <w:rPr>
          <w:lang w:val="en-US"/>
        </w:rPr>
        <w:t>MEASUREMENTS</w:t>
      </w:r>
    </w:p>
    <w:p w14:paraId="37C555A4" w14:textId="77777777" w:rsidR="00DC5DD4" w:rsidRPr="00F16271" w:rsidRDefault="00DC5DD4" w:rsidP="00F16271">
      <w:pPr>
        <w:pStyle w:val="Ingenafstand"/>
        <w:rPr>
          <w:lang w:val="en-US"/>
        </w:rPr>
      </w:pPr>
    </w:p>
    <w:p w14:paraId="4871730D" w14:textId="5699458B" w:rsidR="00EE3369" w:rsidRPr="00D163B9" w:rsidRDefault="00855413" w:rsidP="00130D32">
      <w:pPr>
        <w:pStyle w:val="Overskrift3"/>
        <w:spacing w:line="480" w:lineRule="auto"/>
      </w:pPr>
      <w:r>
        <w:t>The s</w:t>
      </w:r>
      <w:r w:rsidR="00EE3369" w:rsidRPr="00D346B0">
        <w:t xml:space="preserve">elf-reported </w:t>
      </w:r>
      <w:r w:rsidR="005674C0" w:rsidRPr="00D163B9">
        <w:t>alcohol consumption</w:t>
      </w:r>
      <w:r w:rsidR="00631DC0" w:rsidRPr="00D163B9">
        <w:t xml:space="preserve"> </w:t>
      </w:r>
    </w:p>
    <w:p w14:paraId="7C4B6F87" w14:textId="1AA76D19" w:rsidR="00676734" w:rsidRDefault="00855413" w:rsidP="00091A90">
      <w:pPr>
        <w:spacing w:line="480" w:lineRule="auto"/>
        <w:rPr>
          <w:rFonts w:ascii="Arial" w:hAnsi="Arial" w:cs="Arial"/>
          <w:lang w:val="en-US"/>
        </w:rPr>
      </w:pPr>
      <w:r>
        <w:rPr>
          <w:rFonts w:ascii="Arial" w:hAnsi="Arial" w:cs="Arial"/>
          <w:lang w:val="en-US"/>
        </w:rPr>
        <w:t xml:space="preserve">       </w:t>
      </w:r>
      <w:r w:rsidR="00EE3369" w:rsidRPr="00F16271">
        <w:rPr>
          <w:rFonts w:ascii="Arial" w:hAnsi="Arial" w:cs="Arial"/>
          <w:lang w:val="en-US"/>
        </w:rPr>
        <w:t>The participa</w:t>
      </w:r>
      <w:r w:rsidR="00E25909" w:rsidRPr="00F16271">
        <w:rPr>
          <w:rFonts w:ascii="Arial" w:hAnsi="Arial" w:cs="Arial"/>
          <w:lang w:val="en-US"/>
        </w:rPr>
        <w:t>nts</w:t>
      </w:r>
      <w:r w:rsidR="00EE3369" w:rsidRPr="00F16271">
        <w:rPr>
          <w:rFonts w:ascii="Arial" w:hAnsi="Arial" w:cs="Arial"/>
          <w:lang w:val="en-US"/>
        </w:rPr>
        <w:t xml:space="preserve"> in</w:t>
      </w:r>
      <w:r w:rsidR="006D70F7" w:rsidRPr="00F16271">
        <w:rPr>
          <w:rFonts w:ascii="Arial" w:hAnsi="Arial" w:cs="Arial"/>
          <w:lang w:val="en-US"/>
        </w:rPr>
        <w:t xml:space="preserve"> DNHS</w:t>
      </w:r>
      <w:r w:rsidR="00EE3369" w:rsidRPr="00F16271">
        <w:rPr>
          <w:rFonts w:ascii="Arial" w:hAnsi="Arial" w:cs="Arial"/>
          <w:lang w:val="en-US"/>
        </w:rPr>
        <w:t xml:space="preserve"> </w:t>
      </w:r>
      <w:proofErr w:type="gramStart"/>
      <w:r w:rsidR="00EE3369" w:rsidRPr="00F16271">
        <w:rPr>
          <w:rFonts w:ascii="Arial" w:hAnsi="Arial" w:cs="Arial"/>
          <w:lang w:val="en-US"/>
        </w:rPr>
        <w:t>were asked</w:t>
      </w:r>
      <w:proofErr w:type="gramEnd"/>
      <w:r w:rsidR="00EE3369" w:rsidRPr="00F16271">
        <w:rPr>
          <w:rFonts w:ascii="Arial" w:hAnsi="Arial" w:cs="Arial"/>
          <w:lang w:val="en-US"/>
        </w:rPr>
        <w:t xml:space="preserve"> if they had been drinking alcohol in the </w:t>
      </w:r>
      <w:r w:rsidR="007669D5" w:rsidRPr="00F16271">
        <w:rPr>
          <w:rFonts w:ascii="Arial" w:hAnsi="Arial" w:cs="Arial"/>
          <w:lang w:val="en-US"/>
        </w:rPr>
        <w:t>past</w:t>
      </w:r>
      <w:r w:rsidR="00EE3369" w:rsidRPr="00F16271">
        <w:rPr>
          <w:rFonts w:ascii="Arial" w:hAnsi="Arial" w:cs="Arial"/>
          <w:lang w:val="en-US"/>
        </w:rPr>
        <w:t xml:space="preserve"> </w:t>
      </w:r>
      <w:r w:rsidR="00AB1192" w:rsidRPr="00F16271">
        <w:rPr>
          <w:rFonts w:ascii="Arial" w:hAnsi="Arial" w:cs="Arial"/>
          <w:lang w:val="en-US"/>
        </w:rPr>
        <w:t>twelve</w:t>
      </w:r>
      <w:r w:rsidR="00350352" w:rsidRPr="00F16271">
        <w:rPr>
          <w:rFonts w:ascii="Arial" w:hAnsi="Arial" w:cs="Arial"/>
          <w:lang w:val="en-US"/>
        </w:rPr>
        <w:t xml:space="preserve"> </w:t>
      </w:r>
      <w:r w:rsidR="00EE3369" w:rsidRPr="00F16271">
        <w:rPr>
          <w:rFonts w:ascii="Arial" w:hAnsi="Arial" w:cs="Arial"/>
          <w:lang w:val="en-US"/>
        </w:rPr>
        <w:t xml:space="preserve">months (yes/no). </w:t>
      </w:r>
      <w:r w:rsidR="00EE3369" w:rsidRPr="00ED550D">
        <w:rPr>
          <w:rFonts w:ascii="Tahoma" w:hAnsi="Tahoma" w:cs="Tahoma"/>
        </w:rPr>
        <w:t>﻿</w:t>
      </w:r>
      <w:r w:rsidR="00EE3369" w:rsidRPr="00F16271">
        <w:rPr>
          <w:rFonts w:ascii="Arial" w:hAnsi="Arial" w:cs="Arial"/>
          <w:lang w:val="en-US"/>
        </w:rPr>
        <w:t xml:space="preserve">If yes, </w:t>
      </w:r>
      <w:r w:rsidR="00074EA9" w:rsidRPr="00F16271">
        <w:rPr>
          <w:rFonts w:ascii="Arial" w:hAnsi="Arial" w:cs="Arial"/>
          <w:lang w:val="en-US"/>
        </w:rPr>
        <w:t xml:space="preserve">they </w:t>
      </w:r>
      <w:proofErr w:type="gramStart"/>
      <w:r w:rsidR="00EE3369" w:rsidRPr="00F16271">
        <w:rPr>
          <w:rFonts w:ascii="Arial" w:hAnsi="Arial" w:cs="Arial"/>
          <w:lang w:val="en-US"/>
        </w:rPr>
        <w:t>were asked</w:t>
      </w:r>
      <w:proofErr w:type="gramEnd"/>
      <w:r w:rsidR="00EE3369" w:rsidRPr="00F16271">
        <w:rPr>
          <w:rFonts w:ascii="Arial" w:hAnsi="Arial" w:cs="Arial"/>
          <w:lang w:val="en-US"/>
        </w:rPr>
        <w:t xml:space="preserve"> about the </w:t>
      </w:r>
      <w:r w:rsidR="00350352" w:rsidRPr="00F16271">
        <w:rPr>
          <w:rFonts w:ascii="Arial" w:hAnsi="Arial" w:cs="Arial"/>
          <w:lang w:val="en-US"/>
        </w:rPr>
        <w:t xml:space="preserve">number of standard units of </w:t>
      </w:r>
      <w:r w:rsidR="00EE3369" w:rsidRPr="00F16271">
        <w:rPr>
          <w:rFonts w:ascii="Arial" w:hAnsi="Arial" w:cs="Arial"/>
          <w:lang w:val="en-US"/>
        </w:rPr>
        <w:t xml:space="preserve">alcohol </w:t>
      </w:r>
      <w:r w:rsidR="00350352" w:rsidRPr="00F16271">
        <w:rPr>
          <w:rFonts w:ascii="Arial" w:hAnsi="Arial" w:cs="Arial"/>
          <w:lang w:val="en-US"/>
        </w:rPr>
        <w:t xml:space="preserve">consumed per day of </w:t>
      </w:r>
      <w:r w:rsidR="00EE3369" w:rsidRPr="00F16271">
        <w:rPr>
          <w:rFonts w:ascii="Arial" w:hAnsi="Arial" w:cs="Arial"/>
          <w:lang w:val="en-US"/>
        </w:rPr>
        <w:t>specific types of alcohol</w:t>
      </w:r>
      <w:r w:rsidR="00C079FB" w:rsidRPr="00F16271">
        <w:rPr>
          <w:rFonts w:ascii="Arial" w:hAnsi="Arial" w:cs="Arial"/>
          <w:lang w:val="en-US"/>
        </w:rPr>
        <w:t xml:space="preserve"> </w:t>
      </w:r>
      <w:r w:rsidR="00350352" w:rsidRPr="00F16271">
        <w:rPr>
          <w:rFonts w:ascii="Arial" w:hAnsi="Arial" w:cs="Arial"/>
          <w:lang w:val="en-US"/>
        </w:rPr>
        <w:t>(</w:t>
      </w:r>
      <w:r w:rsidR="00EE3369" w:rsidRPr="00F16271">
        <w:rPr>
          <w:rFonts w:ascii="Arial" w:hAnsi="Arial" w:cs="Arial"/>
          <w:lang w:val="en-US"/>
        </w:rPr>
        <w:t>beer</w:t>
      </w:r>
      <w:r w:rsidR="00350352" w:rsidRPr="00F16271">
        <w:rPr>
          <w:rFonts w:ascii="Arial" w:hAnsi="Arial" w:cs="Arial"/>
          <w:lang w:val="en-US"/>
        </w:rPr>
        <w:t>/alcohol cider</w:t>
      </w:r>
      <w:r w:rsidR="00EE3369" w:rsidRPr="00F16271">
        <w:rPr>
          <w:rFonts w:ascii="Arial" w:hAnsi="Arial" w:cs="Arial"/>
          <w:lang w:val="en-US"/>
        </w:rPr>
        <w:t>, wine, liquor</w:t>
      </w:r>
      <w:r w:rsidR="00350352" w:rsidRPr="00F16271">
        <w:rPr>
          <w:rFonts w:ascii="Arial" w:hAnsi="Arial" w:cs="Arial"/>
          <w:lang w:val="en-US"/>
        </w:rPr>
        <w:t>/alcohol soda</w:t>
      </w:r>
      <w:r w:rsidR="00EE3369" w:rsidRPr="00F16271">
        <w:rPr>
          <w:rFonts w:ascii="Arial" w:hAnsi="Arial" w:cs="Arial"/>
          <w:lang w:val="en-US"/>
        </w:rPr>
        <w:t xml:space="preserve">) during an average week. The total amount was converted into standard </w:t>
      </w:r>
      <w:r w:rsidR="005674C0" w:rsidRPr="00F16271">
        <w:rPr>
          <w:rFonts w:ascii="Arial" w:hAnsi="Arial" w:cs="Arial"/>
          <w:lang w:val="en-US"/>
        </w:rPr>
        <w:t>units</w:t>
      </w:r>
      <w:r w:rsidR="00EE3369" w:rsidRPr="00F16271">
        <w:rPr>
          <w:rFonts w:ascii="Arial" w:hAnsi="Arial" w:cs="Arial"/>
          <w:lang w:val="en-US"/>
        </w:rPr>
        <w:t xml:space="preserve"> per day (containing 12 g of ethanol)</w:t>
      </w:r>
      <w:r w:rsidR="00ED550D">
        <w:rPr>
          <w:rFonts w:ascii="Arial" w:hAnsi="Arial" w:cs="Arial"/>
          <w:lang w:val="en-US"/>
        </w:rPr>
        <w:t>.</w:t>
      </w:r>
      <w:r w:rsidR="00EE3369" w:rsidRPr="00F16271">
        <w:rPr>
          <w:rFonts w:ascii="Arial" w:hAnsi="Arial" w:cs="Arial"/>
        </w:rPr>
        <w:fldChar w:fldCharType="begin" w:fldLock="1"/>
      </w:r>
      <w:r w:rsidR="001B3D39">
        <w:rPr>
          <w:rFonts w:ascii="Arial" w:hAnsi="Arial" w:cs="Arial"/>
          <w:lang w:val="en-US"/>
        </w:rPr>
        <w:instrText>ADDIN CSL_CITATION {"citationItems":[{"id":"ITEM-1","itemData":{"DOI":"10.1177/1403494812451412","ISSN":"16511905","PMID":"22786925","abstract":"Aims: In 2010 the five Danish regions and the National Institute of Public Health at the University of Southern Denmark conducted a national representative health survey among the adult population in Denmark. This paper describes the study design and the sample and study population as well as the content of the questionnaire. Methods: The survey was based on five regional stratified random samples and one national random sample. The samples were mutually exclusive. A total of 298,550 individuals (16 years or older) were invited to participate. Information was collected using a mixed mode approach (paper and web questionnaires). A questionnaire with a minimum of 52 core questions was used in all six subsamples. Calibrated weights were computed in order to take account of the complex survey design and reduce non-response bias. Results: In all, 177,639 individuals completed the questionnaire (59.5%). The response rate varied from 52.3% in the Capital Region of Denmark sample to 65.5% in the North Denmark Region sample. The response rate was particularly low among young men, unmarried people and among individuals with a different ethnic background than Danish. The survey was a result of extensive national cooperation across sectors, which makes it unique in its field of application, e.g. health surveillance, planning and prioritizing public health initiatives and research. However, the low response rate in some subgroups of the study population can pose problems in generalizing data, and efforts to increase the response rate will be important in the forthcoming surveys. © 2012, the Nordic Societies of Public Health. All rights reserved.","author":[{"dropping-particle":"","family":"Christensen","given":"Anne Illemann","non-dropping-particle":"","parse-names":false,"suffix":""},{"dropping-particle":"","family":"Ekholm","given":"Ola","non-dropping-particle":"","parse-names":false,"suffix":""},{"dropping-particle":"","family":"Juel","given":"Knud","non-dropping-particle":"","parse-names":false,"suffix":""},{"dropping-particle":"","family":"Glümer","given":"Charlotte","non-dropping-particle":"","parse-names":false,"suffix":""},{"dropping-particle":"","family":"Andreasen","given":"Anne Helms","non-dropping-particle":"","parse-names":false,"suffix":""},{"dropping-particle":"","family":"Hvidberg","given":"Michael Falk","non-dropping-particle":"","parse-names":false,"suffix":""},{"dropping-particle":"","family":"Kristensen","given":"Peter Lund","non-dropping-particle":"","parse-names":false,"suffix":""},{"dropping-particle":"","family":"Larsen","given":"Finn Breinholt","non-dropping-particle":"","parse-names":false,"suffix":""},{"dropping-particle":"","family":"Ortiz","given":"Britta","non-dropping-particle":"","parse-names":false,"suffix":""}],"container-title":"Scandinavian Journal of Public Health","id":"ITEM-1","issue":"4","issued":{"date-parts":[["2012"]]},"page":"391-397","title":"The Danish National Health Survey 2010. Study design and respondent characteristics","type":"article-journal","volume":"40"},"uris":["http://www.mendeley.com/documents/?uuid=f3773b50-6e62-41ec-98a5-988cbd11e748"]}],"mendeley":{"formattedCitation":"&lt;sup&gt;11&lt;/sup&gt;","plainTextFormattedCitation":"11","previouslyFormattedCitation":"&lt;sup&gt;11&lt;/sup&gt;"},"properties":{"noteIndex":0},"schema":"https://github.com/citation-style-language/schema/raw/master/csl-citation.json"}</w:instrText>
      </w:r>
      <w:r w:rsidR="00EE3369" w:rsidRPr="00F16271">
        <w:rPr>
          <w:rFonts w:ascii="Arial" w:hAnsi="Arial" w:cs="Arial"/>
        </w:rPr>
        <w:fldChar w:fldCharType="separate"/>
      </w:r>
      <w:r w:rsidR="00B6591D" w:rsidRPr="00B6591D">
        <w:rPr>
          <w:rFonts w:ascii="Arial" w:hAnsi="Arial" w:cs="Arial"/>
          <w:noProof/>
          <w:vertAlign w:val="superscript"/>
          <w:lang w:val="en-US"/>
        </w:rPr>
        <w:t>11</w:t>
      </w:r>
      <w:r w:rsidR="00EE3369" w:rsidRPr="00F16271">
        <w:rPr>
          <w:rFonts w:ascii="Arial" w:hAnsi="Arial" w:cs="Arial"/>
        </w:rPr>
        <w:fldChar w:fldCharType="end"/>
      </w:r>
      <w:r w:rsidR="00EE3369" w:rsidRPr="00F16271">
        <w:rPr>
          <w:rFonts w:ascii="Arial" w:hAnsi="Arial" w:cs="Arial"/>
          <w:lang w:val="en-US"/>
        </w:rPr>
        <w:t xml:space="preserve"> In this study, we categorized alcohol consumption into abstaining (&lt;</w:t>
      </w:r>
      <w:proofErr w:type="gramStart"/>
      <w:r w:rsidR="00EE3369" w:rsidRPr="00F16271">
        <w:rPr>
          <w:rFonts w:ascii="Arial" w:hAnsi="Arial" w:cs="Arial"/>
          <w:lang w:val="en-US"/>
        </w:rPr>
        <w:t>1</w:t>
      </w:r>
      <w:proofErr w:type="gramEnd"/>
      <w:r w:rsidR="00EE3369" w:rsidRPr="00F16271">
        <w:rPr>
          <w:rFonts w:ascii="Arial" w:hAnsi="Arial" w:cs="Arial"/>
          <w:lang w:val="en-US"/>
        </w:rPr>
        <w:t xml:space="preserve"> </w:t>
      </w:r>
      <w:r w:rsidR="005674C0" w:rsidRPr="00F16271">
        <w:rPr>
          <w:rFonts w:ascii="Arial" w:hAnsi="Arial" w:cs="Arial"/>
          <w:lang w:val="en-US"/>
        </w:rPr>
        <w:t>unit</w:t>
      </w:r>
      <w:r w:rsidR="00EE3369" w:rsidRPr="00F16271">
        <w:rPr>
          <w:rFonts w:ascii="Arial" w:hAnsi="Arial" w:cs="Arial"/>
          <w:lang w:val="en-US"/>
        </w:rPr>
        <w:t xml:space="preserve"> per week), 1-13, 14-27, 28-41, and </w:t>
      </w:r>
      <w:r w:rsidR="00EE3369" w:rsidRPr="00F16271">
        <w:rPr>
          <w:rFonts w:ascii="Arial" w:hAnsi="Arial" w:cs="Arial"/>
        </w:rPr>
        <w:sym w:font="Symbol" w:char="F0B3"/>
      </w:r>
      <w:r w:rsidR="00EE3369" w:rsidRPr="00F16271">
        <w:rPr>
          <w:rFonts w:ascii="Arial" w:hAnsi="Arial" w:cs="Arial"/>
          <w:lang w:val="en-US"/>
        </w:rPr>
        <w:t xml:space="preserve">42 </w:t>
      </w:r>
      <w:r w:rsidR="005674C0" w:rsidRPr="00F16271">
        <w:rPr>
          <w:rFonts w:ascii="Arial" w:hAnsi="Arial" w:cs="Arial"/>
          <w:lang w:val="en-US"/>
        </w:rPr>
        <w:t>units</w:t>
      </w:r>
      <w:r w:rsidR="00EE3369" w:rsidRPr="00F16271">
        <w:rPr>
          <w:rFonts w:ascii="Arial" w:hAnsi="Arial" w:cs="Arial"/>
          <w:lang w:val="en-US"/>
        </w:rPr>
        <w:t xml:space="preserve"> per week. </w:t>
      </w:r>
      <w:r w:rsidR="007B5E28" w:rsidRPr="00F16271">
        <w:rPr>
          <w:rFonts w:ascii="Arial" w:hAnsi="Arial" w:cs="Arial"/>
          <w:lang w:val="en-US"/>
        </w:rPr>
        <w:t xml:space="preserve">Alcohol </w:t>
      </w:r>
      <w:r w:rsidR="00372DF7" w:rsidRPr="00F16271">
        <w:rPr>
          <w:rFonts w:ascii="Arial" w:hAnsi="Arial" w:cs="Arial"/>
          <w:lang w:val="en-US"/>
        </w:rPr>
        <w:t xml:space="preserve">use disorder </w:t>
      </w:r>
      <w:r w:rsidR="000A6F52" w:rsidRPr="00F16271">
        <w:rPr>
          <w:rFonts w:ascii="Arial" w:hAnsi="Arial" w:cs="Arial"/>
          <w:lang w:val="en-US"/>
        </w:rPr>
        <w:t xml:space="preserve">was </w:t>
      </w:r>
      <w:r w:rsidR="0006629E" w:rsidRPr="00F16271">
        <w:rPr>
          <w:rFonts w:ascii="Arial" w:hAnsi="Arial" w:cs="Arial"/>
          <w:lang w:val="en-US"/>
        </w:rPr>
        <w:t>assessed with</w:t>
      </w:r>
      <w:r w:rsidR="00EE3369" w:rsidRPr="00F16271">
        <w:rPr>
          <w:rFonts w:ascii="Arial" w:hAnsi="Arial" w:cs="Arial"/>
          <w:lang w:val="en-US"/>
        </w:rPr>
        <w:t xml:space="preserve"> the CAGE </w:t>
      </w:r>
      <w:r w:rsidR="00652C89" w:rsidRPr="00F16271">
        <w:rPr>
          <w:rFonts w:ascii="Arial" w:hAnsi="Arial" w:cs="Arial"/>
          <w:lang w:val="en-US"/>
        </w:rPr>
        <w:t>questionnaire</w:t>
      </w:r>
      <w:r w:rsidR="00EE3369" w:rsidRPr="00F16271">
        <w:rPr>
          <w:rFonts w:ascii="Arial" w:hAnsi="Arial" w:cs="Arial"/>
          <w:lang w:val="en-US"/>
        </w:rPr>
        <w:t xml:space="preserve"> </w:t>
      </w:r>
      <w:r w:rsidR="002D56C9" w:rsidRPr="00F16271">
        <w:rPr>
          <w:rFonts w:ascii="Arial" w:hAnsi="Arial" w:cs="Arial"/>
          <w:lang w:val="en-US"/>
        </w:rPr>
        <w:t xml:space="preserve">validated </w:t>
      </w:r>
      <w:r w:rsidR="00EE3369" w:rsidRPr="00F16271">
        <w:rPr>
          <w:rFonts w:ascii="Arial" w:hAnsi="Arial" w:cs="Arial"/>
          <w:lang w:val="en-US"/>
        </w:rPr>
        <w:t>for detecting</w:t>
      </w:r>
      <w:r w:rsidR="00F87019" w:rsidRPr="00F16271">
        <w:rPr>
          <w:rFonts w:ascii="Arial" w:hAnsi="Arial" w:cs="Arial"/>
          <w:lang w:val="en-US"/>
        </w:rPr>
        <w:t xml:space="preserve"> alcohol </w:t>
      </w:r>
      <w:r w:rsidR="00831552" w:rsidRPr="00F16271">
        <w:rPr>
          <w:rFonts w:ascii="Arial" w:hAnsi="Arial" w:cs="Arial"/>
          <w:lang w:val="en-US"/>
        </w:rPr>
        <w:t>misuse</w:t>
      </w:r>
      <w:r w:rsidR="00F87019" w:rsidRPr="00F16271">
        <w:rPr>
          <w:rFonts w:ascii="Arial" w:hAnsi="Arial" w:cs="Arial"/>
          <w:lang w:val="en-US"/>
        </w:rPr>
        <w:t xml:space="preserve"> and dependence </w:t>
      </w:r>
      <w:r w:rsidR="008A78B7" w:rsidRPr="00F16271">
        <w:rPr>
          <w:rFonts w:ascii="Arial" w:hAnsi="Arial" w:cs="Arial"/>
          <w:lang w:val="en-US"/>
        </w:rPr>
        <w:t>disorders</w:t>
      </w:r>
      <w:r w:rsidR="006208A6">
        <w:rPr>
          <w:rFonts w:ascii="Arial" w:hAnsi="Arial" w:cs="Arial"/>
          <w:lang w:val="en-US"/>
        </w:rPr>
        <w:t>.</w:t>
      </w:r>
      <w:r w:rsidR="00EE3369" w:rsidRPr="00F16271">
        <w:rPr>
          <w:rFonts w:ascii="Arial" w:hAnsi="Arial" w:cs="Arial"/>
        </w:rPr>
        <w:fldChar w:fldCharType="begin" w:fldLock="1"/>
      </w:r>
      <w:r w:rsidR="00B6591D">
        <w:rPr>
          <w:rFonts w:ascii="Arial" w:hAnsi="Arial" w:cs="Arial"/>
          <w:lang w:val="en-US"/>
        </w:rPr>
        <w:instrText>ADDIN CSL_CITATION {"citationItems":[{"id":"ITEM-1","itemData":{"DOI":"10.25011/cim.v30i1.447","ISSN":"0147958X","PMID":"17716538","abstract":"Purpose: To review the reliability and validity of the CAGE questionnaire across different patient populations and discuss its role in the detection of alcohol-related problems. Methods: The Cochrane Database for Systematic Reviews, Medline, Embase, and Psychinfo were searched. No systematic reviews were found on the Cochrane Database. Search of the other databases yielded one systematic review and one meta-analysis, on different aspects of CAGE. Three articles on reliability and 16 on validity of CAGE were found and used. Studies generally yielded Level II evidence. Results: CAGE has demonstrated high test-retest reliability (0.80-0.95), and adequate correlations (0.48-0.70) with other screening instruments. The questionnaire is a valid tool for detecting alcohol abuse and dependence in medical and surgical inpatients, ambulatory medical patients, and psychiatric inpatients (average sensitivity 0.71, specificity 0.90). Its performance in primary care patients has been varied, while it has not performed well in white women, prenatal women, and college students. Furthermore, it is not an appropriate screening test for less severe forms of drinking. Conclusions: CAGE is short, feasible to use, and easily applied in clinical practice. However, users should be aware of its limitations when interpreting the results. A positive screen should be followed by a proper diagnostic evaluation using standard clinical criteria. © 2007 CIM.","author":[{"dropping-particle":"","family":"Dhalla","given":"Shayesta","non-dropping-particle":"","parse-names":false,"suffix":""},{"dropping-particle":"","family":"Kopec","given":"Jacek A.","non-dropping-particle":"","parse-names":false,"suffix":""}],"container-title":"Clinical and Investigative Medicine","id":"ITEM-1","issue":"1","issued":{"date-parts":[["2007"]]},"page":"33-41","title":"The CAGE questionnaire for alcohol misuse: A review of reliability and validity studies","type":"article-journal","volume":"30"},"uris":["http://www.mendeley.com/documents/?uuid=5e5bf88a-c7aa-49c6-b899-62de97d6b8bd","http://www.mendeley.com/documents/?uuid=3bee0c33-cbba-470a-b1a0-7c088da7fbc3"]}],"mendeley":{"formattedCitation":"&lt;sup&gt;3&lt;/sup&gt;","plainTextFormattedCitation":"3","previouslyFormattedCitation":"&lt;sup&gt;3&lt;/sup&gt;"},"properties":{"noteIndex":0},"schema":"https://github.com/citation-style-language/schema/raw/master/csl-citation.json"}</w:instrText>
      </w:r>
      <w:r w:rsidR="00EE3369" w:rsidRPr="00F16271">
        <w:rPr>
          <w:rFonts w:ascii="Arial" w:hAnsi="Arial" w:cs="Arial"/>
        </w:rPr>
        <w:fldChar w:fldCharType="separate"/>
      </w:r>
      <w:r w:rsidR="006B3D2F" w:rsidRPr="006B3D2F">
        <w:rPr>
          <w:rFonts w:ascii="Arial" w:hAnsi="Arial" w:cs="Arial"/>
          <w:noProof/>
          <w:vertAlign w:val="superscript"/>
          <w:lang w:val="en-US"/>
        </w:rPr>
        <w:t>3</w:t>
      </w:r>
      <w:r w:rsidR="00EE3369" w:rsidRPr="00F16271">
        <w:rPr>
          <w:rFonts w:ascii="Arial" w:hAnsi="Arial" w:cs="Arial"/>
        </w:rPr>
        <w:fldChar w:fldCharType="end"/>
      </w:r>
      <w:r w:rsidR="00EE3369" w:rsidRPr="00F16271">
        <w:rPr>
          <w:rFonts w:ascii="Arial" w:hAnsi="Arial" w:cs="Arial"/>
          <w:lang w:val="en-US"/>
        </w:rPr>
        <w:t xml:space="preserve"> </w:t>
      </w:r>
    </w:p>
    <w:p w14:paraId="24111560" w14:textId="77777777" w:rsidR="00091A90" w:rsidRDefault="00091A90" w:rsidP="00091A90">
      <w:pPr>
        <w:spacing w:line="480" w:lineRule="auto"/>
        <w:rPr>
          <w:rFonts w:ascii="Arial" w:hAnsi="Arial" w:cs="Arial"/>
          <w:lang w:val="en-US"/>
        </w:rPr>
      </w:pPr>
    </w:p>
    <w:p w14:paraId="633A251E" w14:textId="0780D1A9" w:rsidR="006208A6" w:rsidRDefault="006208A6" w:rsidP="00F16271">
      <w:pPr>
        <w:pStyle w:val="Overskrift3"/>
      </w:pPr>
      <w:r>
        <w:t>The motivation to reduce alcohol consumption</w:t>
      </w:r>
    </w:p>
    <w:p w14:paraId="10890011" w14:textId="2FF0DDDC" w:rsidR="006817AC" w:rsidRDefault="006208A6" w:rsidP="006817AC">
      <w:pPr>
        <w:spacing w:line="480" w:lineRule="auto"/>
        <w:rPr>
          <w:rFonts w:ascii="Arial" w:hAnsi="Arial" w:cs="Arial"/>
          <w:lang w:val="en-US"/>
        </w:rPr>
      </w:pPr>
      <w:r>
        <w:rPr>
          <w:rFonts w:ascii="Arial" w:hAnsi="Arial" w:cs="Arial"/>
          <w:lang w:val="en-US"/>
        </w:rPr>
        <w:t xml:space="preserve">   </w:t>
      </w:r>
      <w:r w:rsidR="00855413">
        <w:rPr>
          <w:rFonts w:ascii="Arial" w:hAnsi="Arial" w:cs="Arial"/>
          <w:lang w:val="en-US"/>
        </w:rPr>
        <w:t xml:space="preserve">   </w:t>
      </w:r>
      <w:r>
        <w:rPr>
          <w:rFonts w:ascii="Arial" w:hAnsi="Arial" w:cs="Arial"/>
          <w:lang w:val="en-US"/>
        </w:rPr>
        <w:t xml:space="preserve"> </w:t>
      </w:r>
      <w:r w:rsidR="00BE0836">
        <w:rPr>
          <w:rFonts w:ascii="Arial" w:hAnsi="Arial" w:cs="Arial"/>
          <w:lang w:val="en-US"/>
        </w:rPr>
        <w:t>O</w:t>
      </w:r>
      <w:r w:rsidR="00BE0836" w:rsidRPr="00F16271">
        <w:rPr>
          <w:rFonts w:ascii="Arial" w:hAnsi="Arial" w:cs="Arial"/>
          <w:lang w:val="en-US"/>
        </w:rPr>
        <w:t xml:space="preserve">nly in patients </w:t>
      </w:r>
      <w:r w:rsidR="00BE0836">
        <w:rPr>
          <w:rFonts w:ascii="Arial" w:hAnsi="Arial" w:cs="Arial"/>
          <w:lang w:val="en-US"/>
        </w:rPr>
        <w:t xml:space="preserve">reporting </w:t>
      </w:r>
      <w:r w:rsidR="00E47150">
        <w:rPr>
          <w:rFonts w:ascii="Arial" w:hAnsi="Arial" w:cs="Arial"/>
          <w:lang w:val="en-US"/>
        </w:rPr>
        <w:t>active</w:t>
      </w:r>
      <w:r w:rsidR="00BE0836" w:rsidRPr="00F16271">
        <w:rPr>
          <w:rFonts w:ascii="Arial" w:hAnsi="Arial" w:cs="Arial"/>
          <w:lang w:val="en-US"/>
        </w:rPr>
        <w:t xml:space="preserve"> alcohol </w:t>
      </w:r>
      <w:r w:rsidR="00BE0836">
        <w:rPr>
          <w:rFonts w:ascii="Arial" w:hAnsi="Arial" w:cs="Arial"/>
          <w:lang w:val="en-US"/>
        </w:rPr>
        <w:t>consumption</w:t>
      </w:r>
      <w:r w:rsidR="00BE0836" w:rsidRPr="00F16271">
        <w:rPr>
          <w:rFonts w:ascii="Arial" w:hAnsi="Arial" w:cs="Arial"/>
          <w:lang w:val="en-US"/>
        </w:rPr>
        <w:t>,</w:t>
      </w:r>
      <w:r w:rsidR="00BE0836">
        <w:rPr>
          <w:rFonts w:ascii="Arial" w:hAnsi="Arial" w:cs="Arial"/>
          <w:lang w:val="en-US"/>
        </w:rPr>
        <w:t xml:space="preserve"> t</w:t>
      </w:r>
      <w:r w:rsidR="007D5AB3" w:rsidRPr="00F16271">
        <w:rPr>
          <w:rFonts w:ascii="Arial" w:hAnsi="Arial" w:cs="Arial"/>
          <w:lang w:val="en-US"/>
        </w:rPr>
        <w:t>he</w:t>
      </w:r>
      <w:r w:rsidR="00C16E58" w:rsidRPr="00F16271">
        <w:rPr>
          <w:rFonts w:ascii="Arial" w:hAnsi="Arial" w:cs="Arial"/>
          <w:lang w:val="en-US"/>
        </w:rPr>
        <w:t xml:space="preserve"> </w:t>
      </w:r>
      <w:r>
        <w:rPr>
          <w:rFonts w:ascii="Arial" w:hAnsi="Arial" w:cs="Arial"/>
          <w:lang w:val="en-US"/>
        </w:rPr>
        <w:t>motivation to reduce</w:t>
      </w:r>
      <w:r w:rsidR="00C16E58" w:rsidRPr="00F16271">
        <w:rPr>
          <w:rFonts w:ascii="Arial" w:hAnsi="Arial" w:cs="Arial"/>
          <w:lang w:val="en-US"/>
        </w:rPr>
        <w:t xml:space="preserve"> </w:t>
      </w:r>
      <w:r w:rsidR="007D5AB3" w:rsidRPr="00F16271">
        <w:rPr>
          <w:rFonts w:ascii="Arial" w:hAnsi="Arial" w:cs="Arial"/>
          <w:lang w:val="en-US"/>
        </w:rPr>
        <w:t xml:space="preserve">alcohol </w:t>
      </w:r>
      <w:r w:rsidR="00C16E58" w:rsidRPr="00F16271">
        <w:rPr>
          <w:rFonts w:ascii="Arial" w:hAnsi="Arial" w:cs="Arial"/>
          <w:lang w:val="en-US"/>
        </w:rPr>
        <w:t>consumption</w:t>
      </w:r>
      <w:r w:rsidR="007D5AB3" w:rsidRPr="00F16271">
        <w:rPr>
          <w:rFonts w:ascii="Arial" w:hAnsi="Arial" w:cs="Arial"/>
          <w:lang w:val="en-US"/>
        </w:rPr>
        <w:t xml:space="preserve"> </w:t>
      </w:r>
      <w:proofErr w:type="gramStart"/>
      <w:r w:rsidR="007D5AB3" w:rsidRPr="00F16271">
        <w:rPr>
          <w:rFonts w:ascii="Arial" w:hAnsi="Arial" w:cs="Arial"/>
          <w:lang w:val="en-US"/>
        </w:rPr>
        <w:t>was assessed</w:t>
      </w:r>
      <w:proofErr w:type="gramEnd"/>
      <w:r w:rsidR="007D5AB3" w:rsidRPr="00F16271">
        <w:rPr>
          <w:rFonts w:ascii="Arial" w:hAnsi="Arial" w:cs="Arial"/>
          <w:lang w:val="en-US"/>
        </w:rPr>
        <w:t xml:space="preserve"> by the question: </w:t>
      </w:r>
      <w:r w:rsidR="00EE3369" w:rsidRPr="00F16271">
        <w:rPr>
          <w:rFonts w:ascii="Arial" w:hAnsi="Arial" w:cs="Arial"/>
          <w:lang w:val="en-US"/>
        </w:rPr>
        <w:t>“</w:t>
      </w:r>
      <w:r w:rsidR="002637D3" w:rsidRPr="00F16271">
        <w:rPr>
          <w:rFonts w:ascii="Arial" w:hAnsi="Arial" w:cs="Arial"/>
          <w:i/>
          <w:lang w:val="en-US"/>
        </w:rPr>
        <w:t>D</w:t>
      </w:r>
      <w:r w:rsidR="00EE3369" w:rsidRPr="00F16271">
        <w:rPr>
          <w:rFonts w:ascii="Arial" w:hAnsi="Arial" w:cs="Arial"/>
          <w:i/>
          <w:lang w:val="en-US"/>
        </w:rPr>
        <w:t xml:space="preserve">o you want to </w:t>
      </w:r>
      <w:r w:rsidR="007D5AB3" w:rsidRPr="00F16271">
        <w:rPr>
          <w:rFonts w:ascii="Arial" w:hAnsi="Arial" w:cs="Arial"/>
          <w:i/>
          <w:lang w:val="en-US"/>
        </w:rPr>
        <w:t xml:space="preserve">reduce </w:t>
      </w:r>
      <w:r w:rsidR="00EE3369" w:rsidRPr="00F16271">
        <w:rPr>
          <w:rFonts w:ascii="Arial" w:hAnsi="Arial" w:cs="Arial"/>
          <w:i/>
          <w:lang w:val="en-US"/>
        </w:rPr>
        <w:t xml:space="preserve">your alcohol </w:t>
      </w:r>
      <w:r w:rsidR="007D5AB3" w:rsidRPr="00F16271">
        <w:rPr>
          <w:rFonts w:ascii="Arial" w:hAnsi="Arial" w:cs="Arial"/>
          <w:i/>
          <w:lang w:val="en-US"/>
        </w:rPr>
        <w:t>consumption</w:t>
      </w:r>
      <w:r w:rsidR="00EE3369" w:rsidRPr="00F16271">
        <w:rPr>
          <w:rFonts w:ascii="Arial" w:hAnsi="Arial" w:cs="Arial"/>
          <w:i/>
          <w:lang w:val="en-US"/>
        </w:rPr>
        <w:t>?</w:t>
      </w:r>
      <w:r w:rsidR="00EE3369" w:rsidRPr="00F16271">
        <w:rPr>
          <w:rFonts w:ascii="Arial" w:hAnsi="Arial" w:cs="Arial"/>
          <w:lang w:val="en-US"/>
        </w:rPr>
        <w:t>” with the response categories “</w:t>
      </w:r>
      <w:r w:rsidR="00EE3369" w:rsidRPr="00F16271">
        <w:rPr>
          <w:rFonts w:ascii="Arial" w:hAnsi="Arial" w:cs="Arial"/>
          <w:i/>
          <w:lang w:val="en-US"/>
        </w:rPr>
        <w:t>yes</w:t>
      </w:r>
      <w:r w:rsidR="00EE3369" w:rsidRPr="00F16271">
        <w:rPr>
          <w:rFonts w:ascii="Arial" w:hAnsi="Arial" w:cs="Arial"/>
          <w:lang w:val="en-US"/>
        </w:rPr>
        <w:t>”, “</w:t>
      </w:r>
      <w:r w:rsidR="00EE3369" w:rsidRPr="00F16271">
        <w:rPr>
          <w:rFonts w:ascii="Arial" w:hAnsi="Arial" w:cs="Arial"/>
          <w:i/>
          <w:lang w:val="en-US"/>
        </w:rPr>
        <w:t>no</w:t>
      </w:r>
      <w:r w:rsidR="00EE3369" w:rsidRPr="00F16271">
        <w:rPr>
          <w:rFonts w:ascii="Arial" w:hAnsi="Arial" w:cs="Arial"/>
          <w:lang w:val="en-US"/>
        </w:rPr>
        <w:t xml:space="preserve">” </w:t>
      </w:r>
      <w:r w:rsidR="00377519">
        <w:rPr>
          <w:rFonts w:ascii="Arial" w:hAnsi="Arial" w:cs="Arial"/>
          <w:lang w:val="en-US"/>
        </w:rPr>
        <w:t>and</w:t>
      </w:r>
      <w:r w:rsidR="00377519" w:rsidRPr="00F16271">
        <w:rPr>
          <w:rFonts w:ascii="Arial" w:hAnsi="Arial" w:cs="Arial"/>
          <w:lang w:val="en-US"/>
        </w:rPr>
        <w:t xml:space="preserve"> </w:t>
      </w:r>
      <w:r w:rsidR="00EE3369" w:rsidRPr="00F16271">
        <w:rPr>
          <w:rFonts w:ascii="Arial" w:hAnsi="Arial" w:cs="Arial"/>
          <w:lang w:val="en-US"/>
        </w:rPr>
        <w:t>“</w:t>
      </w:r>
      <w:r w:rsidR="00EE3369" w:rsidRPr="00F16271">
        <w:rPr>
          <w:rFonts w:ascii="Arial" w:hAnsi="Arial" w:cs="Arial"/>
          <w:i/>
          <w:lang w:val="en-US"/>
        </w:rPr>
        <w:t>don’t know</w:t>
      </w:r>
      <w:r w:rsidR="00EE3369" w:rsidRPr="00F16271">
        <w:rPr>
          <w:rFonts w:ascii="Arial" w:hAnsi="Arial" w:cs="Arial"/>
          <w:lang w:val="en-US"/>
        </w:rPr>
        <w:t>”.</w:t>
      </w:r>
      <w:r w:rsidR="00A068B6" w:rsidRPr="00F16271">
        <w:rPr>
          <w:rFonts w:ascii="Arial" w:hAnsi="Arial" w:cs="Arial"/>
          <w:lang w:val="en-US"/>
        </w:rPr>
        <w:t xml:space="preserve"> </w:t>
      </w:r>
      <w:r>
        <w:rPr>
          <w:rFonts w:ascii="Arial" w:hAnsi="Arial" w:cs="Arial"/>
          <w:lang w:val="en-US"/>
        </w:rPr>
        <w:t>This question</w:t>
      </w:r>
      <w:r w:rsidR="006817AC" w:rsidRPr="00ED550D">
        <w:rPr>
          <w:rFonts w:ascii="Arial" w:hAnsi="Arial" w:cs="Arial"/>
          <w:lang w:val="en-US"/>
        </w:rPr>
        <w:t xml:space="preserve"> has not</w:t>
      </w:r>
      <w:r>
        <w:rPr>
          <w:rFonts w:ascii="Arial" w:hAnsi="Arial" w:cs="Arial"/>
          <w:lang w:val="en-US"/>
        </w:rPr>
        <w:t xml:space="preserve"> been validated</w:t>
      </w:r>
      <w:r w:rsidR="00855413">
        <w:rPr>
          <w:rFonts w:ascii="Arial" w:hAnsi="Arial" w:cs="Arial"/>
          <w:lang w:val="en-US"/>
        </w:rPr>
        <w:t xml:space="preserve"> </w:t>
      </w:r>
      <w:r w:rsidR="00377519">
        <w:rPr>
          <w:rFonts w:ascii="Arial" w:hAnsi="Arial" w:cs="Arial"/>
          <w:lang w:val="en-US"/>
        </w:rPr>
        <w:t>in isolation</w:t>
      </w:r>
      <w:r>
        <w:rPr>
          <w:rFonts w:ascii="Arial" w:hAnsi="Arial" w:cs="Arial"/>
          <w:lang w:val="en-US"/>
        </w:rPr>
        <w:t>, but it is</w:t>
      </w:r>
      <w:r w:rsidR="006817AC" w:rsidRPr="00ED550D">
        <w:rPr>
          <w:rFonts w:ascii="Arial" w:hAnsi="Arial" w:cs="Arial"/>
          <w:lang w:val="en-US"/>
        </w:rPr>
        <w:t xml:space="preserve"> included in several validated questionnaires to assess motivation to change drinking behavior</w:t>
      </w:r>
      <w:r w:rsidR="00855413">
        <w:rPr>
          <w:rFonts w:ascii="Arial" w:hAnsi="Arial" w:cs="Arial"/>
          <w:lang w:val="en-US"/>
        </w:rPr>
        <w:t>.</w:t>
      </w:r>
      <w:r w:rsidR="006817AC" w:rsidRPr="00042C31">
        <w:rPr>
          <w:rFonts w:ascii="Arial" w:hAnsi="Arial" w:cs="Arial"/>
          <w:lang w:val="en-US"/>
        </w:rPr>
        <w:fldChar w:fldCharType="begin" w:fldLock="1"/>
      </w:r>
      <w:r w:rsidR="001B3D39">
        <w:rPr>
          <w:rFonts w:ascii="Arial" w:hAnsi="Arial" w:cs="Arial"/>
          <w:lang w:val="en-US"/>
        </w:rPr>
        <w:instrText>ADDIN CSL_CITATION {"citationItems":[{"id":"ITEM-1","itemData":{"ISBN":"9788578110796","ISSN":"1098-6596","PMID":"25246403","abstract":"We compared three measures of readiness to change alcohol use commonly used in clinical research and practice with adolescents: the Readiness Ruler, the SOCRATES (subscales of Recognition and Taking Steps), and a Staging Algorithm. The analysis sample consisted of 161 male and female adolescents presenting for intensive outpatient alcohol who reported current alcohol use at the initial assessment. Evidence for concurrent validity was assessed by computing simple correlations of each readiness measure with the other three, and of each readiness measure with drinking behavior (percentage of days abstinent (PDA) and drinks per drinking day (DDD), respectively, in the last 30 days) at the start of treatment and at the 6-month follow-up assessment. Evidence for predictive validity was based on percentage of independent variance accounted for by each of the readiness measures in predicting drinking behavior at six months from the start of treatment, and then in predicting drinking behavior at 12 months from the readiness assessment at 6 months. The results showed that all but Recognition had good concurrent validity, the Readiness Ruler score showed consistent evidence for predictive validity, and the Staging Algorithm showed good predictive validity for DDD at 6 and 12 months. For the 82 participants with an alcohol use disorder diagnosis, the findings for the Ruler and Recognition were similar, but the Staging Algorithm had poorer prediction of DDD at 12 months, and Taking Steps was a better predictor of 6- and 12-month PDA and DDD. Research and clinical implications of the findings are discussed. All","author":[{"dropping-particle":"","family":"Maisto SA, Krenek M, Chung T, Martin CS, Clark D","given":"Cornelius J. A","non-dropping-particle":"","parse-names":false,"suffix":""}],"container-title":"Psychological Assessment","id":"ITEM-1","issued":{"date-parts":[["2011"]]},"title":"A Comparison of the Concurrent and Predictive Validity of Three Measures of Readiness to Change Alcohol Use in a Clinical Sample of Adolescents","type":"article-journal"},"uris":["http://www.mendeley.com/documents/?uuid=7d1925dc-96c5-49ac-823e-c72fe6c7c60a"]},{"id":"ITEM-2","itemData":{"DOI":"10.1111/j.2044-8287.1996.tb00517.x","ISSN":"1359107X","abstract":"The structure of the Readiness to Change Questionnaire (RCQ) is examined on a sample of 174 male heavy drinkers. It is shown that the RCQ items assessing the precontemplation, contemplation and action stages of Prochaska &amp; DiClemente's model lack discriminant validity and that these three stages are not related in a simplex structure. A hierarchical factor model is fitted to the present data, producing a global second-order factor termed 'readiness to change'. It is shown that the RCQ items can be rescored to form a continuous measure of 'readiness to change' and evidence of the reliability and predictive validity of this scale is presented. The theoretical implications of these results are considered. © 1996 The British Psychological Society.","author":[{"dropping-particle":"","family":"Budd","given":"Richard J.","non-dropping-particle":"","parse-names":false,"suffix":""},{"dropping-particle":"","family":"Rollnick","given":"Stephen","non-dropping-particle":"","parse-names":false,"suffix":""}],"container-title":"British Journal of Health Psychology","id":"ITEM-2","issue":"4","issued":{"date-parts":[["1996"]]},"page":"365-376","title":"The structure of the Readiness to Change Questionnaire: A test of Prochaska &amp; DiClemente's transtheoretical model","type":"article-journal","volume":"1"},"uris":["http://www.mendeley.com/documents/?uuid=a44d3cbc-ead1-466b-92d6-54471c34efbd"]},{"id":"ITEM-3","itemData":{"DOI":"10.1016/j.addbeh.2009.03.013","ISSN":"03064603","PMID":"19395177","abstract":"The Stages of Change Readiness and Treatment Eagerness Scale (SOCRATES), a 19-item instrument developed to assess readiness to change alcohol use among individuals presenting for specialized alcohol treatment, has been used in various populations and settings. Its factor structure and concurrent validity has been described for specialized alcohol treatment settings and primary care. The purpose of this study was to determine the factor structure and concurrent validity of the SOCRATES among medical inpatients with unhealthy alcohol use not seeking help for specialized alcohol treatment. The subjects were 337 medical inpatients with unhealthy alcohol use, identified during their hospital stay. Most of them had alcohol dependence (76%). We performed an Alpha Factor Analysis (AFA) and Principal Component Analysis (PCA) of the 19 SOCRATES items, and forced 3 factors and 2 components, in order to replicate findings from Miller and Tonigan (Miller, W. R., &amp; Tonigan, J. S., (1996). Assessing drinkers' motivations for change: The Stages of Change Readiness and Treatment Eagerness Scale (SOCRATES). Psychology of Addictive Behavior, 10, 81-89.) and Maisto et al. (Maisto, S. A., Conigliaro, J., McNeil, M., Kraemer, K., O'Connor, M., &amp; Kelley, M. E., (1999). Factor structure of the SOCRATES in a sample of primary care patients. Addictive Behavior, 24(6), 879-892.). Our analysis supported the view that the 2 component solution proposed by Maisto et al. (Maisto, S.A., Conigliaro, J., McNeil, M., Kraemer, K., O'Connor, M., &amp; Kelley, M.E., (1999). Factor structure of the SOCRATES in a sample of primary care patients. Addictive Behavior, 24(6), 879-892.) is more appropriate for our data than the 3 factor solution proposed by Miller and Tonigan (Miller, W. R., &amp; Tonigan, J. S., (1996). Assessing drinkers' motivations for change: The Stages of Change Readiness and Treatment Eagerness Scale (SOCRATES). Psychology of Addictive Behavior, 10, 81-89.). The first component measured Perception of Problems and was more strongly correlated with severity of alcohol-related consequences, presence of alcohol dependence, and alcohol consumption levels (average number of drinks per day and total number of binge drinking days over the past 30 days) compared to the second component measuring Taking Action. Our findings support the view that the SOCRATES is comprised of two important readiness constructs in general medical patients identified by screening. © 2009 Elsevier Ltd. All rights …","author":[{"dropping-particle":"","family":"Bertholet","given":"Nicolas","non-dropping-particle":"","parse-names":false,"suffix":""},{"dropping-particle":"","family":"Dukes","given":"Kim","non-dropping-particle":"","parse-names":false,"suffix":""},{"dropping-particle":"","family":"Horton","given":"Nicholas J.","non-dropping-particle":"","parse-names":false,"suffix":""},{"dropping-particle":"","family":"Palfai","given":"Tibor P.","non-dropping-particle":"","parse-names":false,"suffix":""},{"dropping-particle":"","family":"Pedley","given":"Alison","non-dropping-particle":"","parse-names":false,"suffix":""},{"dropping-particle":"","family":"Saitz","given":"Richard","non-dropping-particle":"","parse-names":false,"suffix":""}],"container-title":"Addictive Behaviors","id":"ITEM-3","issue":"6-7","issued":{"date-parts":[["2009"]]},"page":"568-572","publisher":"Elsevier Ltd","title":"Factor structure of the SOCRATES questionnaire in hospitalized medical patients","type":"article-journal","volume":"34"},"uris":["http://www.mendeley.com/documents/?uuid=63362278-8f94-4417-b1b0-3109b219492f"]},{"id":"ITEM-4","itemData":{"DOI":"10.1037/0893-164X.19.1.112","ISSN":"0893164X","PMID":"15783287","abstract":"As part of a larger intervention study, the authors hypothesized that change rulers created for alcohol and safer sex would be equivalent to longer questionnaires. Ninety-six male college students completed rulers and questionnaires for assessing behavior change readiness. Participants' scores on the rulers significantly correlated with their scores on the questionnaires (r = .77 for alcohol; r = .77 for safer sex). In both domains, the rulers outperformed the questionnaires in predicting behavioral intentions, suggesting that the rulers had at least comparable concurrent criterion validity. This finding is the first of its kind in the safe sex literature and suggests that quick assessments of readiness to change are possible. Because the rulers are a continuous measure, the results are consistent with the idea that the change process is continuous rather than a series of discrete stages. Copyright 2005 by the Educational Publishing Foundation.","author":[{"dropping-particle":"","family":"Labrie","given":"Joseph W.","non-dropping-particle":"","parse-names":false,"suffix":""},{"dropping-particle":"","family":"Quinlan","given":"Thomas","non-dropping-particle":"","parse-names":false,"suffix":""},{"dropping-particle":"","family":"Schiffman","given":"Jason E.","non-dropping-particle":"","parse-names":false,"suffix":""},{"dropping-particle":"","family":"Earleywine","given":"Mitchell E.","non-dropping-particle":"","parse-names":false,"suffix":""}],"container-title":"Psychology of Addictive Behaviors","id":"ITEM-4","issue":"1","issued":{"date-parts":[["2005"]]},"page":"112-115","title":"Performance of alcohol and safer sex change rulers compared with readiness to change questionnaires","type":"article-journal","volume":"19"},"uris":["http://www.mendeley.com/documents/?uuid=ed931601-1076-44be-bd6d-b67ab69e99f2"]},{"id":"ITEM-5","itemData":{"DOI":"10.1111/j.1360-0443.1992.tb02720.x","PMID":"1591525","author":[{"dropping-particle":"","family":"Rollnick","given":"S","non-dropping-particle":"","parse-names":false,"suffix":""},{"dropping-particle":"","family":"Heather","given":"N","non-dropping-particle":"","parse-names":false,"suffix":""},{"dropping-particle":"","family":"Gold","given":"R","non-dropping-particle":"","parse-names":false,"suffix":""},{"dropping-particle":"","family":"Hall","given":"W","non-dropping-particle":"","parse-names":false,"suffix":""}],"container-title":"Br J Addict.","id":"ITEM-5","issued":{"date-parts":[["0"]]},"page":"743-54","title":"Development of a short 'readiness to change' questionnaire for use in brief, opportunistic interventions among excessive drinkers","type":"article-journal"},"uris":["http://www.mendeley.com/documents/?uuid=2a4fdb34-abb5-42d2-9cbc-0d7aa0f26ff4"]}],"mendeley":{"formattedCitation":"&lt;sup&gt;12–16&lt;/sup&gt;","plainTextFormattedCitation":"12–16","previouslyFormattedCitation":"&lt;sup&gt;12–16&lt;/sup&gt;"},"properties":{"noteIndex":0},"schema":"https://github.com/citation-style-language/schema/raw/master/csl-citation.json"}</w:instrText>
      </w:r>
      <w:r w:rsidR="006817AC" w:rsidRPr="00042C31">
        <w:rPr>
          <w:rFonts w:ascii="Arial" w:hAnsi="Arial" w:cs="Arial"/>
          <w:lang w:val="en-US"/>
        </w:rPr>
        <w:fldChar w:fldCharType="separate"/>
      </w:r>
      <w:r w:rsidR="00B6591D" w:rsidRPr="00B6591D">
        <w:rPr>
          <w:rFonts w:ascii="Arial" w:hAnsi="Arial" w:cs="Arial"/>
          <w:noProof/>
          <w:vertAlign w:val="superscript"/>
          <w:lang w:val="en-US"/>
        </w:rPr>
        <w:t>12–16</w:t>
      </w:r>
      <w:r w:rsidR="006817AC" w:rsidRPr="00042C31">
        <w:rPr>
          <w:rFonts w:ascii="Arial" w:hAnsi="Arial" w:cs="Arial"/>
          <w:lang w:val="en-US"/>
        </w:rPr>
        <w:fldChar w:fldCharType="end"/>
      </w:r>
      <w:r w:rsidR="006817AC" w:rsidRPr="00ED550D">
        <w:rPr>
          <w:rFonts w:ascii="Arial" w:hAnsi="Arial" w:cs="Arial"/>
          <w:lang w:val="en-US"/>
        </w:rPr>
        <w:t xml:space="preserve"> </w:t>
      </w:r>
      <w:proofErr w:type="gramStart"/>
      <w:r w:rsidR="006817AC" w:rsidRPr="00ED550D">
        <w:rPr>
          <w:rFonts w:ascii="Arial" w:hAnsi="Arial" w:cs="Arial"/>
          <w:lang w:val="en-US"/>
        </w:rPr>
        <w:t>Two</w:t>
      </w:r>
      <w:proofErr w:type="gramEnd"/>
      <w:r w:rsidR="006817AC" w:rsidRPr="00ED550D">
        <w:rPr>
          <w:rFonts w:ascii="Arial" w:hAnsi="Arial" w:cs="Arial"/>
          <w:lang w:val="en-US"/>
        </w:rPr>
        <w:t xml:space="preserve"> circumstances in our study indicated that the quest</w:t>
      </w:r>
      <w:r w:rsidR="006817AC" w:rsidRPr="00E9534F">
        <w:rPr>
          <w:rFonts w:ascii="Arial" w:hAnsi="Arial" w:cs="Arial"/>
          <w:lang w:val="en-US"/>
        </w:rPr>
        <w:t>ion was reliable to assess ALD patients</w:t>
      </w:r>
      <w:r w:rsidR="006817AC">
        <w:rPr>
          <w:rFonts w:ascii="Arial" w:hAnsi="Arial" w:cs="Arial"/>
          <w:lang w:val="en-US"/>
        </w:rPr>
        <w:t>’</w:t>
      </w:r>
      <w:r w:rsidR="006817AC" w:rsidRPr="00E9534F">
        <w:rPr>
          <w:rFonts w:ascii="Arial" w:hAnsi="Arial" w:cs="Arial"/>
          <w:lang w:val="en-US"/>
        </w:rPr>
        <w:t xml:space="preserve"> motivation to reduce alcohol consumption. First, we found similar associations between</w:t>
      </w:r>
      <w:r w:rsidR="006817AC">
        <w:rPr>
          <w:rFonts w:ascii="Arial" w:hAnsi="Arial" w:cs="Arial"/>
          <w:lang w:val="en-US"/>
        </w:rPr>
        <w:t xml:space="preserve"> the motivation </w:t>
      </w:r>
      <w:r w:rsidR="006817AC" w:rsidRPr="00072BCC">
        <w:rPr>
          <w:rFonts w:ascii="Arial" w:hAnsi="Arial" w:cs="Arial"/>
          <w:lang w:val="en-US"/>
        </w:rPr>
        <w:t xml:space="preserve">to reduce alcohol consumption </w:t>
      </w:r>
      <w:r w:rsidR="006817AC">
        <w:rPr>
          <w:rFonts w:ascii="Arial" w:hAnsi="Arial" w:cs="Arial"/>
          <w:lang w:val="en-US"/>
        </w:rPr>
        <w:t xml:space="preserve">and severity of alcohol </w:t>
      </w:r>
      <w:r w:rsidR="006817AC">
        <w:rPr>
          <w:rFonts w:ascii="Arial" w:hAnsi="Arial" w:cs="Arial"/>
          <w:lang w:val="en-US"/>
        </w:rPr>
        <w:lastRenderedPageBreak/>
        <w:t>consumption, dependence symptoms, and hospital admission</w:t>
      </w:r>
      <w:r w:rsidR="00191789">
        <w:rPr>
          <w:rFonts w:ascii="Arial" w:hAnsi="Arial" w:cs="Arial"/>
          <w:lang w:val="en-US"/>
        </w:rPr>
        <w:t>,</w:t>
      </w:r>
      <w:r w:rsidR="006817AC">
        <w:rPr>
          <w:rFonts w:ascii="Arial" w:hAnsi="Arial" w:cs="Arial"/>
          <w:lang w:val="en-US"/>
        </w:rPr>
        <w:t xml:space="preserve"> as reported in prior studies</w:t>
      </w:r>
      <w:r w:rsidR="00855413">
        <w:rPr>
          <w:rFonts w:ascii="Arial" w:hAnsi="Arial" w:cs="Arial"/>
          <w:lang w:val="en-US"/>
        </w:rPr>
        <w:t>.</w:t>
      </w:r>
      <w:r w:rsidR="006817AC">
        <w:rPr>
          <w:rFonts w:ascii="Arial" w:hAnsi="Arial" w:cs="Arial"/>
          <w:lang w:val="en-US"/>
        </w:rPr>
        <w:fldChar w:fldCharType="begin" w:fldLock="1"/>
      </w:r>
      <w:r w:rsidR="001B3D39">
        <w:rPr>
          <w:rFonts w:ascii="Arial" w:hAnsi="Arial" w:cs="Arial"/>
          <w:lang w:val="en-US"/>
        </w:rPr>
        <w:instrText>ADDIN CSL_CITATION {"citationItems":[{"id":"ITEM-1","itemData":{"DOI":"10.1370/afm.542","ISSN":"15441709","PMID":"16735522","abstract":"PURPOSE: Readiness to change drinking may influence the content or effectiveness of brief alcohol counseling. This study was designed to assess readiness to change and its relationship to alcohol misuse severity among primary care patients whose screening questionnaire was positive for alcohol misuse. METHODS: This study was a cross-sectional analysis of data collected from 2 consecutive mailed questionnaires. Male outpatients at 7 Veterans Affairs (VA) general medicine clinics were eligible if they returned both questionnaires, screened positive for alcohol misuse (augmented CAGE Questionnaire ≥1 point), responded to 3 readiness-to-change questions, and completed the Alcohol Use Disorders Identification Test (AUDIT). A validated algorithm based on 3 standardized questions categorized participants into 3 readiness groups (precontemplation, contemplation, action). Measures of alcohol misuse severity included AUDIT, CAGE, and the 3 consumption questions from the AUDIT (AUDIT-C). Analyses were descriptive; linear-by-linear associations between alcohol misuse severity and readiness were tested with χ2 statistics. RESULTS: Response rates to the first and second surveys were 59% and 55%, respectively. Of the 6,419 eligible outpatients who screened positive for alcohol misuse, 4,797 (75%) reported any readiness to change (contemplation 24%, action 51%). Among patients with AUDIT scores &gt;8, more than 90% indicated that they drank more than they should and/or had contemplated drinking less. Greater readiness was significantly associated with greater alcohol misuse severity (P &lt;.001 for all measures). CONCLUSIONS: Most primary care patients who screen positive for alcohol misuse indicate some readiness to change. Contrary to stereotypes of denial, those with greater alcohol misuse severity are more likely to report readiness to change.","author":[{"dropping-particle":"","family":"Williams","given":"Emily C.","non-dropping-particle":"","parse-names":false,"suffix":""},{"dropping-particle":"","family":"Kivlahan","given":"Daniel R.","non-dropping-particle":"","parse-names":false,"suffix":""},{"dropping-particle":"","family":"Saitz","given":"Richard","non-dropping-particle":"","parse-names":false,"suffix":""},{"dropping-particle":"","family":"Merrill","given":"Joseph O.","non-dropping-particle":"","parse-names":false,"suffix":""},{"dropping-particle":"","family":"Achtmeyer","given":"Carol E.","non-dropping-particle":"","parse-names":false,"suffix":""},{"dropping-particle":"","family":"McCormick","given":"Kinsey A.","non-dropping-particle":"","parse-names":false,"suffix":""},{"dropping-particle":"","family":"Bradley","given":"Katharine A.","non-dropping-particle":"","parse-names":false,"suffix":""}],"container-title":"Annals of Family Medicine","id":"ITEM-1","issue":"3","issued":{"date-parts":[["2006"]]},"page":"213-220","title":"Readiness to change in primary care patients who screened positive for alcohol misuse","type":"article-journal","volume":"4"},"uris":["http://www.mendeley.com/documents/?uuid=f30426dc-d11d-4356-9105-9bd76474e78f","http://www.mendeley.com/documents/?uuid=aa6cc393-f04f-4074-ba42-afa232d47660"]},{"id":"ITEM-2","itemData":{"DOI":"10.1016/S0163-8343(99)00032-8","ISSN":"01638343","PMID":"10572776","abstract":"The general hospital would be especially suited to initiate interventions if hospitalized alcohol-dependent individuals were particularly motivated to change their drinking behavior. This study compares the readiness to change of alcohol-dependent persons in the general hospital and the general population. Stages of change according to the model of Prochaska and DiClemente [6] are assessed using the Readiness to Change Questionnaire (RCQ) in two representative samples: 118 alcohol-dependent subjects admitted to a general hospital (sample 1) and 50 alcohol-dependent individuals in the general population (sample 2). In sample 1, alcohol-dependent persons were identified in 1167 consecutive admissions using screening questionnaires and a diagnostic interview (SCAN). In sample 2, alcohol dependence was assessed in 4075 individuals using a German version of CIDI. The distribution of stages of change differed significantly (p &lt; 0.0001) between the groups, revealing a shift towards higher stages in the hospital subjects. Logistic regression analysis revealed that the stages of readiness to change and age contributed in predicting whether subjects belonged to the general hospital or the general population sample. Findings suggest that the general hospital is a suitable site to initiate interventions for alcohol-dependent individuals.","author":[{"dropping-particle":"","family":"Rumpf","given":"Hans Jürgen","non-dropping-particle":"","parse-names":false,"suffix":""},{"dropping-particle":"","family":"Hapke","given":"Ulfert","non-dropping-particle":"","parse-names":false,"suffix":""},{"dropping-particle":"","family":"Meyer","given":"Christian","non-dropping-particle":"","parse-names":false,"suffix":""},{"dropping-particle":"","family":"John","given":"Ulrich","non-dropping-particle":"","parse-names":false,"suffix":""}],"container-title":"General Hospital Psychiatry","id":"ITEM-2","issue":"5","issued":{"date-parts":[["1999"]]},"page":"348-353","title":"Motivation to change drinking behavior: Comparison of alcohol-dependent individuals in a general hospital and a general population sample","type":"article-journal","volume":"21"},"uris":["http://www.mendeley.com/documents/?uuid=5735f196-aea6-4af2-bd74-e04e386b6d2b","http://www.mendeley.com/documents/?uuid=c1cb21cb-334d-4163-a28b-cf9df2ba13f0","http://www.mendeley.com/documents/?uuid=c6bea4ae-52ac-447d-9e90-b03898b2f33b"]},{"id":"ITEM-3","itemData":{"DOI":"10.1016/j.addbeh.2010.12.023","ISSN":"03064603","PMID":"21277685","abstract":"Screening measures for hazardous alcohol use that are efficient and can provide clinically relevant information are essential for primary care providers (PCPs). This study examined the clinical utility of the Alcohol Use Disorders Identification Test (AUDIT) and the AUDIT-Consumption (AUDIT-C) as predictors of readiness to change alcohol use in a primary care setting. In total, 114 veterans completed the AUDIT, readiness to change ruler, and an alcohol use disorders diagnostic interview. Two AUDIT-C scores were obtained; one administered during a primary care visit and one derived from the AUDIT. The AUDIT, both AUDIT-C scores, and number of dependence symptoms significantly predicted readiness to change independent of demographic variables. The AUDIT accounted for the greatest percentage of variance in readiness to change (19%). The AUDIT provides information about alcohol severity and readiness to change, which could be clinically useful for providers identifying patients for brief alcohol interventions. © 2010 Elsevier Ltd.","author":[{"dropping-particle":"","family":"Krenek","given":"Marketa","non-dropping-particle":"","parse-names":false,"suffix":""},{"dropping-particle":"","family":"Maisto","given":"Stephen A.","non-dropping-particle":"","parse-names":false,"suffix":""},{"dropping-particle":"","family":"Funderburk","given":"Jennifer S.","non-dropping-particle":"","parse-names":false,"suffix":""},{"dropping-particle":"","family":"Drayer","given":"Rebecca","non-dropping-particle":"","parse-names":false,"suffix":""}],"container-title":"Addictive Behaviors","id":"ITEM-3","issue":"5","issued":{"date-parts":[["2011"]]},"page":"512-515","publisher":"Elsevier Ltd","title":"Severity of alcohol problems and readiness to change alcohol use in primary care","type":"article-journal","volume":"36"},"uris":["http://www.mendeley.com/documents/?uuid=55c624d8-ebfe-48b8-bc83-1fc6f49fd57e","http://www.mendeley.com/documents/?uuid=f7988021-8881-45b0-9460-9b6389362db7","http://www.mendeley.com/documents/?uuid=d6252b06-af48-4789-b78e-989c38d0e239"]},{"id":"ITEM-4","itemData":{"DOI":"10.1111/jpm.12677","ISSN":"13652850","abstract":"What is known on the subject?: Readiness to change has been documented as a factor affecting alcohol treatment attendance, engagement and outcome. Knowledge regarding readiness to change and its influencing factors in patients with alcoholic liver diseases will inform the development of relevant interventions to help these patients to successfully stop drinking. What this paper adds to existing knowledge?: The scores in all three dimensions of readiness, recognition, ambivalence and taking steps, were low. For the recognition stage, age, drinking severity and stigma are important factors to be considered. For the ambivalence stage, age and drinking severity are important influencing factors. For the taking steps stage, drinking refusal self-efficacy and depression should be the focus. Instead of negative associations, we found that age and drinking severity, self-stigma and depression were positively associated with readiness to change. Patients who are younger and have higher drinking severity, higher self-stigma, higher self-efficacy and severe depression are more likely to change alcohol use. What are the implications for practice?: Age, drinking severity, self-stigma, drinking refusal self-efficacy and depression are important factors to be considered when mental health nurses try to increase psychological preparedness for changing alcohol use in patients with alcoholic liver diseases. Different factors must be considered for patients in different stages of readiness to change. Different alcohol treatments are needed for different patient populations. Abstract: Introduction Readiness to change (RC) refers to the willingness or psychological preparedness for changing alcohol use. Knowledge regarding factors influencing RC is crucial for developing alcohol treatment plans. Aims The study's purpose was to investigate RC and its influencing factors in patients with alcoholic liver disease (ALD). The factors explored include demographics, disease characteristics, drinking severity, self-stigma, depression, social support and self-efficacy. Method This is a cross-sectional study using self-reported questionnaires. Results Eighty-seven patients with ALD were recruited. Their scores in all three dimensions of readiness, recognition, ambivalence and taking steps, were low. Self-stigma, age and drinking severity explained 32.3% variation in recognition. Drinking severity and age explained 21.5% variation in ambivalence. Self-efficacy, depression and age expla…","author":[{"dropping-particle":"","family":"Chang","given":"Chi","non-dropping-particle":"","parse-names":false,"suffix":""},{"dropping-particle":"","family":"Wang","given":"Tsae Jyy","non-dropping-particle":"","parse-names":false,"suffix":""},{"dropping-particle":"","family":"Chen","given":"Ming Jen","non-dropping-particle":"","parse-names":false,"suffix":""},{"dropping-particle":"","family":"Liang","given":"Shu Yuan","non-dropping-particle":"","parse-names":false,"suffix":""},{"dropping-particle":"","family":"Wu","given":"Shu Fang","non-dropping-particle":"","parse-names":false,"suffix":""},{"dropping-particle":"","family":"Bai","given":"Ming Jong","non-dropping-particle":"","parse-names":false,"suffix":""}],"container-title":"Journal of Psychiatric and Mental Health Nursing","id":"ITEM-4","issue":"June","issued":{"date-parts":[["2020"]]},"page":"1-12","title":"Factors influencing readiness to change in patients with alcoholic liver disease: A cross-sectional study","type":"article-journal"},"uris":["http://www.mendeley.com/documents/?uuid=a4dc9050-c144-416f-8c27-757a2786f0cc","http://www.mendeley.com/documents/?uuid=f82a05f2-207f-45bd-99c0-c4fc9a9e39ef","http://www.mendeley.com/documents/?uuid=8aec2682-7497-41cd-a034-1cda2648b849"]}],"mendeley":{"formattedCitation":"&lt;sup&gt;17–20&lt;/sup&gt;","plainTextFormattedCitation":"17–20","previouslyFormattedCitation":"&lt;sup&gt;17–20&lt;/sup&gt;"},"properties":{"noteIndex":0},"schema":"https://github.com/citation-style-language/schema/raw/master/csl-citation.json"}</w:instrText>
      </w:r>
      <w:r w:rsidR="006817AC">
        <w:rPr>
          <w:rFonts w:ascii="Arial" w:hAnsi="Arial" w:cs="Arial"/>
          <w:lang w:val="en-US"/>
        </w:rPr>
        <w:fldChar w:fldCharType="separate"/>
      </w:r>
      <w:r w:rsidR="00B6591D" w:rsidRPr="00B6591D">
        <w:rPr>
          <w:rFonts w:ascii="Arial" w:hAnsi="Arial" w:cs="Arial"/>
          <w:noProof/>
          <w:vertAlign w:val="superscript"/>
          <w:lang w:val="en-US"/>
        </w:rPr>
        <w:t>17–20</w:t>
      </w:r>
      <w:r w:rsidR="006817AC">
        <w:rPr>
          <w:rFonts w:ascii="Arial" w:hAnsi="Arial" w:cs="Arial"/>
          <w:lang w:val="en-US"/>
        </w:rPr>
        <w:fldChar w:fldCharType="end"/>
      </w:r>
      <w:r w:rsidR="00855413">
        <w:rPr>
          <w:rFonts w:ascii="Arial" w:hAnsi="Arial" w:cs="Arial"/>
          <w:lang w:val="en-US"/>
        </w:rPr>
        <w:t xml:space="preserve"> </w:t>
      </w:r>
      <w:r w:rsidR="006817AC">
        <w:rPr>
          <w:rFonts w:ascii="Arial" w:hAnsi="Arial" w:cs="Arial"/>
          <w:lang w:val="en-US"/>
        </w:rPr>
        <w:t xml:space="preserve">Second, reporting </w:t>
      </w:r>
      <w:r>
        <w:rPr>
          <w:rFonts w:ascii="Arial" w:hAnsi="Arial" w:cs="Arial"/>
          <w:lang w:val="en-US"/>
        </w:rPr>
        <w:t xml:space="preserve">motivation to reduce </w:t>
      </w:r>
      <w:r w:rsidR="006817AC">
        <w:rPr>
          <w:rFonts w:ascii="Arial" w:hAnsi="Arial" w:cs="Arial"/>
          <w:lang w:val="en-US"/>
        </w:rPr>
        <w:t>alcohol consumption in the DNHS was associated with the highest level of motivation to ch</w:t>
      </w:r>
      <w:r w:rsidR="00855413">
        <w:rPr>
          <w:rFonts w:ascii="Arial" w:hAnsi="Arial" w:cs="Arial"/>
          <w:lang w:val="en-US"/>
        </w:rPr>
        <w:t>ange drinking behavior (action)</w:t>
      </w:r>
      <w:r w:rsidR="006817AC">
        <w:rPr>
          <w:rFonts w:ascii="Arial" w:hAnsi="Arial" w:cs="Arial"/>
          <w:lang w:val="en-US"/>
        </w:rPr>
        <w:fldChar w:fldCharType="begin" w:fldLock="1"/>
      </w:r>
      <w:r w:rsidR="001B3D39">
        <w:rPr>
          <w:rFonts w:ascii="Arial" w:hAnsi="Arial" w:cs="Arial"/>
          <w:lang w:val="en-US"/>
        </w:rPr>
        <w:instrText>ADDIN CSL_CITATION {"citationItems":[{"id":"ITEM-1","itemData":{"DOI":"10.1111/j.2044-8287.1996.tb00517.x","ISSN":"1359107X","abstract":"The structure of the Readiness to Change Questionnaire (RCQ) is examined on a sample of 174 male heavy drinkers. It is shown that the RCQ items assessing the precontemplation, contemplation and action stages of Prochaska &amp; DiClemente's model lack discriminant validity and that these three stages are not related in a simplex structure. A hierarchical factor model is fitted to the present data, producing a global second-order factor termed 'readiness to change'. It is shown that the RCQ items can be rescored to form a continuous measure of 'readiness to change' and evidence of the reliability and predictive validity of this scale is presented. The theoretical implications of these results are considered. © 1996 The British Psychological Society.","author":[{"dropping-particle":"","family":"Budd","given":"Richard J.","non-dropping-particle":"","parse-names":false,"suffix":""},{"dropping-particle":"","family":"Rollnick","given":"Stephen","non-dropping-particle":"","parse-names":false,"suffix":""}],"container-title":"British Journal of Health Psychology","id":"ITEM-1","issue":"4","issued":{"date-parts":[["1996"]]},"page":"365-376","title":"The structure of the Readiness to Change Questionnaire: A test of Prochaska &amp; DiClemente's transtheoretical model","type":"article-journal","volume":"1"},"uris":["http://www.mendeley.com/documents/?uuid=a44d3cbc-ead1-466b-92d6-54471c34efbd"]}],"mendeley":{"formattedCitation":"&lt;sup&gt;13&lt;/sup&gt;","plainTextFormattedCitation":"13","previouslyFormattedCitation":"&lt;sup&gt;13&lt;/sup&gt;"},"properties":{"noteIndex":0},"schema":"https://github.com/citation-style-language/schema/raw/master/csl-citation.json"}</w:instrText>
      </w:r>
      <w:r w:rsidR="006817AC">
        <w:rPr>
          <w:rFonts w:ascii="Arial" w:hAnsi="Arial" w:cs="Arial"/>
          <w:lang w:val="en-US"/>
        </w:rPr>
        <w:fldChar w:fldCharType="separate"/>
      </w:r>
      <w:r w:rsidR="00B6591D" w:rsidRPr="00B6591D">
        <w:rPr>
          <w:rFonts w:ascii="Arial" w:hAnsi="Arial" w:cs="Arial"/>
          <w:noProof/>
          <w:vertAlign w:val="superscript"/>
          <w:lang w:val="en-US"/>
        </w:rPr>
        <w:t>13</w:t>
      </w:r>
      <w:r w:rsidR="006817AC">
        <w:rPr>
          <w:rFonts w:ascii="Arial" w:hAnsi="Arial" w:cs="Arial"/>
          <w:lang w:val="en-US"/>
        </w:rPr>
        <w:fldChar w:fldCharType="end"/>
      </w:r>
      <w:r w:rsidR="006817AC">
        <w:rPr>
          <w:rFonts w:ascii="Arial" w:hAnsi="Arial" w:cs="Arial"/>
          <w:lang w:val="en-US"/>
        </w:rPr>
        <w:t xml:space="preserve">, assessed by the higher engagement in alcohol misuse treatment </w:t>
      </w:r>
      <w:r w:rsidR="00191789">
        <w:rPr>
          <w:rFonts w:ascii="Arial" w:hAnsi="Arial" w:cs="Arial"/>
          <w:lang w:val="en-US"/>
        </w:rPr>
        <w:t>after</w:t>
      </w:r>
      <w:r w:rsidR="006817AC">
        <w:rPr>
          <w:rFonts w:ascii="Arial" w:hAnsi="Arial" w:cs="Arial"/>
          <w:lang w:val="en-US"/>
        </w:rPr>
        <w:t xml:space="preserve"> participating in the DNHS.    </w:t>
      </w:r>
    </w:p>
    <w:p w14:paraId="231ECB42" w14:textId="77777777" w:rsidR="00191789" w:rsidRPr="00191789" w:rsidRDefault="00191789" w:rsidP="00F16271">
      <w:pPr>
        <w:rPr>
          <w:lang w:val="en-US"/>
        </w:rPr>
      </w:pPr>
    </w:p>
    <w:p w14:paraId="537B20F3" w14:textId="4683A3C4" w:rsidR="00EE3369" w:rsidRPr="00F16271" w:rsidRDefault="00EE3369" w:rsidP="00F16271">
      <w:pPr>
        <w:pStyle w:val="Overskrift3"/>
        <w:spacing w:after="240"/>
        <w:rPr>
          <w:rStyle w:val="Kommentarhenvisning"/>
          <w:sz w:val="22"/>
          <w:szCs w:val="22"/>
        </w:rPr>
      </w:pPr>
      <w:r w:rsidRPr="0069560F">
        <w:rPr>
          <w:rStyle w:val="Kommentarhenvisning"/>
          <w:sz w:val="22"/>
          <w:szCs w:val="22"/>
        </w:rPr>
        <w:t>C</w:t>
      </w:r>
      <w:r w:rsidR="00517929" w:rsidRPr="0069560F">
        <w:rPr>
          <w:rStyle w:val="Kommentarhenvisning"/>
          <w:sz w:val="22"/>
          <w:szCs w:val="22"/>
        </w:rPr>
        <w:t>linical and sociodemographic characteristics</w:t>
      </w:r>
    </w:p>
    <w:p w14:paraId="35F50947" w14:textId="12EB993E" w:rsidR="005C221C" w:rsidRPr="00F16271" w:rsidRDefault="00191789" w:rsidP="00F16271">
      <w:pPr>
        <w:spacing w:after="0" w:line="480" w:lineRule="auto"/>
        <w:rPr>
          <w:rFonts w:ascii="Arial" w:hAnsi="Arial" w:cs="Arial"/>
          <w:i/>
          <w:lang w:val="en-US"/>
        </w:rPr>
      </w:pPr>
      <w:r>
        <w:rPr>
          <w:rFonts w:ascii="Arial" w:hAnsi="Arial" w:cs="Arial"/>
          <w:i/>
          <w:lang w:val="en-US"/>
        </w:rPr>
        <w:t>The s</w:t>
      </w:r>
      <w:r w:rsidR="005C221C">
        <w:rPr>
          <w:rFonts w:ascii="Arial" w:hAnsi="Arial" w:cs="Arial"/>
          <w:i/>
          <w:lang w:val="en-US"/>
        </w:rPr>
        <w:t>everity of liver disease</w:t>
      </w:r>
    </w:p>
    <w:p w14:paraId="451AC1D4" w14:textId="1DE1026C" w:rsidR="005C221C" w:rsidRPr="0073330E" w:rsidRDefault="00042C31" w:rsidP="00130D32">
      <w:pPr>
        <w:spacing w:after="240" w:line="480" w:lineRule="auto"/>
        <w:rPr>
          <w:rFonts w:ascii="Arial" w:hAnsi="Arial" w:cs="Arial"/>
          <w:sz w:val="28"/>
          <w:highlight w:val="lightGray"/>
          <w:lang w:val="en-US"/>
        </w:rPr>
      </w:pPr>
      <w:r>
        <w:rPr>
          <w:rFonts w:ascii="Arial" w:hAnsi="Arial" w:cs="Arial"/>
          <w:lang w:val="en-US"/>
        </w:rPr>
        <w:t xml:space="preserve">   </w:t>
      </w:r>
      <w:r w:rsidR="00191789">
        <w:rPr>
          <w:rFonts w:ascii="Arial" w:hAnsi="Arial" w:cs="Arial"/>
          <w:lang w:val="en-US"/>
        </w:rPr>
        <w:t xml:space="preserve"> </w:t>
      </w:r>
      <w:r w:rsidR="005C3EA7" w:rsidRPr="00D346B0">
        <w:rPr>
          <w:rFonts w:ascii="Arial" w:hAnsi="Arial" w:cs="Arial"/>
          <w:lang w:val="en-US"/>
        </w:rPr>
        <w:t>The severity of ALD at the time of participa</w:t>
      </w:r>
      <w:r w:rsidR="005C3EA7">
        <w:rPr>
          <w:rFonts w:ascii="Arial" w:hAnsi="Arial" w:cs="Arial"/>
          <w:lang w:val="en-US"/>
        </w:rPr>
        <w:t>tion</w:t>
      </w:r>
      <w:r w:rsidR="005C3EA7" w:rsidRPr="00D346B0">
        <w:rPr>
          <w:rFonts w:ascii="Arial" w:hAnsi="Arial" w:cs="Arial"/>
          <w:lang w:val="en-US"/>
        </w:rPr>
        <w:t xml:space="preserve"> in </w:t>
      </w:r>
      <w:r w:rsidR="005C3EA7">
        <w:rPr>
          <w:rFonts w:ascii="Arial" w:hAnsi="Arial" w:cs="Arial"/>
          <w:lang w:val="en-US"/>
        </w:rPr>
        <w:t>DNHS</w:t>
      </w:r>
      <w:r w:rsidR="005C3EA7" w:rsidRPr="00D346B0">
        <w:rPr>
          <w:rFonts w:ascii="Arial" w:hAnsi="Arial" w:cs="Arial"/>
          <w:lang w:val="en-US"/>
        </w:rPr>
        <w:t xml:space="preserve"> </w:t>
      </w:r>
      <w:proofErr w:type="gramStart"/>
      <w:r w:rsidR="005C3EA7" w:rsidRPr="00D346B0">
        <w:rPr>
          <w:rFonts w:ascii="Arial" w:hAnsi="Arial" w:cs="Arial"/>
          <w:lang w:val="en-US"/>
        </w:rPr>
        <w:t>was categorized</w:t>
      </w:r>
      <w:proofErr w:type="gramEnd"/>
      <w:r w:rsidR="005C3EA7" w:rsidRPr="00D346B0">
        <w:rPr>
          <w:rFonts w:ascii="Arial" w:hAnsi="Arial" w:cs="Arial"/>
          <w:lang w:val="en-US"/>
        </w:rPr>
        <w:t xml:space="preserve"> as either </w:t>
      </w:r>
      <w:r w:rsidR="005C3EA7">
        <w:rPr>
          <w:rFonts w:ascii="Arial" w:hAnsi="Arial" w:cs="Arial"/>
          <w:i/>
          <w:lang w:val="en-US"/>
        </w:rPr>
        <w:t xml:space="preserve">cirrhosis </w:t>
      </w:r>
      <w:r w:rsidR="005C3EA7" w:rsidRPr="00D346B0">
        <w:rPr>
          <w:rFonts w:ascii="Arial" w:hAnsi="Arial" w:cs="Arial"/>
          <w:lang w:val="en-US"/>
        </w:rPr>
        <w:t xml:space="preserve">or </w:t>
      </w:r>
      <w:r w:rsidR="005C3EA7" w:rsidRPr="004C20AC">
        <w:rPr>
          <w:rFonts w:ascii="Arial" w:hAnsi="Arial" w:cs="Arial"/>
          <w:i/>
          <w:lang w:val="en-US"/>
        </w:rPr>
        <w:t>non-cirrhotic liver disease</w:t>
      </w:r>
      <w:r w:rsidR="005C3EA7" w:rsidRPr="002503F0">
        <w:rPr>
          <w:rFonts w:ascii="Arial" w:hAnsi="Arial" w:cs="Arial"/>
          <w:lang w:val="en-US"/>
        </w:rPr>
        <w:t xml:space="preserve">. The categorization as </w:t>
      </w:r>
      <w:r w:rsidR="005C3EA7">
        <w:rPr>
          <w:rFonts w:ascii="Arial" w:hAnsi="Arial" w:cs="Arial"/>
          <w:i/>
          <w:lang w:val="en-US"/>
        </w:rPr>
        <w:t>cirrhosis</w:t>
      </w:r>
      <w:r w:rsidR="005C3EA7" w:rsidRPr="002503F0">
        <w:rPr>
          <w:rFonts w:ascii="Arial" w:hAnsi="Arial" w:cs="Arial"/>
          <w:lang w:val="en-US"/>
        </w:rPr>
        <w:t xml:space="preserve"> occurred if the patients had a diagnostic code for cirrhosis</w:t>
      </w:r>
      <w:r w:rsidR="005C3EA7">
        <w:rPr>
          <w:rFonts w:ascii="Arial" w:hAnsi="Arial" w:cs="Arial"/>
          <w:lang w:val="en-US"/>
        </w:rPr>
        <w:t xml:space="preserve"> or </w:t>
      </w:r>
      <w:r w:rsidR="005C3EA7" w:rsidRPr="002503F0">
        <w:rPr>
          <w:rFonts w:ascii="Arial" w:hAnsi="Arial" w:cs="Arial"/>
          <w:lang w:val="en-US"/>
        </w:rPr>
        <w:t xml:space="preserve">had a diagnostic or procedure code indicating variceal bleed or ascites before participating </w:t>
      </w:r>
      <w:r w:rsidR="005C3EA7" w:rsidRPr="0073330E">
        <w:rPr>
          <w:rFonts w:ascii="Arial" w:hAnsi="Arial" w:cs="Arial"/>
          <w:lang w:val="en-US"/>
        </w:rPr>
        <w:t>in DNHS. All</w:t>
      </w:r>
      <w:r w:rsidR="0073330E" w:rsidRPr="0073330E">
        <w:rPr>
          <w:rFonts w:ascii="Arial" w:hAnsi="Arial" w:cs="Arial"/>
          <w:lang w:val="en-US"/>
        </w:rPr>
        <w:t xml:space="preserve"> applied diagnostic</w:t>
      </w:r>
      <w:r w:rsidR="005C3EA7" w:rsidRPr="0073330E">
        <w:rPr>
          <w:rFonts w:ascii="Arial" w:hAnsi="Arial" w:cs="Arial"/>
          <w:lang w:val="en-US"/>
        </w:rPr>
        <w:t xml:space="preserve"> codes </w:t>
      </w:r>
      <w:proofErr w:type="gramStart"/>
      <w:r w:rsidR="005C3EA7" w:rsidRPr="0073330E">
        <w:rPr>
          <w:rFonts w:ascii="Arial" w:hAnsi="Arial" w:cs="Arial"/>
          <w:lang w:val="en-US"/>
        </w:rPr>
        <w:t>are provided</w:t>
      </w:r>
      <w:proofErr w:type="gramEnd"/>
      <w:r w:rsidR="005C3EA7" w:rsidRPr="0073330E">
        <w:rPr>
          <w:rFonts w:ascii="Arial" w:hAnsi="Arial" w:cs="Arial"/>
          <w:lang w:val="en-US"/>
        </w:rPr>
        <w:t xml:space="preserve"> in</w:t>
      </w:r>
      <w:r w:rsidR="0073330E" w:rsidRPr="0073330E">
        <w:rPr>
          <w:rFonts w:ascii="Arial" w:hAnsi="Arial" w:cs="Arial"/>
          <w:lang w:val="en-US"/>
        </w:rPr>
        <w:t xml:space="preserve"> </w:t>
      </w:r>
      <w:r w:rsidRPr="00F16271">
        <w:rPr>
          <w:rFonts w:ascii="Arial" w:hAnsi="Arial" w:cs="Arial"/>
          <w:lang w:val="en-US"/>
        </w:rPr>
        <w:t>Supplemental Digital Content 4</w:t>
      </w:r>
      <w:r w:rsidR="005C221C" w:rsidRPr="00F16271">
        <w:rPr>
          <w:rFonts w:ascii="Arial" w:hAnsi="Arial" w:cs="Arial"/>
          <w:lang w:val="en-US"/>
        </w:rPr>
        <w:t xml:space="preserve">, </w:t>
      </w:r>
      <w:r w:rsidR="005C3EA7" w:rsidRPr="0073330E">
        <w:rPr>
          <w:rFonts w:ascii="Arial" w:hAnsi="Arial" w:cs="Arial"/>
          <w:lang w:val="en-US"/>
        </w:rPr>
        <w:t xml:space="preserve">and a </w:t>
      </w:r>
      <w:r w:rsidR="005C3EA7">
        <w:rPr>
          <w:rFonts w:ascii="Arial" w:hAnsi="Arial" w:cs="Arial"/>
          <w:lang w:val="en-US"/>
        </w:rPr>
        <w:t>flowchart of the cohort selection is presented in</w:t>
      </w:r>
      <w:r w:rsidR="005C221C">
        <w:rPr>
          <w:rFonts w:ascii="Arial" w:hAnsi="Arial" w:cs="Arial"/>
          <w:lang w:val="en-US"/>
        </w:rPr>
        <w:t xml:space="preserve"> </w:t>
      </w:r>
      <w:r w:rsidR="005C221C" w:rsidRPr="00F16271">
        <w:rPr>
          <w:rFonts w:ascii="Arial" w:hAnsi="Arial" w:cs="Arial"/>
          <w:szCs w:val="20"/>
          <w:lang w:val="en-US"/>
        </w:rPr>
        <w:t>Supplemental Digital Content 5</w:t>
      </w:r>
      <w:r w:rsidR="0073330E" w:rsidRPr="00F16271">
        <w:rPr>
          <w:rFonts w:ascii="Arial" w:hAnsi="Arial" w:cs="Arial"/>
          <w:szCs w:val="20"/>
          <w:lang w:val="en-US"/>
        </w:rPr>
        <w:t>.</w:t>
      </w:r>
      <w:r w:rsidR="005C3EA7" w:rsidRPr="00F16271">
        <w:rPr>
          <w:rFonts w:ascii="Arial" w:hAnsi="Arial" w:cs="Arial"/>
          <w:sz w:val="28"/>
          <w:lang w:val="en-US"/>
        </w:rPr>
        <w:t xml:space="preserve"> </w:t>
      </w:r>
    </w:p>
    <w:p w14:paraId="32B693F7" w14:textId="2B280FA3" w:rsidR="005C221C" w:rsidRPr="00F16271" w:rsidRDefault="005C221C" w:rsidP="00F16271">
      <w:pPr>
        <w:spacing w:after="0" w:line="480" w:lineRule="auto"/>
        <w:rPr>
          <w:rFonts w:ascii="Arial" w:hAnsi="Arial" w:cs="Arial"/>
          <w:i/>
          <w:lang w:val="en-US"/>
        </w:rPr>
      </w:pPr>
      <w:r w:rsidRPr="00F16271">
        <w:rPr>
          <w:rFonts w:ascii="Arial" w:hAnsi="Arial" w:cs="Arial"/>
          <w:i/>
          <w:lang w:val="en-US"/>
        </w:rPr>
        <w:t>Hospital care</w:t>
      </w:r>
    </w:p>
    <w:p w14:paraId="2C5DE7A3" w14:textId="569E18FD" w:rsidR="00191789" w:rsidRDefault="00191789" w:rsidP="00130D32">
      <w:pPr>
        <w:spacing w:after="240" w:line="480" w:lineRule="auto"/>
        <w:rPr>
          <w:rStyle w:val="Kommentarhenvisning"/>
          <w:rFonts w:ascii="Arial" w:hAnsi="Arial" w:cs="Arial"/>
          <w:sz w:val="22"/>
          <w:szCs w:val="22"/>
          <w:lang w:val="en-US"/>
        </w:rPr>
      </w:pPr>
      <w:r>
        <w:rPr>
          <w:rStyle w:val="Kommentarhenvisning"/>
          <w:rFonts w:ascii="Arial" w:hAnsi="Arial" w:cs="Arial"/>
          <w:sz w:val="22"/>
          <w:szCs w:val="22"/>
          <w:lang w:val="en-US"/>
        </w:rPr>
        <w:t xml:space="preserve">      Recent hospital care (outpatient clinics and hospital admissions) prior to DNHS participation was obtained </w:t>
      </w:r>
      <w:r w:rsidR="00725E6A" w:rsidRPr="00855413">
        <w:rPr>
          <w:rStyle w:val="Kommentarhenvisning"/>
          <w:rFonts w:ascii="Arial" w:hAnsi="Arial" w:cs="Arial"/>
          <w:sz w:val="22"/>
          <w:szCs w:val="22"/>
          <w:lang w:val="en-US"/>
        </w:rPr>
        <w:t xml:space="preserve">from </w:t>
      </w:r>
      <w:r w:rsidR="004D3FEC" w:rsidRPr="00855413">
        <w:rPr>
          <w:rStyle w:val="Kommentarhenvisning"/>
          <w:rFonts w:ascii="Arial" w:hAnsi="Arial" w:cs="Arial"/>
          <w:iCs/>
          <w:sz w:val="22"/>
          <w:szCs w:val="22"/>
          <w:lang w:val="en-US"/>
        </w:rPr>
        <w:t>t</w:t>
      </w:r>
      <w:r w:rsidR="00725E6A" w:rsidRPr="00855413">
        <w:rPr>
          <w:rStyle w:val="Kommentarhenvisning"/>
          <w:rFonts w:ascii="Arial" w:hAnsi="Arial" w:cs="Arial"/>
          <w:iCs/>
          <w:sz w:val="22"/>
          <w:szCs w:val="22"/>
          <w:lang w:val="en-US"/>
        </w:rPr>
        <w:t xml:space="preserve">he </w:t>
      </w:r>
      <w:r w:rsidR="00725E6A" w:rsidRPr="00855413">
        <w:rPr>
          <w:rStyle w:val="Kommentarhenvisning"/>
          <w:rFonts w:ascii="Arial" w:hAnsi="Arial" w:cs="Arial"/>
          <w:i/>
          <w:sz w:val="22"/>
          <w:szCs w:val="22"/>
          <w:lang w:val="en-US"/>
        </w:rPr>
        <w:t>National Patient R</w:t>
      </w:r>
      <w:r w:rsidR="00EE3369" w:rsidRPr="00855413">
        <w:rPr>
          <w:rStyle w:val="Kommentarhenvisning"/>
          <w:rFonts w:ascii="Arial" w:hAnsi="Arial" w:cs="Arial"/>
          <w:i/>
          <w:sz w:val="22"/>
          <w:szCs w:val="22"/>
          <w:lang w:val="en-US"/>
        </w:rPr>
        <w:t>egistr</w:t>
      </w:r>
      <w:r w:rsidR="00350352" w:rsidRPr="00855413">
        <w:rPr>
          <w:rStyle w:val="Kommentarhenvisning"/>
          <w:rFonts w:ascii="Arial" w:hAnsi="Arial" w:cs="Arial"/>
          <w:i/>
          <w:sz w:val="22"/>
          <w:szCs w:val="22"/>
          <w:lang w:val="en-US"/>
        </w:rPr>
        <w:t>y</w:t>
      </w:r>
      <w:r>
        <w:rPr>
          <w:rStyle w:val="Kommentarhenvisning"/>
          <w:rFonts w:ascii="Arial" w:hAnsi="Arial" w:cs="Arial"/>
          <w:i/>
          <w:sz w:val="22"/>
          <w:szCs w:val="22"/>
          <w:lang w:val="en-US"/>
        </w:rPr>
        <w:t>.</w:t>
      </w:r>
      <w:r w:rsidR="0091704D" w:rsidRPr="00B45B89">
        <w:rPr>
          <w:rStyle w:val="Kommentarhenvisning"/>
          <w:rFonts w:ascii="Arial" w:hAnsi="Arial" w:cs="Arial"/>
          <w:i/>
          <w:sz w:val="22"/>
          <w:szCs w:val="22"/>
          <w:lang w:val="en-US"/>
        </w:rPr>
        <w:fldChar w:fldCharType="begin" w:fldLock="1"/>
      </w:r>
      <w:r w:rsidR="00B6591D">
        <w:rPr>
          <w:rStyle w:val="Kommentarhenvisning"/>
          <w:rFonts w:ascii="Arial" w:hAnsi="Arial" w:cs="Arial"/>
          <w:i/>
          <w:sz w:val="22"/>
          <w:szCs w:val="22"/>
          <w:lang w:val="en-US"/>
        </w:rPr>
        <w:instrText>ADDIN CSL_CITATION {"citationItems":[{"id":"ITEM-1","itemData":{"DOI":"10.2147/CLEP.S91125","ISBN":"1179-1349 (Print)\\r1179-1349","ISSN":"11791349","PMID":"26604824","abstract":"BACKGROUND: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exists.\\n\\nOBJECTIVES: To review the content, data quality, and research potential of the DNPR.\\n\\nMETHODS: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reviewed.\\n\\nRESULTS: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population.\\n\\nCONCLUSION: The DNPR is a valuable tool for epidemiological research. However, both its strengths and limitations must be considered when interpreting research results, and continuous validation of its clinical data is essential.","author":[{"dropping-particle":"","family":"Schmidt","given":"Morten","non-dropping-particle":"","parse-names":false,"suffix":""},{"dropping-particle":"","family":"Schmidt","given":"Sigrun Alba Johannesdottir","non-dropping-particle":"","parse-names":false,"suffix":""},{"dropping-particle":"","family":"Sandegaard","given":"Jakob Lynge","non-dropping-particle":"","parse-names":false,"suffix":""},{"dropping-particle":"","family":"Ehrenstein","given":"Vera","non-dropping-particle":"","parse-names":false,"suffix":""},{"dropping-particle":"","family":"Pedersen","given":"Lars","non-dropping-particle":"","parse-names":false,"suffix":""},{"dropping-particle":"","family":"Sørensen","given":"Henrik Toft","non-dropping-particle":"","parse-names":false,"suffix":""}],"container-title":"Clinical Epidemiology","id":"ITEM-1","issued":{"date-parts":[["2015"]]},"page":"449-490","title":"The Danish National Patient Registry: A review of content, data quality, and research potential","type":"article-journal","volume":"7"},"uris":["http://www.mendeley.com/documents/?uuid=b097ac6a-4fd3-4545-b407-8203918be1f9"]}],"mendeley":{"formattedCitation":"&lt;sup&gt;2&lt;/sup&gt;","plainTextFormattedCitation":"2","previouslyFormattedCitation":"&lt;sup&gt;2&lt;/sup&gt;"},"properties":{"noteIndex":0},"schema":"https://github.com/citation-style-language/schema/raw/master/csl-citation.json"}</w:instrText>
      </w:r>
      <w:r w:rsidR="0091704D" w:rsidRPr="00B45B89">
        <w:rPr>
          <w:rStyle w:val="Kommentarhenvisning"/>
          <w:rFonts w:ascii="Arial" w:hAnsi="Arial" w:cs="Arial"/>
          <w:i/>
          <w:sz w:val="22"/>
          <w:szCs w:val="22"/>
          <w:lang w:val="en-US"/>
        </w:rPr>
        <w:fldChar w:fldCharType="separate"/>
      </w:r>
      <w:r w:rsidR="006B3D2F" w:rsidRPr="006B3D2F">
        <w:rPr>
          <w:rStyle w:val="Kommentarhenvisning"/>
          <w:rFonts w:ascii="Arial" w:hAnsi="Arial" w:cs="Arial"/>
          <w:noProof/>
          <w:sz w:val="22"/>
          <w:szCs w:val="22"/>
          <w:vertAlign w:val="superscript"/>
          <w:lang w:val="en-US"/>
        </w:rPr>
        <w:t>2</w:t>
      </w:r>
      <w:r w:rsidR="0091704D" w:rsidRPr="00B45B89">
        <w:rPr>
          <w:rStyle w:val="Kommentarhenvisning"/>
          <w:rFonts w:ascii="Arial" w:hAnsi="Arial" w:cs="Arial"/>
          <w:i/>
          <w:sz w:val="22"/>
          <w:szCs w:val="22"/>
          <w:lang w:val="en-US"/>
        </w:rPr>
        <w:fldChar w:fldCharType="end"/>
      </w:r>
      <w:r>
        <w:rPr>
          <w:rStyle w:val="Kommentarhenvisning"/>
          <w:rFonts w:ascii="Arial" w:hAnsi="Arial" w:cs="Arial"/>
          <w:sz w:val="22"/>
          <w:szCs w:val="22"/>
          <w:lang w:val="en-US"/>
        </w:rPr>
        <w:t xml:space="preserve"> </w:t>
      </w:r>
      <w:r w:rsidR="007C6014">
        <w:rPr>
          <w:rStyle w:val="Kommentarhenvisning"/>
          <w:rFonts w:ascii="Arial" w:hAnsi="Arial" w:cs="Arial"/>
          <w:sz w:val="22"/>
          <w:szCs w:val="22"/>
          <w:lang w:val="en-US"/>
        </w:rPr>
        <w:t>E</w:t>
      </w:r>
      <w:r w:rsidR="00EE3369">
        <w:rPr>
          <w:rStyle w:val="Kommentarhenvisning"/>
          <w:rFonts w:ascii="Arial" w:hAnsi="Arial" w:cs="Arial"/>
          <w:sz w:val="22"/>
          <w:szCs w:val="22"/>
          <w:lang w:val="en-US"/>
        </w:rPr>
        <w:t xml:space="preserve">mergency </w:t>
      </w:r>
      <w:r w:rsidR="007C6014">
        <w:rPr>
          <w:rStyle w:val="Kommentarhenvisning"/>
          <w:rFonts w:ascii="Arial" w:hAnsi="Arial" w:cs="Arial"/>
          <w:sz w:val="22"/>
          <w:szCs w:val="22"/>
          <w:lang w:val="en-US"/>
        </w:rPr>
        <w:t xml:space="preserve">room visits </w:t>
      </w:r>
      <w:r w:rsidR="00EE3369">
        <w:rPr>
          <w:rStyle w:val="Kommentarhenvisning"/>
          <w:rFonts w:ascii="Arial" w:hAnsi="Arial" w:cs="Arial"/>
          <w:sz w:val="22"/>
          <w:szCs w:val="22"/>
          <w:lang w:val="en-US"/>
        </w:rPr>
        <w:t>and inpatient admission</w:t>
      </w:r>
      <w:r w:rsidR="00E509D7">
        <w:rPr>
          <w:rStyle w:val="Kommentarhenvisning"/>
          <w:rFonts w:ascii="Arial" w:hAnsi="Arial" w:cs="Arial"/>
          <w:sz w:val="22"/>
          <w:szCs w:val="22"/>
          <w:lang w:val="en-US"/>
        </w:rPr>
        <w:t>s</w:t>
      </w:r>
      <w:r w:rsidR="007C6014">
        <w:rPr>
          <w:rStyle w:val="Kommentarhenvisning"/>
          <w:rFonts w:ascii="Arial" w:hAnsi="Arial" w:cs="Arial"/>
          <w:sz w:val="22"/>
          <w:szCs w:val="22"/>
          <w:lang w:val="en-US"/>
        </w:rPr>
        <w:t xml:space="preserve"> counted as hospital admissions</w:t>
      </w:r>
      <w:r>
        <w:rPr>
          <w:rStyle w:val="Kommentarhenvisning"/>
          <w:rFonts w:ascii="Arial" w:hAnsi="Arial" w:cs="Arial"/>
          <w:sz w:val="22"/>
          <w:szCs w:val="22"/>
          <w:lang w:val="en-US"/>
        </w:rPr>
        <w:t>.</w:t>
      </w:r>
    </w:p>
    <w:p w14:paraId="293E6D48" w14:textId="77777777" w:rsidR="005C221C" w:rsidRPr="008934A8" w:rsidRDefault="005C221C" w:rsidP="005C221C">
      <w:pPr>
        <w:spacing w:after="0" w:line="480" w:lineRule="auto"/>
        <w:rPr>
          <w:rFonts w:ascii="Arial" w:hAnsi="Arial" w:cs="Arial"/>
          <w:i/>
          <w:lang w:val="en-US"/>
        </w:rPr>
      </w:pPr>
      <w:r>
        <w:rPr>
          <w:rFonts w:ascii="Arial" w:hAnsi="Arial" w:cs="Arial"/>
          <w:i/>
          <w:lang w:val="en-US"/>
        </w:rPr>
        <w:t>Quality of life</w:t>
      </w:r>
    </w:p>
    <w:p w14:paraId="5AF32F0F" w14:textId="2723825C" w:rsidR="005C221C" w:rsidRDefault="00855413" w:rsidP="009E741E">
      <w:pPr>
        <w:spacing w:after="240" w:line="480" w:lineRule="auto"/>
        <w:jc w:val="both"/>
        <w:rPr>
          <w:rFonts w:ascii="Arial" w:hAnsi="Arial" w:cs="Arial"/>
          <w:lang w:val="en-US"/>
        </w:rPr>
      </w:pPr>
      <w:r>
        <w:rPr>
          <w:rFonts w:ascii="Arial" w:hAnsi="Arial" w:cs="Arial"/>
          <w:lang w:val="en-US"/>
        </w:rPr>
        <w:t xml:space="preserve">      </w:t>
      </w:r>
      <w:r w:rsidR="005C221C" w:rsidRPr="004D3FEC">
        <w:rPr>
          <w:rFonts w:ascii="Arial" w:hAnsi="Arial" w:cs="Arial"/>
          <w:lang w:val="en-US"/>
        </w:rPr>
        <w:t xml:space="preserve">Information on health-related quality </w:t>
      </w:r>
      <w:r w:rsidR="005C221C">
        <w:rPr>
          <w:rFonts w:ascii="Arial" w:hAnsi="Arial" w:cs="Arial"/>
          <w:lang w:val="en-US"/>
        </w:rPr>
        <w:t xml:space="preserve">of </w:t>
      </w:r>
      <w:r w:rsidR="005C221C" w:rsidRPr="004D3FEC">
        <w:rPr>
          <w:rFonts w:ascii="Arial" w:hAnsi="Arial" w:cs="Arial"/>
          <w:lang w:val="en-US"/>
        </w:rPr>
        <w:t>life was measured</w:t>
      </w:r>
      <w:r w:rsidR="005C221C">
        <w:rPr>
          <w:rFonts w:ascii="Arial" w:hAnsi="Arial" w:cs="Arial"/>
          <w:lang w:val="en-US"/>
        </w:rPr>
        <w:t xml:space="preserve"> with the </w:t>
      </w:r>
      <w:r w:rsidR="005C221C" w:rsidRPr="00D346B0">
        <w:rPr>
          <w:rFonts w:ascii="Arial" w:hAnsi="Arial" w:cs="Arial"/>
          <w:color w:val="000000" w:themeColor="text1"/>
          <w:lang w:val="en-US"/>
        </w:rPr>
        <w:t xml:space="preserve">12-item </w:t>
      </w:r>
      <w:r w:rsidR="005C221C">
        <w:rPr>
          <w:rFonts w:ascii="Arial" w:hAnsi="Arial" w:cs="Arial"/>
          <w:color w:val="000000" w:themeColor="text1"/>
          <w:lang w:val="en-US"/>
        </w:rPr>
        <w:t>S</w:t>
      </w:r>
      <w:r w:rsidR="005C221C" w:rsidRPr="00D346B0">
        <w:rPr>
          <w:rFonts w:ascii="Arial" w:hAnsi="Arial" w:cs="Arial"/>
          <w:color w:val="000000" w:themeColor="text1"/>
          <w:lang w:val="en-US"/>
        </w:rPr>
        <w:t xml:space="preserve">hort </w:t>
      </w:r>
      <w:r w:rsidR="005C221C">
        <w:rPr>
          <w:rFonts w:ascii="Arial" w:hAnsi="Arial" w:cs="Arial"/>
          <w:color w:val="000000" w:themeColor="text1"/>
          <w:lang w:val="en-US"/>
        </w:rPr>
        <w:t>F</w:t>
      </w:r>
      <w:r w:rsidR="005C221C" w:rsidRPr="00D346B0">
        <w:rPr>
          <w:rFonts w:ascii="Arial" w:hAnsi="Arial" w:cs="Arial"/>
          <w:color w:val="000000" w:themeColor="text1"/>
          <w:lang w:val="en-US"/>
        </w:rPr>
        <w:t xml:space="preserve">orm </w:t>
      </w:r>
      <w:r w:rsidR="005C221C">
        <w:rPr>
          <w:rFonts w:ascii="Arial" w:hAnsi="Arial" w:cs="Arial"/>
          <w:color w:val="000000" w:themeColor="text1"/>
          <w:lang w:val="en-US"/>
        </w:rPr>
        <w:t xml:space="preserve">questionnaire </w:t>
      </w:r>
      <w:r w:rsidR="005C221C" w:rsidRPr="00D346B0">
        <w:rPr>
          <w:rFonts w:ascii="Arial" w:hAnsi="Arial" w:cs="Arial"/>
          <w:color w:val="000000" w:themeColor="text1"/>
          <w:lang w:val="en-US"/>
        </w:rPr>
        <w:t>(SF-12)</w:t>
      </w:r>
      <w:r w:rsidR="005C221C">
        <w:rPr>
          <w:rFonts w:ascii="Arial" w:hAnsi="Arial" w:cs="Arial"/>
          <w:color w:val="000000" w:themeColor="text1"/>
          <w:lang w:val="en-US"/>
        </w:rPr>
        <w:t xml:space="preserve">, which </w:t>
      </w:r>
      <w:r w:rsidR="005C221C" w:rsidRPr="00D346B0">
        <w:rPr>
          <w:rFonts w:ascii="Arial" w:hAnsi="Arial" w:cs="Arial"/>
          <w:color w:val="000000" w:themeColor="text1"/>
          <w:lang w:val="en-US"/>
        </w:rPr>
        <w:t>evaluat</w:t>
      </w:r>
      <w:r w:rsidR="005C221C">
        <w:rPr>
          <w:rFonts w:ascii="Arial" w:hAnsi="Arial" w:cs="Arial"/>
          <w:color w:val="000000" w:themeColor="text1"/>
          <w:lang w:val="en-US"/>
        </w:rPr>
        <w:t>es</w:t>
      </w:r>
      <w:r w:rsidR="005C221C" w:rsidRPr="00D346B0">
        <w:rPr>
          <w:rFonts w:ascii="Arial" w:hAnsi="Arial" w:cs="Arial"/>
          <w:color w:val="000000" w:themeColor="text1"/>
          <w:lang w:val="en-US"/>
        </w:rPr>
        <w:t xml:space="preserve"> mental and physical health</w:t>
      </w:r>
      <w:r w:rsidR="005C221C">
        <w:rPr>
          <w:rFonts w:ascii="Arial" w:hAnsi="Arial" w:cs="Arial"/>
          <w:color w:val="000000" w:themeColor="text1"/>
          <w:lang w:val="en-US"/>
        </w:rPr>
        <w:t xml:space="preserve"> within </w:t>
      </w:r>
      <w:r w:rsidR="005C221C" w:rsidRPr="00D346B0">
        <w:rPr>
          <w:rFonts w:ascii="Arial" w:hAnsi="Arial" w:cs="Arial"/>
          <w:color w:val="000000" w:themeColor="text1"/>
          <w:lang w:val="en-US"/>
        </w:rPr>
        <w:t>eight dimensions</w:t>
      </w:r>
      <w:r w:rsidR="00191789">
        <w:rPr>
          <w:rFonts w:ascii="Arial" w:hAnsi="Arial" w:cs="Arial"/>
          <w:color w:val="000000" w:themeColor="text1"/>
          <w:lang w:val="en-US"/>
        </w:rPr>
        <w:t>.</w:t>
      </w:r>
      <w:r w:rsidR="005C221C">
        <w:rPr>
          <w:rFonts w:ascii="Arial" w:hAnsi="Arial" w:cs="Arial"/>
          <w:color w:val="000000" w:themeColor="text1"/>
          <w:lang w:val="en-US"/>
        </w:rPr>
        <w:fldChar w:fldCharType="begin" w:fldLock="1"/>
      </w:r>
      <w:r w:rsidR="001B3D39">
        <w:rPr>
          <w:rFonts w:ascii="Arial" w:hAnsi="Arial" w:cs="Arial"/>
          <w:color w:val="000000" w:themeColor="text1"/>
          <w:lang w:val="en-US"/>
        </w:rPr>
        <w:instrText>ADDIN CSL_CITATION {"citationItems":[{"id":"ITEM-1","itemData":{"abstract":"Regression methods were used to select and score 12 items from the Medical Outcomes Study 36-Item Short-Form Health Survey (SF-36) to reproduce the Physical Component Summary and Mental Component Summary scales in the general US population (n = 2,333). The resulting 12-item short-form (SF-12) achieved multiple R squares of 0.911 and 0.918 in predictions of the SF-36 Physical Component Summary and SF-36 Mental Component Summary scores, respectively. Scoring algorithms from the general population used to score 12-item versions of the two components (Physical Component Summary and Mental Component Summary) achieved R squares of 0.905 with the SF-36 Physical Component Summary and 0.938 with the SF-36 Mental Component Summary when cross-validated in the Medical Outcomes Study. Test-retest (2-week) correlations of 0.89 and 0.76 were observed for the 12-item Physical Component Summary and the 12-item Mental Component Summary, respectively, in the general US population (n = 232). Twenty cross-sectional and longitudinal tests of empirical validity previously published for the 36-item short-form scales and summary measures were replicated for the 12-item Physical Component Summary and the 12-item Mental Component Summary, including comparisons between patient groups known to differ or to change in terms of the presence and seriousness of physical and mental conditions, acute symptoms, age and aging, self-reported 1-year changes in health, and recovery from depression. In 14 validity tests involving physical criteria, relative validity estimates for the 12-item Physical Component Summary ranged from 0.43 to 0.93 (median = 0.67) in comparison with the best 36-item short-form scale. Relative validity estimates for the 12-item Mental Component Summary in 6 tests involving mental criteria ranged from 0.60 to 1.07 (median = 0.97) in relation to the best 36-item short-form scale. Average scores for the 2 summary measures, and those for most scales in the 8-scale profile based on the 12-item short-form, closely mirrored those for the 36-item short-form, although standard errors were nearly always larger for the 12-item short-form.","author":[{"dropping-particle":"","family":"WARE, JOHN; KOSINSKI, MARK; KELLER, SUSAN","given":"","non-dropping-particle":"","parse-names":false,"suffix":""}],"container-title":"Medical care","id":"ITEM-1","issue":"3","issued":{"date-parts":[["1996"]]},"page":"220-233","title":"A 12-Item Short-Form Health Survey: Construction of Scales and Preliminary Tests of Reliability and Validity","type":"article-journal","volume":"34"},"uris":["http://www.mendeley.com/documents/?uuid=e126d07c-d576-4395-a1e5-ae388d54d82f","http://www.mendeley.com/documents/?uuid=ff765bfd-ff1a-40c7-91ec-590c49ea44e7"]},{"id":"ITEM-2","itemData":{"DOI":"10.1016/S0895-4356(98)00109-7","ISSN":"08954356","PMID":"9817135","abstract":"Data from general population surveys (n = 1483 to 9151) in nine European countries (Denmark, France, Germany, Italy, the Netherlands, Norway, Spain, Sweden, and the United Kingdom) were analyzed to cross-validate the selection of questionnaire items for the SF-12 Health Survey and scoring algorithms for 12-item physical and mental component summary measures. In each country, multiple regression methods were used to select 12 SF-36 items that best reproduced the physical and mental health summary scores for the SF-36 Health Survey. Summary scores then were estimated with 12 items in three ways: using standard (U.S.-derived) SF-12 items and scoring algorithms; standard items and country-specific scoring; and country-specific sets of 12 items and scoring. Replication of the 36-item summary measures by the 12-item summary measures was then evaluated through comparison of mean scores and the strength of product-moment correlations. Product-moment correlations between SF-36 summary measures and SF-12 summary measures (standard and country- specific) were very high, ranging from 0.94-0.96 and 0.94-0.97 for the physical and mental summary measures, respectively. Mean 36-item summary measures and comparable 12-item summary measures were within 0.0 to 1.5 points (median = 0.5 points) in each country and were comparable across age groups. Because of the high degree of correspondence between summary physical and mental health measures estimated using the SF-12 and SF-36, it appears that the SF-12 will prove to be a practical alternative to the SF-36 in these countries, for purposes of large group comparisons in which the focus is on overall physical and mental health outcomes.","author":[{"dropping-particle":"","family":"Gandek","given":"Barbara","non-dropping-particle":"","parse-names":false,"suffix":""},{"dropping-particle":"","family":"Ware","given":"John E.","non-dropping-particle":"","parse-names":false,"suffix":""},{"dropping-particle":"","family":"Aaronson","given":"Neil K.","non-dropping-particle":"","parse-names":false,"suffix":""},{"dropping-particle":"","family":"Apolone","given":"Giovanni","non-dropping-particle":"","parse-names":false,"suffix":""},{"dropping-particle":"","family":"Bjorner","given":"Jakob B.","non-dropping-particle":"","parse-names":false,"suffix":""},{"dropping-particle":"","family":"Brazier","given":"John E.","non-dropping-particle":"","parse-names":false,"suffix":""},{"dropping-particle":"","family":"Bullinger","given":"Monika","non-dropping-particle":"","parse-names":false,"suffix":""},{"dropping-particle":"","family":"Kaasa","given":"Stein","non-dropping-particle":"","parse-names":false,"suffix":""},{"dropping-particle":"","family":"Leplege","given":"Alain","non-dropping-particle":"","parse-names":false,"suffix":""},{"dropping-particle":"","family":"Prieto","given":"Luis","non-dropping-particle":"","parse-names":false,"suffix":""},{"dropping-particle":"","family":"Sullivan","given":"Marianne","non-dropping-particle":"","parse-names":false,"suffix":""}],"container-title":"Journal of Clinical Epidemiology","id":"ITEM-2","issue":"11","issued":{"date-parts":[["1998"]]},"page":"1171-1178","title":"Cross-validation of item selection and scoring for the SF-12 Health Survey in nine countries: Results from the IQOLA Project","type":"article-journal","volume":"51"},"uris":["http://www.mendeley.com/documents/?uuid=2722d1d8-5ae8-45ee-8acf-da9452414877"]},{"id":"ITEM-3","itemData":{"DOI":"10.3389/fmed.2020.585425","ISSN":"2296858X","abstract":"Background: It is unknown how perceived social support and the progression of liver damage influence the psychosocial profile of patients with non-alcoholic fatty liver disease (NAFLD). In the present study, we therefore investigated which biomarkers influence the quality of life, mental health, and coping strategies of NAFLD patients. Methods: Quality of life (SF-12 and CLDQ-NAFLD), mental health (HADS and BDI-II), and coping strategies (COPE-28) were evaluated by high or low perceived social support (MSPSS) and the presence of non-alcoholic steatohepatitis (NASH) and significant fibrosis in 492 biopsy-proven NAFLD patients. The results were compared with quality of life normality tables for the general Spanish population. We also determined whether liver histology and biopsychosocial variables predicted participants' quality of life. Results: Interactive effects were found in vitality (p = 0.05), activity (p = 0.005), anxiety (p = 0.04), and denial (p = 0.04), with NASH patients showing a higher-risk biopsychosocial profile when they perceived less social support. Furthermore, patients with low perceived social support showed lower quality of life, worse mental health, and more maladaptive coping than those with high perceived social support, regardless of NASH presence. Patients with significant fibrosis showed lower quality of life compared to those without or the general Spanish population. Patients with significant fibrosis also reported worse mental health and more maladaptive coping. Lastly, significant fibrosis, female sex, greater anxiety and depressive symptoms, and worse physical and mental health-related quality of life were found to be independent determinants of worse disease-specific quality of life in these patients. Conclusions: Low perceived social support, significant fibrosis, and female sex were independently associated with a higher-risk psychosocial profile in NAFLD. These findings support the role of psychological biomarkers based on quality of life, mental health, and coping strategies in the management of these patients and suggest the potential benefits of a psychological intervention.","author":[{"dropping-particle":"","family":"Funuyet-Salas","given":"Jesús","non-dropping-particle":"","parse-names":false,"suffix":""},{"dropping-particle":"","family":"Pérez-San-Gregorio","given":"María Ángeles","non-dropping-particle":"","parse-names":false,"suffix":""},{"dropping-particle":"","family":"Martín-Rodríguez","given":"Agustín","non-dropping-particle":"","parse-names":false,"suffix":""},{"dropping-particle":"","family":"Romero-Gómez","given":"Manuel","non-dropping-particle":"","parse-names":false,"suffix":""}],"container-title":"Frontiers in Medicine","id":"ITEM-3","issue":"October","issued":{"date-parts":[["2020"]]},"page":"1-17","title":"Psychological Biomarkers and Fibrosis: An Innovative Approach to Non-alcoholic Fatty Liver Disease","type":"article-journal","volume":"7"},"uris":["http://www.mendeley.com/documents/?uuid=f0cee029-8172-4bbd-9f8f-e96babb0bef3","http://www.mendeley.com/documents/?uuid=ba7e2092-51c1-4c3d-bbb1-64fe0281f140"]}],"mendeley":{"formattedCitation":"&lt;sup&gt;4,21,22&lt;/sup&gt;","plainTextFormattedCitation":"4,21,22","previouslyFormattedCitation":"&lt;sup&gt;4,21,22&lt;/sup&gt;"},"properties":{"noteIndex":0},"schema":"https://github.com/citation-style-language/schema/raw/master/csl-citation.json"}</w:instrText>
      </w:r>
      <w:r w:rsidR="005C221C">
        <w:rPr>
          <w:rFonts w:ascii="Arial" w:hAnsi="Arial" w:cs="Arial"/>
          <w:color w:val="000000" w:themeColor="text1"/>
          <w:lang w:val="en-US"/>
        </w:rPr>
        <w:fldChar w:fldCharType="separate"/>
      </w:r>
      <w:r w:rsidR="00B6591D" w:rsidRPr="00B6591D">
        <w:rPr>
          <w:rFonts w:ascii="Arial" w:hAnsi="Arial" w:cs="Arial"/>
          <w:noProof/>
          <w:color w:val="000000" w:themeColor="text1"/>
          <w:vertAlign w:val="superscript"/>
          <w:lang w:val="en-US"/>
        </w:rPr>
        <w:t>4,21,22</w:t>
      </w:r>
      <w:r w:rsidR="005C221C">
        <w:rPr>
          <w:rFonts w:ascii="Arial" w:hAnsi="Arial" w:cs="Arial"/>
          <w:color w:val="000000" w:themeColor="text1"/>
          <w:lang w:val="en-US"/>
        </w:rPr>
        <w:fldChar w:fldCharType="end"/>
      </w:r>
      <w:r w:rsidR="005C221C" w:rsidRPr="00D346B0">
        <w:rPr>
          <w:rFonts w:ascii="Arial" w:hAnsi="Arial" w:cs="Arial"/>
          <w:color w:val="000000" w:themeColor="text1"/>
          <w:lang w:val="en-US"/>
        </w:rPr>
        <w:t xml:space="preserve"> </w:t>
      </w:r>
      <w:proofErr w:type="gramStart"/>
      <w:r w:rsidR="005C221C" w:rsidRPr="00D346B0">
        <w:rPr>
          <w:rFonts w:ascii="Arial" w:hAnsi="Arial" w:cs="Arial"/>
          <w:color w:val="000000" w:themeColor="text1"/>
          <w:lang w:val="en-US"/>
        </w:rPr>
        <w:t>In</w:t>
      </w:r>
      <w:proofErr w:type="gramEnd"/>
      <w:r w:rsidR="005C221C" w:rsidRPr="00D346B0">
        <w:rPr>
          <w:rFonts w:ascii="Arial" w:hAnsi="Arial" w:cs="Arial"/>
          <w:color w:val="000000" w:themeColor="text1"/>
          <w:lang w:val="en-US"/>
        </w:rPr>
        <w:t xml:space="preserve"> </w:t>
      </w:r>
      <w:r w:rsidR="006B79B6">
        <w:rPr>
          <w:rFonts w:ascii="Arial" w:hAnsi="Arial" w:cs="Arial"/>
          <w:color w:val="000000" w:themeColor="text1"/>
          <w:lang w:val="en-US"/>
        </w:rPr>
        <w:t>our</w:t>
      </w:r>
      <w:r w:rsidR="005C221C" w:rsidRPr="00D346B0">
        <w:rPr>
          <w:rFonts w:ascii="Arial" w:hAnsi="Arial" w:cs="Arial"/>
          <w:color w:val="000000" w:themeColor="text1"/>
          <w:lang w:val="en-US"/>
        </w:rPr>
        <w:t xml:space="preserve"> study, we used the summary score </w:t>
      </w:r>
      <w:r w:rsidR="005C221C">
        <w:rPr>
          <w:rFonts w:ascii="Arial" w:hAnsi="Arial" w:cs="Arial"/>
          <w:color w:val="000000" w:themeColor="text1"/>
          <w:lang w:val="en-US"/>
        </w:rPr>
        <w:t>for</w:t>
      </w:r>
      <w:r w:rsidR="00191789">
        <w:rPr>
          <w:rFonts w:ascii="Arial" w:hAnsi="Arial" w:cs="Arial"/>
          <w:color w:val="000000" w:themeColor="text1"/>
          <w:lang w:val="en-US"/>
        </w:rPr>
        <w:t xml:space="preserve"> both</w:t>
      </w:r>
      <w:r w:rsidR="005C221C">
        <w:rPr>
          <w:rFonts w:ascii="Arial" w:hAnsi="Arial" w:cs="Arial"/>
          <w:color w:val="000000" w:themeColor="text1"/>
          <w:lang w:val="en-US"/>
        </w:rPr>
        <w:t xml:space="preserve"> </w:t>
      </w:r>
      <w:r w:rsidR="00191789">
        <w:rPr>
          <w:rFonts w:ascii="Arial" w:hAnsi="Arial" w:cs="Arial"/>
          <w:color w:val="000000" w:themeColor="text1"/>
          <w:lang w:val="en-US"/>
        </w:rPr>
        <w:t>physical and mental health. The score</w:t>
      </w:r>
      <w:r w:rsidR="005C221C">
        <w:rPr>
          <w:rFonts w:ascii="Arial" w:hAnsi="Arial" w:cs="Arial"/>
          <w:color w:val="000000" w:themeColor="text1"/>
          <w:lang w:val="en-US"/>
        </w:rPr>
        <w:t xml:space="preserve"> ranges </w:t>
      </w:r>
      <w:r w:rsidR="005C221C" w:rsidRPr="00D346B0">
        <w:rPr>
          <w:rFonts w:ascii="Arial" w:hAnsi="Arial" w:cs="Arial"/>
          <w:color w:val="000000" w:themeColor="text1"/>
          <w:lang w:val="en-US"/>
        </w:rPr>
        <w:t xml:space="preserve">from </w:t>
      </w:r>
      <w:proofErr w:type="gramStart"/>
      <w:r w:rsidR="005C221C" w:rsidRPr="00D346B0">
        <w:rPr>
          <w:rFonts w:ascii="Arial" w:hAnsi="Arial" w:cs="Arial"/>
          <w:color w:val="000000" w:themeColor="text1"/>
          <w:lang w:val="en-US"/>
        </w:rPr>
        <w:t>0</w:t>
      </w:r>
      <w:proofErr w:type="gramEnd"/>
      <w:r w:rsidR="005C221C" w:rsidRPr="00D346B0">
        <w:rPr>
          <w:rFonts w:ascii="Arial" w:hAnsi="Arial" w:cs="Arial"/>
          <w:color w:val="000000" w:themeColor="text1"/>
          <w:lang w:val="en-US"/>
        </w:rPr>
        <w:t xml:space="preserve"> to 100</w:t>
      </w:r>
      <w:r w:rsidR="00191789">
        <w:rPr>
          <w:rFonts w:ascii="Arial" w:hAnsi="Arial" w:cs="Arial"/>
          <w:color w:val="000000" w:themeColor="text1"/>
          <w:lang w:val="en-US"/>
        </w:rPr>
        <w:t>,</w:t>
      </w:r>
      <w:r w:rsidR="005C221C">
        <w:rPr>
          <w:rFonts w:ascii="Arial" w:hAnsi="Arial" w:cs="Arial"/>
          <w:color w:val="000000" w:themeColor="text1"/>
          <w:lang w:val="en-US"/>
        </w:rPr>
        <w:t xml:space="preserve"> with higher scores indicating better health</w:t>
      </w:r>
      <w:r w:rsidR="005C221C" w:rsidRPr="00D346B0">
        <w:rPr>
          <w:rFonts w:ascii="Arial" w:hAnsi="Arial" w:cs="Arial"/>
          <w:color w:val="000000" w:themeColor="text1"/>
          <w:lang w:val="en-US"/>
        </w:rPr>
        <w:t xml:space="preserve">. </w:t>
      </w:r>
      <w:r w:rsidR="005C221C">
        <w:rPr>
          <w:rFonts w:ascii="Arial" w:hAnsi="Arial" w:cs="Arial"/>
          <w:color w:val="000000" w:themeColor="text1"/>
          <w:lang w:val="en-US"/>
        </w:rPr>
        <w:t xml:space="preserve">A </w:t>
      </w:r>
      <w:r w:rsidR="00EE429D">
        <w:rPr>
          <w:rFonts w:ascii="Arial" w:hAnsi="Arial" w:cs="Arial"/>
          <w:color w:val="000000" w:themeColor="text1"/>
          <w:lang w:val="en-US"/>
        </w:rPr>
        <w:t>poor</w:t>
      </w:r>
      <w:r w:rsidR="005C221C">
        <w:rPr>
          <w:rFonts w:ascii="Arial" w:hAnsi="Arial" w:cs="Arial"/>
          <w:color w:val="000000" w:themeColor="text1"/>
          <w:lang w:val="en-US"/>
        </w:rPr>
        <w:t xml:space="preserve"> physical and mental health score was below 35.37 and 35.76, respectively, based on the </w:t>
      </w:r>
      <w:r w:rsidR="00191789">
        <w:rPr>
          <w:rFonts w:ascii="Arial" w:hAnsi="Arial" w:cs="Arial"/>
          <w:color w:val="000000" w:themeColor="text1"/>
          <w:lang w:val="en-US"/>
        </w:rPr>
        <w:t>total survey sample's 10% lowest summary scor</w:t>
      </w:r>
      <w:r w:rsidR="005C221C">
        <w:rPr>
          <w:rFonts w:ascii="Arial" w:hAnsi="Arial" w:cs="Arial"/>
          <w:color w:val="000000" w:themeColor="text1"/>
          <w:lang w:val="en-US"/>
        </w:rPr>
        <w:t>e</w:t>
      </w:r>
      <w:r w:rsidR="00191789">
        <w:rPr>
          <w:rFonts w:ascii="Arial" w:hAnsi="Arial" w:cs="Arial"/>
          <w:color w:val="000000" w:themeColor="text1"/>
          <w:lang w:val="en-US"/>
        </w:rPr>
        <w:t>.</w:t>
      </w:r>
      <w:r w:rsidR="005C221C">
        <w:rPr>
          <w:rFonts w:ascii="Arial" w:hAnsi="Arial" w:cs="Arial"/>
          <w:color w:val="000000" w:themeColor="text1"/>
          <w:lang w:val="en-US"/>
        </w:rPr>
        <w:fldChar w:fldCharType="begin" w:fldLock="1"/>
      </w:r>
      <w:r w:rsidR="001B3D39">
        <w:rPr>
          <w:rFonts w:ascii="Arial" w:hAnsi="Arial" w:cs="Arial"/>
          <w:color w:val="000000" w:themeColor="text1"/>
          <w:lang w:val="en-US"/>
        </w:rPr>
        <w:instrText>ADDIN CSL_CITATION {"citationItems":[{"id":"ITEM-1","itemData":{"ISBN":"9788771041767","abstract":"Målet i den Nationale handlingsplan for forebyggelse, som er del af regeringens Sundhedspakke 2009, er, at danskerne i gennemsnit skal leve tre år længere i løbet af de næste 10 år. Derudover har regeringen sat som mål, at danskerne skal være blandt de 10 lande i verden, som lever længst i 2020. Det er et ambitiøst mål, der kræver, at vi ser på vores sundhedstilstand, undersøger potentialerne for forbedring og fortsat sam- arbejder og bruger ressourcer på at fremme sundheden for alle danskere. Med","author":[{"dropping-particle":"","family":"Sundhedsstyrelsen","given":"","non-dropping-particle":"","parse-names":false,"suffix":""}],"container-title":"2010","id":"ITEM-1","issued":{"date-parts":[["2010"]]},"title":"Danskernes sundhed - Den Nationale Sundhedsprofil 2010","type":"book"},"uris":["http://www.mendeley.com/documents/?uuid=6a8bf45a-06f7-4900-b6f4-2edf1538defe"]}],"mendeley":{"formattedCitation":"&lt;sup&gt;23&lt;/sup&gt;","plainTextFormattedCitation":"23","previouslyFormattedCitation":"&lt;sup&gt;23&lt;/sup&gt;"},"properties":{"noteIndex":0},"schema":"https://github.com/citation-style-language/schema/raw/master/csl-citation.json"}</w:instrText>
      </w:r>
      <w:r w:rsidR="005C221C">
        <w:rPr>
          <w:rFonts w:ascii="Arial" w:hAnsi="Arial" w:cs="Arial"/>
          <w:color w:val="000000" w:themeColor="text1"/>
          <w:lang w:val="en-US"/>
        </w:rPr>
        <w:fldChar w:fldCharType="separate"/>
      </w:r>
      <w:r w:rsidR="00B6591D" w:rsidRPr="00B6591D">
        <w:rPr>
          <w:rFonts w:ascii="Arial" w:hAnsi="Arial" w:cs="Arial"/>
          <w:noProof/>
          <w:color w:val="000000" w:themeColor="text1"/>
          <w:vertAlign w:val="superscript"/>
          <w:lang w:val="en-US"/>
        </w:rPr>
        <w:t>23</w:t>
      </w:r>
      <w:r w:rsidR="005C221C">
        <w:rPr>
          <w:rFonts w:ascii="Arial" w:hAnsi="Arial" w:cs="Arial"/>
          <w:color w:val="000000" w:themeColor="text1"/>
          <w:lang w:val="en-US"/>
        </w:rPr>
        <w:fldChar w:fldCharType="end"/>
      </w:r>
      <w:r w:rsidR="005C221C">
        <w:rPr>
          <w:rFonts w:ascii="Arial" w:hAnsi="Arial" w:cs="Arial"/>
          <w:lang w:val="en-US"/>
        </w:rPr>
        <w:t xml:space="preserve"> Complete answers to </w:t>
      </w:r>
      <w:r w:rsidR="00191789">
        <w:rPr>
          <w:rFonts w:ascii="Arial" w:hAnsi="Arial" w:cs="Arial"/>
          <w:lang w:val="en-US"/>
        </w:rPr>
        <w:t xml:space="preserve">SF-12 questions </w:t>
      </w:r>
      <w:r w:rsidR="005C221C">
        <w:rPr>
          <w:rFonts w:ascii="Arial" w:hAnsi="Arial" w:cs="Arial"/>
          <w:lang w:val="en-US"/>
        </w:rPr>
        <w:t>were available for 5</w:t>
      </w:r>
      <w:r w:rsidR="0001375F">
        <w:rPr>
          <w:rFonts w:ascii="Arial" w:hAnsi="Arial" w:cs="Arial"/>
          <w:lang w:val="en-US"/>
        </w:rPr>
        <w:t>3</w:t>
      </w:r>
      <w:r w:rsidR="005C221C">
        <w:rPr>
          <w:rFonts w:ascii="Arial" w:hAnsi="Arial" w:cs="Arial"/>
          <w:lang w:val="en-US"/>
        </w:rPr>
        <w:t>7</w:t>
      </w:r>
      <w:r w:rsidR="00191789">
        <w:rPr>
          <w:rFonts w:ascii="Arial" w:hAnsi="Arial" w:cs="Arial"/>
          <w:lang w:val="en-US"/>
        </w:rPr>
        <w:t xml:space="preserve"> (8</w:t>
      </w:r>
      <w:r w:rsidR="0001375F">
        <w:rPr>
          <w:rFonts w:ascii="Arial" w:hAnsi="Arial" w:cs="Arial"/>
          <w:lang w:val="en-US"/>
        </w:rPr>
        <w:t>0</w:t>
      </w:r>
      <w:r w:rsidR="00191789">
        <w:rPr>
          <w:rFonts w:ascii="Arial" w:hAnsi="Arial" w:cs="Arial"/>
          <w:lang w:val="en-US"/>
        </w:rPr>
        <w:t>%)</w:t>
      </w:r>
      <w:r w:rsidR="005C221C">
        <w:rPr>
          <w:rFonts w:ascii="Arial" w:hAnsi="Arial" w:cs="Arial"/>
          <w:lang w:val="en-US"/>
        </w:rPr>
        <w:t xml:space="preserve"> of 674 ALD patients</w:t>
      </w:r>
      <w:proofErr w:type="gramStart"/>
      <w:r w:rsidR="00191789">
        <w:rPr>
          <w:rFonts w:ascii="Arial" w:hAnsi="Arial" w:cs="Arial"/>
          <w:lang w:val="en-US"/>
        </w:rPr>
        <w:t>;</w:t>
      </w:r>
      <w:proofErr w:type="gramEnd"/>
      <w:r w:rsidR="00191789">
        <w:rPr>
          <w:rFonts w:ascii="Arial" w:hAnsi="Arial" w:cs="Arial"/>
          <w:lang w:val="en-US"/>
        </w:rPr>
        <w:t xml:space="preserve"> why we only included 547 patients in the</w:t>
      </w:r>
      <w:r w:rsidR="005C221C">
        <w:rPr>
          <w:rFonts w:ascii="Arial" w:hAnsi="Arial" w:cs="Arial"/>
          <w:lang w:val="en-US"/>
        </w:rPr>
        <w:t xml:space="preserve"> health-related quality of life </w:t>
      </w:r>
      <w:r w:rsidR="00191789">
        <w:rPr>
          <w:rFonts w:ascii="Arial" w:hAnsi="Arial" w:cs="Arial"/>
          <w:lang w:val="en-US"/>
        </w:rPr>
        <w:t xml:space="preserve">measurements. </w:t>
      </w:r>
    </w:p>
    <w:p w14:paraId="2835BD1F" w14:textId="1A235E1A" w:rsidR="005C221C" w:rsidRPr="00F16271" w:rsidRDefault="005C221C" w:rsidP="0001375F">
      <w:pPr>
        <w:keepNext/>
        <w:spacing w:after="0" w:line="480" w:lineRule="auto"/>
        <w:rPr>
          <w:rStyle w:val="Kommentarhenvisning"/>
          <w:rFonts w:ascii="Arial" w:hAnsi="Arial" w:cs="Arial"/>
          <w:i/>
          <w:sz w:val="22"/>
          <w:szCs w:val="22"/>
          <w:lang w:val="en-US"/>
        </w:rPr>
      </w:pPr>
      <w:r>
        <w:rPr>
          <w:rStyle w:val="Kommentarhenvisning"/>
          <w:rFonts w:ascii="Arial" w:hAnsi="Arial" w:cs="Arial"/>
          <w:i/>
          <w:sz w:val="22"/>
          <w:szCs w:val="22"/>
          <w:lang w:val="en-US"/>
        </w:rPr>
        <w:lastRenderedPageBreak/>
        <w:t xml:space="preserve">Sociodemographic </w:t>
      </w:r>
      <w:r w:rsidR="00855413">
        <w:rPr>
          <w:rStyle w:val="Kommentarhenvisning"/>
          <w:rFonts w:ascii="Arial" w:hAnsi="Arial" w:cs="Arial"/>
          <w:i/>
          <w:sz w:val="22"/>
          <w:szCs w:val="22"/>
          <w:lang w:val="en-US"/>
        </w:rPr>
        <w:t>characteristics</w:t>
      </w:r>
    </w:p>
    <w:p w14:paraId="0DDA845C" w14:textId="6311747D" w:rsidR="005C221C" w:rsidRDefault="00855413" w:rsidP="00130D32">
      <w:pPr>
        <w:spacing w:after="240" w:line="480" w:lineRule="auto"/>
        <w:rPr>
          <w:rFonts w:ascii="Arial" w:hAnsi="Arial" w:cs="Arial"/>
          <w:lang w:val="en-US"/>
        </w:rPr>
      </w:pPr>
      <w:r>
        <w:rPr>
          <w:rFonts w:ascii="Arial" w:hAnsi="Arial" w:cs="Arial"/>
          <w:lang w:val="en-US"/>
        </w:rPr>
        <w:t xml:space="preserve">      </w:t>
      </w:r>
      <w:r w:rsidR="003403C8" w:rsidRPr="00D346B0">
        <w:rPr>
          <w:rStyle w:val="Kommentarhenvisning"/>
          <w:rFonts w:ascii="Arial" w:hAnsi="Arial" w:cs="Arial"/>
          <w:sz w:val="22"/>
          <w:szCs w:val="22"/>
          <w:lang w:val="en-US"/>
        </w:rPr>
        <w:t xml:space="preserve">Information on </w:t>
      </w:r>
      <w:r w:rsidR="00191789">
        <w:rPr>
          <w:rStyle w:val="Kommentarhenvisning"/>
          <w:rFonts w:ascii="Arial" w:hAnsi="Arial" w:cs="Arial"/>
          <w:sz w:val="22"/>
          <w:szCs w:val="22"/>
          <w:lang w:val="en-US"/>
        </w:rPr>
        <w:t xml:space="preserve">the </w:t>
      </w:r>
      <w:r w:rsidR="003403C8" w:rsidRPr="00D346B0">
        <w:rPr>
          <w:rStyle w:val="Kommentarhenvisning"/>
          <w:rFonts w:ascii="Arial" w:hAnsi="Arial" w:cs="Arial"/>
          <w:sz w:val="22"/>
          <w:szCs w:val="22"/>
          <w:lang w:val="en-US"/>
        </w:rPr>
        <w:t>highest attained education was obtain</w:t>
      </w:r>
      <w:r w:rsidR="003403C8">
        <w:rPr>
          <w:rStyle w:val="Kommentarhenvisning"/>
          <w:rFonts w:ascii="Arial" w:hAnsi="Arial" w:cs="Arial"/>
          <w:sz w:val="22"/>
          <w:szCs w:val="22"/>
          <w:lang w:val="en-US"/>
        </w:rPr>
        <w:t>ed</w:t>
      </w:r>
      <w:r w:rsidR="003403C8" w:rsidRPr="00D346B0">
        <w:rPr>
          <w:rStyle w:val="Kommentarhenvisning"/>
          <w:rFonts w:ascii="Arial" w:hAnsi="Arial" w:cs="Arial"/>
          <w:sz w:val="22"/>
          <w:szCs w:val="22"/>
          <w:lang w:val="en-US"/>
        </w:rPr>
        <w:t xml:space="preserve"> </w:t>
      </w:r>
      <w:r w:rsidR="003403C8" w:rsidRPr="00705955">
        <w:rPr>
          <w:rStyle w:val="Kommentarhenvisning"/>
          <w:rFonts w:ascii="Arial" w:hAnsi="Arial" w:cs="Arial"/>
          <w:sz w:val="22"/>
          <w:szCs w:val="22"/>
          <w:lang w:val="en-US"/>
        </w:rPr>
        <w:t xml:space="preserve">from </w:t>
      </w:r>
      <w:r w:rsidR="003403C8" w:rsidRPr="00C411F9">
        <w:rPr>
          <w:rStyle w:val="Kommentarhenvisning"/>
          <w:rFonts w:ascii="Arial" w:hAnsi="Arial" w:cs="Arial"/>
          <w:iCs/>
          <w:sz w:val="22"/>
          <w:szCs w:val="22"/>
          <w:lang w:val="en-US"/>
        </w:rPr>
        <w:t xml:space="preserve">the </w:t>
      </w:r>
      <w:r w:rsidR="003403C8" w:rsidRPr="00705955">
        <w:rPr>
          <w:rStyle w:val="Kommentarhenvisning"/>
          <w:rFonts w:ascii="Arial" w:hAnsi="Arial" w:cs="Arial"/>
          <w:i/>
          <w:sz w:val="22"/>
          <w:szCs w:val="22"/>
          <w:lang w:val="en-US"/>
        </w:rPr>
        <w:t xml:space="preserve">Education </w:t>
      </w:r>
      <w:r w:rsidR="0001375F">
        <w:rPr>
          <w:rStyle w:val="Kommentarhenvisning"/>
          <w:rFonts w:ascii="Arial" w:hAnsi="Arial" w:cs="Arial"/>
          <w:i/>
          <w:sz w:val="22"/>
          <w:szCs w:val="22"/>
          <w:lang w:val="en-US"/>
        </w:rPr>
        <w:t>Registry</w:t>
      </w:r>
      <w:r w:rsidR="003403C8" w:rsidRPr="004D3FEC">
        <w:rPr>
          <w:rStyle w:val="Kommentarhenvisning"/>
          <w:rFonts w:ascii="Arial" w:hAnsi="Arial" w:cs="Arial"/>
          <w:i/>
          <w:sz w:val="22"/>
          <w:szCs w:val="22"/>
          <w:lang w:val="en-US"/>
        </w:rPr>
        <w:t xml:space="preserve"> </w:t>
      </w:r>
      <w:r w:rsidR="003403C8" w:rsidRPr="004E5FD4">
        <w:rPr>
          <w:rStyle w:val="Kommentarhenvisning"/>
          <w:rFonts w:ascii="Arial" w:hAnsi="Arial" w:cs="Arial"/>
          <w:i/>
          <w:sz w:val="22"/>
          <w:szCs w:val="22"/>
          <w:lang w:val="en-US"/>
        </w:rPr>
        <w:fldChar w:fldCharType="begin" w:fldLock="1"/>
      </w:r>
      <w:r w:rsidR="00B6591D">
        <w:rPr>
          <w:rStyle w:val="Kommentarhenvisning"/>
          <w:rFonts w:ascii="Arial" w:hAnsi="Arial" w:cs="Arial"/>
          <w:i/>
          <w:sz w:val="22"/>
          <w:szCs w:val="22"/>
          <w:lang w:val="en-US"/>
        </w:rPr>
        <w:instrText>ADDIN CSL_CITATION {"citationItems":[{"id":"ITEM-1","itemData":{"DOI":"10.1177/1403494810394715","ISSN":"14034948","PMID":"21775362","abstract":"Introduction: Collection of systematic information on education is a long-established practice in Denmark. Content: We describe the education registers available through Statistics Denmark. In particular, we describe the most widely used register: the Population Education Register (PER). Validity and coverage: In 2008, 96% of the Danish population aged 15-69 have non-missing education information in PER. For the immigrant population born in the same cohorts the coverage is 85-90%, which is a high coverage in an international context. Conclusion: The validity and coverage of the Danish education registers are very high. © 2011 the Nordic Societies of Public Health.","author":[{"dropping-particle":"","family":"Jensen","given":"Vibeke M.","non-dropping-particle":"","parse-names":false,"suffix":""},{"dropping-particle":"","family":"Rasmussen","given":"Astrid W.","non-dropping-particle":"","parse-names":false,"suffix":""}],"container-title":"Scandinavian Journal of Public Health","id":"ITEM-1","issue":"7","issued":{"date-parts":[["2011"]]},"page":"91-94","title":"Danish education registers","type":"article-journal","volume":"39"},"uris":["http://www.mendeley.com/documents/?uuid=8378826a-3e0c-4d35-981c-8c3a619a6af9"]}],"mendeley":{"formattedCitation":"&lt;sup&gt;5&lt;/sup&gt;","plainTextFormattedCitation":"5","previouslyFormattedCitation":"&lt;sup&gt;5&lt;/sup&gt;"},"properties":{"noteIndex":0},"schema":"https://github.com/citation-style-language/schema/raw/master/csl-citation.json"}</w:instrText>
      </w:r>
      <w:r w:rsidR="003403C8" w:rsidRPr="004E5FD4">
        <w:rPr>
          <w:rStyle w:val="Kommentarhenvisning"/>
          <w:rFonts w:ascii="Arial" w:hAnsi="Arial" w:cs="Arial"/>
          <w:i/>
          <w:sz w:val="22"/>
          <w:szCs w:val="22"/>
          <w:lang w:val="en-US"/>
        </w:rPr>
        <w:fldChar w:fldCharType="separate"/>
      </w:r>
      <w:r w:rsidR="006B3D2F" w:rsidRPr="006B3D2F">
        <w:rPr>
          <w:rStyle w:val="Kommentarhenvisning"/>
          <w:rFonts w:ascii="Arial" w:hAnsi="Arial" w:cs="Arial"/>
          <w:noProof/>
          <w:sz w:val="22"/>
          <w:szCs w:val="22"/>
          <w:vertAlign w:val="superscript"/>
          <w:lang w:val="en-US"/>
        </w:rPr>
        <w:t>5</w:t>
      </w:r>
      <w:r w:rsidR="003403C8" w:rsidRPr="004E5FD4">
        <w:rPr>
          <w:rStyle w:val="Kommentarhenvisning"/>
          <w:rFonts w:ascii="Arial" w:hAnsi="Arial" w:cs="Arial"/>
          <w:i/>
          <w:sz w:val="22"/>
          <w:szCs w:val="22"/>
          <w:lang w:val="en-US"/>
        </w:rPr>
        <w:fldChar w:fldCharType="end"/>
      </w:r>
      <w:r w:rsidR="003403C8" w:rsidRPr="00D346B0">
        <w:rPr>
          <w:rStyle w:val="Kommentarhenvisning"/>
          <w:rFonts w:ascii="Arial" w:hAnsi="Arial" w:cs="Arial"/>
          <w:sz w:val="22"/>
          <w:szCs w:val="22"/>
          <w:lang w:val="en-US"/>
        </w:rPr>
        <w:t xml:space="preserve">. Occupational status was obtained </w:t>
      </w:r>
      <w:r w:rsidR="003403C8" w:rsidRPr="00705955">
        <w:rPr>
          <w:rStyle w:val="Kommentarhenvisning"/>
          <w:rFonts w:ascii="Arial" w:hAnsi="Arial" w:cs="Arial"/>
          <w:sz w:val="22"/>
          <w:szCs w:val="22"/>
          <w:lang w:val="en-US"/>
        </w:rPr>
        <w:t xml:space="preserve">from </w:t>
      </w:r>
      <w:r w:rsidR="003403C8" w:rsidRPr="00C411F9">
        <w:rPr>
          <w:rStyle w:val="Kommentarhenvisning"/>
          <w:rFonts w:ascii="Arial" w:hAnsi="Arial" w:cs="Arial"/>
          <w:iCs/>
          <w:sz w:val="22"/>
          <w:szCs w:val="22"/>
          <w:lang w:val="en-US"/>
        </w:rPr>
        <w:t>the</w:t>
      </w:r>
      <w:r w:rsidR="003403C8" w:rsidRPr="00705955">
        <w:rPr>
          <w:rStyle w:val="Kommentarhenvisning"/>
          <w:rFonts w:ascii="Arial" w:hAnsi="Arial" w:cs="Arial"/>
          <w:i/>
          <w:sz w:val="22"/>
          <w:szCs w:val="22"/>
          <w:lang w:val="en-US"/>
        </w:rPr>
        <w:t xml:space="preserve"> </w:t>
      </w:r>
      <w:r w:rsidR="00302899" w:rsidRPr="00705955">
        <w:rPr>
          <w:rStyle w:val="Kommentarhenvisning"/>
          <w:rFonts w:ascii="Arial" w:hAnsi="Arial" w:cs="Arial"/>
          <w:i/>
          <w:sz w:val="22"/>
          <w:szCs w:val="22"/>
          <w:lang w:val="en-US"/>
        </w:rPr>
        <w:t>L</w:t>
      </w:r>
      <w:r w:rsidR="00302899" w:rsidRPr="004D3FEC">
        <w:rPr>
          <w:rStyle w:val="Kommentarhenvisning"/>
          <w:rFonts w:ascii="Arial" w:hAnsi="Arial" w:cs="Arial"/>
          <w:i/>
          <w:sz w:val="22"/>
          <w:szCs w:val="22"/>
          <w:lang w:val="en-US"/>
        </w:rPr>
        <w:t>abor</w:t>
      </w:r>
      <w:r w:rsidR="003403C8" w:rsidRPr="004D3FEC">
        <w:rPr>
          <w:rStyle w:val="Kommentarhenvisning"/>
          <w:rFonts w:ascii="Arial" w:hAnsi="Arial" w:cs="Arial"/>
          <w:i/>
          <w:sz w:val="22"/>
          <w:szCs w:val="22"/>
          <w:lang w:val="en-US"/>
        </w:rPr>
        <w:t xml:space="preserve"> Market Statistics</w:t>
      </w:r>
      <w:r w:rsidR="003403C8">
        <w:rPr>
          <w:rStyle w:val="Kommentarhenvisning"/>
          <w:rFonts w:ascii="Arial" w:hAnsi="Arial" w:cs="Arial"/>
          <w:i/>
          <w:sz w:val="22"/>
          <w:szCs w:val="22"/>
          <w:lang w:val="en-US"/>
        </w:rPr>
        <w:t xml:space="preserve"> </w:t>
      </w:r>
      <w:r w:rsidR="003403C8">
        <w:rPr>
          <w:rStyle w:val="Kommentarhenvisning"/>
          <w:rFonts w:ascii="Arial" w:hAnsi="Arial" w:cs="Arial"/>
          <w:i/>
          <w:sz w:val="22"/>
          <w:szCs w:val="22"/>
          <w:lang w:val="en-US"/>
        </w:rPr>
        <w:fldChar w:fldCharType="begin" w:fldLock="1"/>
      </w:r>
      <w:r w:rsidR="00B6591D">
        <w:rPr>
          <w:rStyle w:val="Kommentarhenvisning"/>
          <w:rFonts w:ascii="Arial" w:hAnsi="Arial" w:cs="Arial"/>
          <w:i/>
          <w:sz w:val="22"/>
          <w:szCs w:val="22"/>
          <w:lang w:val="en-US"/>
        </w:rPr>
        <w:instrText>ADDIN CSL_CITATION {"citationItems":[{"id":"ITEM-1","itemData":{"DOI":"10.1177/1403494811408483","ISSN":"14034948","PMID":"21775363","abstract":"Introduction: Statistics Denmark has a number of registers about labour market affiliation, which includes information on employees, establishments and the relation between employees and establishments. Content: The registers describe a person's attachment to the labour market, information on the establishments and information on the relations between persons and establishments. The registers presented either include information at one specific point in time each year (end of November) or during the year. Validity and coverage: Both the validity and coverage of the registers are considered to be high. Conclusion: These registers provide valuable information on personal labour market affiliation and can be used to study determinants and consequences of labour market affiliation. © 2011 the Nordic Societies of Public Health.","author":[{"dropping-particle":"","family":"Petersson","given":"Flemming","non-dropping-particle":"","parse-names":false,"suffix":""},{"dropping-particle":"","family":"Baadsgaard","given":"Mikkel","non-dropping-particle":"","parse-names":false,"suffix":""},{"dropping-particle":"","family":"Thygesen","given":"Lau Caspar","non-dropping-particle":"","parse-names":false,"suffix":""}],"container-title":"Scandinavian Journal of Public Health","id":"ITEM-1","issue":"7","issued":{"date-parts":[["2011"]]},"page":"95-98","title":"Danish registers on personal labour market affiliation","type":"article-journal","volume":"39"},"uris":["http://www.mendeley.com/documents/?uuid=69c77d05-5f85-49e2-87b5-99e199019430"]}],"mendeley":{"formattedCitation":"&lt;sup&gt;6&lt;/sup&gt;","plainTextFormattedCitation":"6","previouslyFormattedCitation":"&lt;sup&gt;6&lt;/sup&gt;"},"properties":{"noteIndex":0},"schema":"https://github.com/citation-style-language/schema/raw/master/csl-citation.json"}</w:instrText>
      </w:r>
      <w:r w:rsidR="003403C8">
        <w:rPr>
          <w:rStyle w:val="Kommentarhenvisning"/>
          <w:rFonts w:ascii="Arial" w:hAnsi="Arial" w:cs="Arial"/>
          <w:i/>
          <w:sz w:val="22"/>
          <w:szCs w:val="22"/>
          <w:lang w:val="en-US"/>
        </w:rPr>
        <w:fldChar w:fldCharType="separate"/>
      </w:r>
      <w:r w:rsidR="006B3D2F" w:rsidRPr="006B3D2F">
        <w:rPr>
          <w:rStyle w:val="Kommentarhenvisning"/>
          <w:rFonts w:ascii="Arial" w:hAnsi="Arial" w:cs="Arial"/>
          <w:noProof/>
          <w:sz w:val="22"/>
          <w:szCs w:val="22"/>
          <w:vertAlign w:val="superscript"/>
          <w:lang w:val="en-US"/>
        </w:rPr>
        <w:t>6</w:t>
      </w:r>
      <w:r w:rsidR="003403C8">
        <w:rPr>
          <w:rStyle w:val="Kommentarhenvisning"/>
          <w:rFonts w:ascii="Arial" w:hAnsi="Arial" w:cs="Arial"/>
          <w:i/>
          <w:sz w:val="22"/>
          <w:szCs w:val="22"/>
          <w:lang w:val="en-US"/>
        </w:rPr>
        <w:fldChar w:fldCharType="end"/>
      </w:r>
      <w:r w:rsidR="003403C8">
        <w:rPr>
          <w:rStyle w:val="Kommentarhenvisning"/>
          <w:rFonts w:ascii="Arial" w:hAnsi="Arial" w:cs="Arial"/>
          <w:i/>
          <w:sz w:val="22"/>
          <w:szCs w:val="22"/>
          <w:lang w:val="en-US"/>
        </w:rPr>
        <w:t xml:space="preserve">. </w:t>
      </w:r>
      <w:r w:rsidR="003403C8">
        <w:rPr>
          <w:rStyle w:val="Kommentarhenvisning"/>
          <w:rFonts w:ascii="Arial" w:hAnsi="Arial" w:cs="Arial"/>
          <w:sz w:val="22"/>
          <w:szCs w:val="22"/>
          <w:lang w:val="en-US"/>
        </w:rPr>
        <w:t xml:space="preserve">The term ‘permanently outside labor market’ used in </w:t>
      </w:r>
      <w:r w:rsidR="00191789">
        <w:rPr>
          <w:rStyle w:val="Kommentarhenvisning"/>
          <w:rFonts w:ascii="Arial" w:hAnsi="Arial" w:cs="Arial"/>
          <w:sz w:val="22"/>
          <w:szCs w:val="22"/>
          <w:lang w:val="en-US"/>
        </w:rPr>
        <w:t xml:space="preserve">our </w:t>
      </w:r>
      <w:r w:rsidR="003403C8">
        <w:rPr>
          <w:rStyle w:val="Kommentarhenvisning"/>
          <w:rFonts w:ascii="Arial" w:hAnsi="Arial" w:cs="Arial"/>
          <w:sz w:val="22"/>
          <w:szCs w:val="22"/>
          <w:lang w:val="en-US"/>
        </w:rPr>
        <w:t>study included pension and disability retirement</w:t>
      </w:r>
      <w:r w:rsidR="003403C8" w:rsidRPr="00D346B0">
        <w:rPr>
          <w:rStyle w:val="Kommentarhenvisning"/>
          <w:rFonts w:ascii="Arial" w:hAnsi="Arial" w:cs="Arial"/>
          <w:sz w:val="22"/>
          <w:szCs w:val="22"/>
          <w:lang w:val="en-US"/>
        </w:rPr>
        <w:t>.</w:t>
      </w:r>
      <w:r w:rsidR="003403C8" w:rsidRPr="00D346B0">
        <w:rPr>
          <w:rFonts w:ascii="Arial" w:hAnsi="Arial" w:cs="Arial"/>
          <w:lang w:val="en-US"/>
        </w:rPr>
        <w:t xml:space="preserve"> Data on vital </w:t>
      </w:r>
      <w:r w:rsidR="003403C8" w:rsidRPr="00705955">
        <w:rPr>
          <w:rFonts w:ascii="Arial" w:hAnsi="Arial" w:cs="Arial"/>
          <w:lang w:val="en-US"/>
        </w:rPr>
        <w:t>status and migration was obtained from</w:t>
      </w:r>
      <w:r w:rsidR="003403C8" w:rsidRPr="004D3FEC">
        <w:rPr>
          <w:rFonts w:ascii="Arial" w:hAnsi="Arial" w:cs="Arial"/>
          <w:lang w:val="en-US"/>
        </w:rPr>
        <w:t xml:space="preserve"> </w:t>
      </w:r>
      <w:r w:rsidR="003403C8" w:rsidRPr="00C411F9">
        <w:rPr>
          <w:rFonts w:ascii="Arial" w:hAnsi="Arial" w:cs="Arial"/>
          <w:iCs/>
          <w:lang w:val="en-US"/>
        </w:rPr>
        <w:t>the</w:t>
      </w:r>
      <w:r w:rsidR="003403C8" w:rsidRPr="00705955">
        <w:rPr>
          <w:rFonts w:ascii="Arial" w:hAnsi="Arial" w:cs="Arial"/>
          <w:i/>
          <w:lang w:val="en-US"/>
        </w:rPr>
        <w:t xml:space="preserve"> Danish C</w:t>
      </w:r>
      <w:r w:rsidR="003403C8" w:rsidRPr="004D3FEC">
        <w:rPr>
          <w:rFonts w:ascii="Arial" w:hAnsi="Arial" w:cs="Arial"/>
          <w:i/>
          <w:lang w:val="en-US"/>
        </w:rPr>
        <w:t xml:space="preserve">ivil Registration System </w:t>
      </w:r>
      <w:r w:rsidR="003403C8" w:rsidRPr="004E5FD4">
        <w:rPr>
          <w:rFonts w:ascii="Arial" w:hAnsi="Arial" w:cs="Arial"/>
          <w:lang w:val="en-US"/>
        </w:rPr>
        <w:fldChar w:fldCharType="begin" w:fldLock="1"/>
      </w:r>
      <w:r w:rsidR="001B3D39">
        <w:rPr>
          <w:rFonts w:ascii="Arial" w:hAnsi="Arial" w:cs="Arial"/>
          <w:lang w:val="en-US"/>
        </w:rPr>
        <w:instrText>ADDIN CSL_CITATION {"citationItems":[{"id":"ITEM-1","itemData":{"DOI":"10.1007/s10654-014-9930-3","author":[{"dropping-particle":"","family":"Schmidt","given":"Morten","non-dropping-particle":"","parse-names":false,"suffix":""},{"dropping-particle":"","family":"Pedersen","given":"Lars","non-dropping-particle":"","parse-names":false,"suffix":""},{"dropping-particle":"","family":"Sørensen","given":"Henrik Toft","non-dropping-particle":"","parse-names":false,"suffix":""}],"container-title":"European journal of epidemiology","id":"ITEM-1","issued":{"date-parts":[["2014"]]},"page":"541-549","title":"The Danish Civil Registration System as a tool in epidemiology","type":"article-journal","volume":"29"},"uris":["http://www.mendeley.com/documents/?uuid=83f49f55-44ea-49c3-b601-d426241c34b0","http://www.mendeley.com/documents/?uuid=85f4b80f-21c7-4eb0-a33b-ff1bf4bc5c9f"]}],"mendeley":{"formattedCitation":"&lt;sup&gt;24&lt;/sup&gt;","plainTextFormattedCitation":"24","previouslyFormattedCitation":"&lt;sup&gt;24&lt;/sup&gt;"},"properties":{"noteIndex":0},"schema":"https://github.com/citation-style-language/schema/raw/master/csl-citation.json"}</w:instrText>
      </w:r>
      <w:r w:rsidR="003403C8" w:rsidRPr="004E5FD4">
        <w:rPr>
          <w:rFonts w:ascii="Arial" w:hAnsi="Arial" w:cs="Arial"/>
          <w:lang w:val="en-US"/>
        </w:rPr>
        <w:fldChar w:fldCharType="separate"/>
      </w:r>
      <w:r w:rsidR="00B6591D" w:rsidRPr="00B6591D">
        <w:rPr>
          <w:rFonts w:ascii="Arial" w:hAnsi="Arial" w:cs="Arial"/>
          <w:noProof/>
          <w:vertAlign w:val="superscript"/>
          <w:lang w:val="en-US"/>
        </w:rPr>
        <w:t>24</w:t>
      </w:r>
      <w:r w:rsidR="003403C8" w:rsidRPr="004E5FD4">
        <w:rPr>
          <w:rFonts w:ascii="Arial" w:hAnsi="Arial" w:cs="Arial"/>
          <w:lang w:val="en-US"/>
        </w:rPr>
        <w:fldChar w:fldCharType="end"/>
      </w:r>
      <w:r w:rsidR="003403C8" w:rsidRPr="00705955">
        <w:rPr>
          <w:rFonts w:ascii="Arial" w:hAnsi="Arial" w:cs="Arial"/>
          <w:lang w:val="en-US"/>
        </w:rPr>
        <w:t xml:space="preserve">. </w:t>
      </w:r>
      <w:r w:rsidR="003403C8" w:rsidRPr="004D3FEC">
        <w:rPr>
          <w:rFonts w:ascii="Arial" w:hAnsi="Arial" w:cs="Arial"/>
          <w:lang w:val="en-US"/>
        </w:rPr>
        <w:t>Data on</w:t>
      </w:r>
      <w:r w:rsidR="003403C8">
        <w:rPr>
          <w:rFonts w:ascii="Arial" w:hAnsi="Arial" w:cs="Arial"/>
          <w:lang w:val="en-US"/>
        </w:rPr>
        <w:t xml:space="preserve"> cohabitation status </w:t>
      </w:r>
      <w:proofErr w:type="gramStart"/>
      <w:r w:rsidR="003403C8">
        <w:rPr>
          <w:rFonts w:ascii="Arial" w:hAnsi="Arial" w:cs="Arial"/>
          <w:lang w:val="en-US"/>
        </w:rPr>
        <w:t xml:space="preserve">was </w:t>
      </w:r>
      <w:r w:rsidR="00473EE6">
        <w:rPr>
          <w:rFonts w:ascii="Arial" w:hAnsi="Arial" w:cs="Arial"/>
          <w:lang w:val="en-US"/>
        </w:rPr>
        <w:t>self-reported</w:t>
      </w:r>
      <w:proofErr w:type="gramEnd"/>
      <w:r w:rsidR="003403C8">
        <w:rPr>
          <w:rFonts w:ascii="Arial" w:hAnsi="Arial" w:cs="Arial"/>
          <w:lang w:val="en-US"/>
        </w:rPr>
        <w:t xml:space="preserve"> for ALD patients participating in the </w:t>
      </w:r>
      <w:r w:rsidR="00473EE6">
        <w:rPr>
          <w:rFonts w:ascii="Arial" w:hAnsi="Arial" w:cs="Arial"/>
          <w:lang w:val="en-US"/>
        </w:rPr>
        <w:t xml:space="preserve">DNHS. </w:t>
      </w:r>
      <w:r w:rsidR="003403C8">
        <w:rPr>
          <w:rFonts w:ascii="Arial" w:hAnsi="Arial" w:cs="Arial"/>
          <w:lang w:val="en-US"/>
        </w:rPr>
        <w:t xml:space="preserve">For the national comparison cohort, information on cohabitation status </w:t>
      </w:r>
      <w:r w:rsidR="00191789">
        <w:rPr>
          <w:rFonts w:ascii="Arial" w:hAnsi="Arial" w:cs="Arial"/>
          <w:lang w:val="en-US"/>
        </w:rPr>
        <w:t xml:space="preserve">was obtained </w:t>
      </w:r>
      <w:r w:rsidR="003403C8">
        <w:rPr>
          <w:rFonts w:ascii="Arial" w:hAnsi="Arial" w:cs="Arial"/>
          <w:lang w:val="en-US"/>
        </w:rPr>
        <w:t xml:space="preserve">from the </w:t>
      </w:r>
      <w:r w:rsidR="00473EE6" w:rsidRPr="00191789">
        <w:rPr>
          <w:rFonts w:ascii="Arial" w:hAnsi="Arial" w:cs="Arial"/>
          <w:i/>
          <w:lang w:val="en-US"/>
        </w:rPr>
        <w:t>Family</w:t>
      </w:r>
      <w:r w:rsidR="003403C8" w:rsidRPr="00191789">
        <w:rPr>
          <w:rFonts w:ascii="Arial" w:hAnsi="Arial" w:cs="Arial"/>
          <w:i/>
          <w:lang w:val="en-US"/>
        </w:rPr>
        <w:t xml:space="preserve"> </w:t>
      </w:r>
      <w:r w:rsidR="0001375F">
        <w:rPr>
          <w:rFonts w:ascii="Arial" w:hAnsi="Arial" w:cs="Arial"/>
          <w:i/>
          <w:lang w:val="en-US"/>
        </w:rPr>
        <w:t>Registry</w:t>
      </w:r>
      <w:r w:rsidR="00191789">
        <w:rPr>
          <w:rFonts w:ascii="Arial" w:hAnsi="Arial" w:cs="Arial"/>
          <w:i/>
          <w:lang w:val="en-US"/>
        </w:rPr>
        <w:t>.</w:t>
      </w:r>
      <w:r w:rsidR="003403C8" w:rsidRPr="004E5FD4">
        <w:rPr>
          <w:rFonts w:ascii="Arial" w:hAnsi="Arial" w:cs="Arial"/>
          <w:lang w:val="en-US"/>
        </w:rPr>
        <w:fldChar w:fldCharType="begin" w:fldLock="1"/>
      </w:r>
      <w:r w:rsidR="001B3D39">
        <w:rPr>
          <w:rFonts w:ascii="Arial" w:hAnsi="Arial" w:cs="Arial"/>
          <w:lang w:val="en-US"/>
        </w:rPr>
        <w:instrText>ADDIN CSL_CITATION {"citationItems":[{"id":"ITEM-1","itemData":{"DOI":"10.1177/1403494815575193","ISSN":"16511905","abstract":"Aims: The Nordic countries have a strong tradition of using nationwide social and health registers for research purposes. The aim of the current paper is to provide an overview of the Danish population-based registers in public health and health-related research, and to discuss their strengths and limitations. Methods: Danish registers on somatic and psychiatric hospital contacts as well as care provided by general practitioners were reviewed. The availability of demographic, individual-level variables of relevance for health-related research was summarized. Results: Since 1968, every person living in Denmark has a unique identifier. This identifier is listed in Danish registers enabling linkage of information from a range of registers on an individual level. The nationwide coverage of all patient contacts at somatic and psychiatric hospitals, consultations with general practitioners, purchases of prescribed medications, and a complete follow-up with respect to causes of death support public health studies surveying trends of prevalence and incidence. Historical data on psychiatric and somatic hospitalizations since 1969 and 1977, respectively, allow an in-depth assessment of the burden of disease and time trends. Demographic characteristics of individuals and family units, together with information on education, employment, income, place of residence and migration, are provided by social registers. Conclusions: Register data are fully representative of the entire population with no loss to follow-up. Nationwide coverage also ensures a large sample to investigate events and conditions with low base rates. Clinical observations are limited and often only available for select patient populations. However, the opportunities available for public health research through linkage of register data with the increasing number of nationwide clinical databases, bio-banks and surveys entail promising perspectives for future research. © 2015, the Nordic Societies of Public Health. All rights reserved.","author":[{"dropping-particle":"","family":"Erlangsen","given":"Annette","non-dropping-particle":"","parse-names":false,"suffix":""},{"dropping-particle":"","family":"Fedyszyn","given":"Izabela","non-dropping-particle":"","parse-names":false,"suffix":""}],"container-title":"Scandinavian Journal of Public Health","id":"ITEM-1","issued":{"date-parts":[["2015"]]},"title":"Danish nationwide registers for public health and health-related research","type":"article"},"uris":["http://www.mendeley.com/documents/?uuid=cd8a1865-ec4f-4126-b555-096b26ff5aa3","http://www.mendeley.com/documents/?uuid=24c8168d-c404-47ef-aa6c-9170a8e2f8a0"]}],"mendeley":{"formattedCitation":"&lt;sup&gt;25&lt;/sup&gt;","plainTextFormattedCitation":"25","previouslyFormattedCitation":"&lt;sup&gt;25&lt;/sup&gt;"},"properties":{"noteIndex":0},"schema":"https://github.com/citation-style-language/schema/raw/master/csl-citation.json"}</w:instrText>
      </w:r>
      <w:r w:rsidR="003403C8" w:rsidRPr="004E5FD4">
        <w:rPr>
          <w:rFonts w:ascii="Arial" w:hAnsi="Arial" w:cs="Arial"/>
          <w:lang w:val="en-US"/>
        </w:rPr>
        <w:fldChar w:fldCharType="separate"/>
      </w:r>
      <w:r w:rsidR="00B6591D" w:rsidRPr="00B6591D">
        <w:rPr>
          <w:rFonts w:ascii="Arial" w:hAnsi="Arial" w:cs="Arial"/>
          <w:noProof/>
          <w:vertAlign w:val="superscript"/>
          <w:lang w:val="en-US"/>
        </w:rPr>
        <w:t>25</w:t>
      </w:r>
      <w:r w:rsidR="003403C8" w:rsidRPr="004E5FD4">
        <w:rPr>
          <w:rFonts w:ascii="Arial" w:hAnsi="Arial" w:cs="Arial"/>
          <w:lang w:val="en-US"/>
        </w:rPr>
        <w:fldChar w:fldCharType="end"/>
      </w:r>
      <w:r w:rsidR="005C221C" w:rsidRPr="005C221C">
        <w:rPr>
          <w:rFonts w:ascii="Arial" w:hAnsi="Arial" w:cs="Arial"/>
          <w:lang w:val="en-US"/>
        </w:rPr>
        <w:t xml:space="preserve"> </w:t>
      </w:r>
    </w:p>
    <w:p w14:paraId="52DBB31B" w14:textId="520F69D2" w:rsidR="0055069A" w:rsidRPr="00725E6A" w:rsidRDefault="00831552" w:rsidP="00130D32">
      <w:pPr>
        <w:spacing w:after="0" w:line="480" w:lineRule="auto"/>
        <w:rPr>
          <w:rFonts w:ascii="Arial" w:hAnsi="Arial" w:cs="Arial"/>
          <w:b/>
          <w:lang w:val="en-US"/>
        </w:rPr>
      </w:pPr>
      <w:r>
        <w:rPr>
          <w:rFonts w:ascii="Arial" w:hAnsi="Arial" w:cs="Arial"/>
          <w:b/>
          <w:lang w:val="en-US"/>
        </w:rPr>
        <w:t>Engagement in alcohol misuse</w:t>
      </w:r>
      <w:r w:rsidR="0055069A">
        <w:rPr>
          <w:rFonts w:ascii="Arial" w:hAnsi="Arial" w:cs="Arial"/>
          <w:b/>
          <w:lang w:val="en-US"/>
        </w:rPr>
        <w:t xml:space="preserve"> treatment </w:t>
      </w:r>
    </w:p>
    <w:p w14:paraId="73103F33" w14:textId="073E2556" w:rsidR="00855413" w:rsidRPr="0092296C" w:rsidRDefault="00855413" w:rsidP="009E741E">
      <w:pPr>
        <w:spacing w:line="480" w:lineRule="auto"/>
        <w:rPr>
          <w:rFonts w:ascii="Arial" w:hAnsi="Arial" w:cs="Arial"/>
          <w:lang w:val="en-US"/>
        </w:rPr>
      </w:pPr>
      <w:r>
        <w:rPr>
          <w:rFonts w:ascii="Arial" w:hAnsi="Arial" w:cs="Arial"/>
          <w:lang w:val="en-US"/>
        </w:rPr>
        <w:t xml:space="preserve">      </w:t>
      </w:r>
      <w:r w:rsidR="002955A1" w:rsidRPr="0069032B">
        <w:rPr>
          <w:rFonts w:ascii="Arial" w:hAnsi="Arial" w:cs="Arial"/>
          <w:lang w:val="en-US"/>
        </w:rPr>
        <w:t xml:space="preserve">Patients who reported active alcohol consumption </w:t>
      </w:r>
      <w:proofErr w:type="gramStart"/>
      <w:r w:rsidR="002955A1" w:rsidRPr="0069032B">
        <w:rPr>
          <w:rFonts w:ascii="Arial" w:hAnsi="Arial" w:cs="Arial"/>
          <w:lang w:val="en-US"/>
        </w:rPr>
        <w:t>were followed</w:t>
      </w:r>
      <w:proofErr w:type="gramEnd"/>
      <w:r w:rsidR="002955A1" w:rsidRPr="0069032B">
        <w:rPr>
          <w:rFonts w:ascii="Arial" w:hAnsi="Arial" w:cs="Arial"/>
          <w:lang w:val="en-US"/>
        </w:rPr>
        <w:t xml:space="preserve"> for two years for engagement in alcohol misuse treatment after DNHS participation</w:t>
      </w:r>
      <w:r w:rsidR="00895FFC">
        <w:rPr>
          <w:rFonts w:ascii="Arial" w:hAnsi="Arial" w:cs="Arial"/>
          <w:i/>
          <w:lang w:val="en-US"/>
        </w:rPr>
        <w:t xml:space="preserve">. </w:t>
      </w:r>
      <w:r w:rsidR="00470407">
        <w:rPr>
          <w:rFonts w:ascii="Arial" w:hAnsi="Arial" w:cs="Arial"/>
          <w:lang w:val="en-US"/>
        </w:rPr>
        <w:t>The a</w:t>
      </w:r>
      <w:r w:rsidR="0055069A">
        <w:rPr>
          <w:rFonts w:ascii="Arial" w:hAnsi="Arial" w:cs="Arial"/>
          <w:lang w:val="en-US"/>
        </w:rPr>
        <w:t xml:space="preserve">lcohol </w:t>
      </w:r>
      <w:r w:rsidR="00831552">
        <w:rPr>
          <w:rFonts w:ascii="Arial" w:hAnsi="Arial" w:cs="Arial"/>
          <w:lang w:val="en-US"/>
        </w:rPr>
        <w:t>misuse</w:t>
      </w:r>
      <w:r w:rsidR="0055069A">
        <w:rPr>
          <w:rFonts w:ascii="Arial" w:hAnsi="Arial" w:cs="Arial"/>
          <w:lang w:val="en-US"/>
        </w:rPr>
        <w:t xml:space="preserve"> treatment </w:t>
      </w:r>
      <w:proofErr w:type="gramStart"/>
      <w:r w:rsidR="0055069A">
        <w:rPr>
          <w:rFonts w:ascii="Arial" w:hAnsi="Arial" w:cs="Arial"/>
          <w:lang w:val="en-US"/>
        </w:rPr>
        <w:t>was defined</w:t>
      </w:r>
      <w:proofErr w:type="gramEnd"/>
      <w:r w:rsidR="0055069A">
        <w:rPr>
          <w:rFonts w:ascii="Arial" w:hAnsi="Arial" w:cs="Arial"/>
          <w:lang w:val="en-US"/>
        </w:rPr>
        <w:t xml:space="preserve"> as either attending </w:t>
      </w:r>
      <w:r w:rsidR="00470407">
        <w:rPr>
          <w:rFonts w:ascii="Arial" w:hAnsi="Arial" w:cs="Arial"/>
          <w:lang w:val="en-US"/>
        </w:rPr>
        <w:t xml:space="preserve">a </w:t>
      </w:r>
      <w:r w:rsidR="0055069A">
        <w:rPr>
          <w:rFonts w:ascii="Arial" w:hAnsi="Arial" w:cs="Arial"/>
          <w:lang w:val="en-US"/>
        </w:rPr>
        <w:t xml:space="preserve">specialized alcohol </w:t>
      </w:r>
      <w:r w:rsidR="00831552">
        <w:rPr>
          <w:rFonts w:ascii="Arial" w:hAnsi="Arial" w:cs="Arial"/>
          <w:lang w:val="en-US"/>
        </w:rPr>
        <w:t xml:space="preserve">misuse </w:t>
      </w:r>
      <w:r w:rsidR="0055069A">
        <w:rPr>
          <w:rFonts w:ascii="Arial" w:hAnsi="Arial" w:cs="Arial"/>
          <w:lang w:val="en-US"/>
        </w:rPr>
        <w:t xml:space="preserve">treatment center or </w:t>
      </w:r>
      <w:r w:rsidR="00517929" w:rsidRPr="00C16E58">
        <w:rPr>
          <w:rFonts w:ascii="Arial" w:hAnsi="Arial" w:cs="Arial"/>
          <w:lang w:val="en-US"/>
        </w:rPr>
        <w:t>redeem</w:t>
      </w:r>
      <w:r w:rsidR="00517929">
        <w:rPr>
          <w:rFonts w:ascii="Arial" w:hAnsi="Arial" w:cs="Arial"/>
          <w:lang w:val="en-US"/>
        </w:rPr>
        <w:t xml:space="preserve">ing </w:t>
      </w:r>
      <w:r w:rsidR="00470407">
        <w:rPr>
          <w:rFonts w:ascii="Arial" w:hAnsi="Arial" w:cs="Arial"/>
          <w:lang w:val="en-US"/>
        </w:rPr>
        <w:t>a drug prescription</w:t>
      </w:r>
      <w:r w:rsidR="0055069A">
        <w:rPr>
          <w:rFonts w:ascii="Arial" w:hAnsi="Arial" w:cs="Arial"/>
          <w:lang w:val="en-US"/>
        </w:rPr>
        <w:t xml:space="preserve"> to treat alcohol use disorder</w:t>
      </w:r>
      <w:r w:rsidR="00470407">
        <w:rPr>
          <w:rFonts w:ascii="Arial" w:hAnsi="Arial" w:cs="Arial"/>
          <w:lang w:val="en-US"/>
        </w:rPr>
        <w:t>. A</w:t>
      </w:r>
      <w:r w:rsidR="0055069A" w:rsidRPr="00D346B0">
        <w:rPr>
          <w:rFonts w:ascii="Arial" w:hAnsi="Arial" w:cs="Arial"/>
          <w:lang w:val="en-US"/>
        </w:rPr>
        <w:t>ny doctor in Denmark</w:t>
      </w:r>
      <w:r w:rsidR="00470407">
        <w:rPr>
          <w:rFonts w:ascii="Arial" w:hAnsi="Arial" w:cs="Arial"/>
          <w:lang w:val="en-US"/>
        </w:rPr>
        <w:t>,</w:t>
      </w:r>
      <w:r w:rsidR="0055069A" w:rsidRPr="00D346B0">
        <w:rPr>
          <w:rFonts w:ascii="Arial" w:hAnsi="Arial" w:cs="Arial"/>
          <w:lang w:val="en-US"/>
        </w:rPr>
        <w:t xml:space="preserve"> including general practitioners, hospital physicians, psychiatrists</w:t>
      </w:r>
      <w:r w:rsidR="00FA1EB9">
        <w:rPr>
          <w:rFonts w:ascii="Arial" w:hAnsi="Arial" w:cs="Arial"/>
          <w:lang w:val="en-US"/>
        </w:rPr>
        <w:t>,</w:t>
      </w:r>
      <w:r w:rsidR="0055069A" w:rsidRPr="00D346B0">
        <w:rPr>
          <w:rFonts w:ascii="Arial" w:hAnsi="Arial" w:cs="Arial"/>
          <w:lang w:val="en-US"/>
        </w:rPr>
        <w:t xml:space="preserve"> and doctors from the specia</w:t>
      </w:r>
      <w:r w:rsidR="0055069A">
        <w:rPr>
          <w:rFonts w:ascii="Arial" w:hAnsi="Arial" w:cs="Arial"/>
          <w:lang w:val="en-US"/>
        </w:rPr>
        <w:t>lized alcohol</w:t>
      </w:r>
      <w:r w:rsidR="00DC423A">
        <w:rPr>
          <w:rFonts w:ascii="Arial" w:hAnsi="Arial" w:cs="Arial"/>
          <w:lang w:val="en-US"/>
        </w:rPr>
        <w:t xml:space="preserve"> </w:t>
      </w:r>
      <w:r w:rsidR="00831552">
        <w:rPr>
          <w:rFonts w:ascii="Arial" w:hAnsi="Arial" w:cs="Arial"/>
          <w:lang w:val="en-US"/>
        </w:rPr>
        <w:t xml:space="preserve">misuse </w:t>
      </w:r>
      <w:r w:rsidR="0055069A">
        <w:rPr>
          <w:rFonts w:ascii="Arial" w:hAnsi="Arial" w:cs="Arial"/>
          <w:lang w:val="en-US"/>
        </w:rPr>
        <w:t>treatment centers</w:t>
      </w:r>
      <w:r w:rsidR="00470407">
        <w:rPr>
          <w:rFonts w:ascii="Arial" w:hAnsi="Arial" w:cs="Arial"/>
          <w:lang w:val="en-US"/>
        </w:rPr>
        <w:t>, could prescribe the appropriate drug.</w:t>
      </w:r>
      <w:r w:rsidR="0055069A" w:rsidRPr="00D346B0">
        <w:rPr>
          <w:rFonts w:ascii="Arial" w:hAnsi="Arial" w:cs="Arial"/>
          <w:lang w:val="en-US"/>
        </w:rPr>
        <w:fldChar w:fldCharType="begin" w:fldLock="1"/>
      </w:r>
      <w:r w:rsidR="001B3D39">
        <w:rPr>
          <w:rFonts w:ascii="Arial" w:hAnsi="Arial" w:cs="Arial"/>
          <w:lang w:val="en-US"/>
        </w:rPr>
        <w:instrText>ADDIN CSL_CITATION {"citationItems":[{"id":"ITEM-1","itemData":{"DOI":"10.1007/s10654-014-9930-3","author":[{"dropping-particle":"","family":"Schmidt","given":"Morten","non-dropping-particle":"","parse-names":false,"suffix":""},{"dropping-particle":"","family":"Pedersen","given":"Lars","non-dropping-particle":"","parse-names":false,"suffix":""},{"dropping-particle":"","family":"Sørensen","given":"Henrik Toft","non-dropping-particle":"","parse-names":false,"suffix":""}],"container-title":"European journal of epidemiology","id":"ITEM-1","issued":{"date-parts":[["2014"]]},"page":"541-549","title":"The Danish Civil Registration System as a tool in epidemiology","type":"article-journal","volume":"29"},"uris":["http://www.mendeley.com/documents/?uuid=83f49f55-44ea-49c3-b601-d426241c34b0","http://www.mendeley.com/documents/?uuid=85f4b80f-21c7-4eb0-a33b-ff1bf4bc5c9f"]}],"mendeley":{"formattedCitation":"&lt;sup&gt;24&lt;/sup&gt;","plainTextFormattedCitation":"24","previouslyFormattedCitation":"&lt;sup&gt;24&lt;/sup&gt;"},"properties":{"noteIndex":0},"schema":"https://github.com/citation-style-language/schema/raw/master/csl-citation.json"}</w:instrText>
      </w:r>
      <w:r w:rsidR="0055069A" w:rsidRPr="00D346B0">
        <w:rPr>
          <w:rFonts w:ascii="Arial" w:hAnsi="Arial" w:cs="Arial"/>
          <w:lang w:val="en-US"/>
        </w:rPr>
        <w:fldChar w:fldCharType="separate"/>
      </w:r>
      <w:r w:rsidR="00B6591D" w:rsidRPr="00B6591D">
        <w:rPr>
          <w:rFonts w:ascii="Arial" w:hAnsi="Arial" w:cs="Arial"/>
          <w:noProof/>
          <w:vertAlign w:val="superscript"/>
          <w:lang w:val="en-US"/>
        </w:rPr>
        <w:t>24</w:t>
      </w:r>
      <w:r w:rsidR="0055069A" w:rsidRPr="00D346B0">
        <w:rPr>
          <w:rFonts w:ascii="Arial" w:hAnsi="Arial" w:cs="Arial"/>
          <w:lang w:val="en-US"/>
        </w:rPr>
        <w:fldChar w:fldCharType="end"/>
      </w:r>
      <w:r w:rsidR="0055069A">
        <w:rPr>
          <w:rFonts w:ascii="Arial" w:hAnsi="Arial" w:cs="Arial"/>
          <w:lang w:val="en-US"/>
        </w:rPr>
        <w:t xml:space="preserve"> Information on </w:t>
      </w:r>
      <w:r w:rsidR="00470407">
        <w:rPr>
          <w:rFonts w:ascii="Arial" w:hAnsi="Arial" w:cs="Arial"/>
          <w:lang w:val="en-US"/>
        </w:rPr>
        <w:t xml:space="preserve">attainment in </w:t>
      </w:r>
      <w:r w:rsidR="0055069A">
        <w:rPr>
          <w:rFonts w:ascii="Arial" w:hAnsi="Arial" w:cs="Arial"/>
          <w:lang w:val="en-US"/>
        </w:rPr>
        <w:t>s</w:t>
      </w:r>
      <w:r w:rsidR="0055069A" w:rsidRPr="00D346B0">
        <w:rPr>
          <w:rFonts w:ascii="Arial" w:hAnsi="Arial" w:cs="Arial"/>
          <w:lang w:val="en-US"/>
        </w:rPr>
        <w:t xml:space="preserve">pecialized alcohol </w:t>
      </w:r>
      <w:r w:rsidR="00831552">
        <w:rPr>
          <w:rFonts w:ascii="Arial" w:hAnsi="Arial" w:cs="Arial"/>
          <w:lang w:val="en-US"/>
        </w:rPr>
        <w:t xml:space="preserve">misuse </w:t>
      </w:r>
      <w:r w:rsidR="0055069A" w:rsidRPr="00D346B0">
        <w:rPr>
          <w:rFonts w:ascii="Arial" w:hAnsi="Arial" w:cs="Arial"/>
          <w:lang w:val="en-US"/>
        </w:rPr>
        <w:t xml:space="preserve">treatment </w:t>
      </w:r>
      <w:r w:rsidR="00470407">
        <w:rPr>
          <w:rFonts w:ascii="Arial" w:hAnsi="Arial" w:cs="Arial"/>
          <w:lang w:val="en-US"/>
        </w:rPr>
        <w:t xml:space="preserve">centers </w:t>
      </w:r>
      <w:r w:rsidR="0055069A">
        <w:rPr>
          <w:rFonts w:ascii="Arial" w:hAnsi="Arial" w:cs="Arial"/>
          <w:lang w:val="en-US"/>
        </w:rPr>
        <w:t>was obtained</w:t>
      </w:r>
      <w:r w:rsidR="0055069A" w:rsidRPr="00D346B0">
        <w:rPr>
          <w:rFonts w:ascii="Arial" w:hAnsi="Arial" w:cs="Arial"/>
          <w:lang w:val="en-US"/>
        </w:rPr>
        <w:t xml:space="preserve"> from </w:t>
      </w:r>
      <w:r w:rsidR="004D3FEC" w:rsidRPr="00DD47BD">
        <w:rPr>
          <w:rFonts w:ascii="Arial" w:hAnsi="Arial" w:cs="Arial"/>
          <w:iCs/>
          <w:lang w:val="en-US"/>
        </w:rPr>
        <w:t>t</w:t>
      </w:r>
      <w:r w:rsidR="0055069A" w:rsidRPr="00DD47BD">
        <w:rPr>
          <w:rFonts w:ascii="Arial" w:hAnsi="Arial" w:cs="Arial"/>
          <w:iCs/>
          <w:lang w:val="en-US"/>
        </w:rPr>
        <w:t>he</w:t>
      </w:r>
      <w:r w:rsidR="0055069A" w:rsidRPr="00705955">
        <w:rPr>
          <w:rFonts w:ascii="Arial" w:hAnsi="Arial" w:cs="Arial"/>
          <w:i/>
          <w:lang w:val="en-US"/>
        </w:rPr>
        <w:t xml:space="preserve"> National Registr</w:t>
      </w:r>
      <w:r w:rsidR="008A78B7">
        <w:rPr>
          <w:rFonts w:ascii="Arial" w:hAnsi="Arial" w:cs="Arial"/>
          <w:i/>
          <w:lang w:val="en-US"/>
        </w:rPr>
        <w:t xml:space="preserve">y of </w:t>
      </w:r>
      <w:r w:rsidR="008A78B7" w:rsidRPr="00705955">
        <w:rPr>
          <w:rFonts w:ascii="Arial" w:hAnsi="Arial" w:cs="Arial"/>
          <w:i/>
          <w:lang w:val="en-US"/>
        </w:rPr>
        <w:t>Alcohol Treatment</w:t>
      </w:r>
      <w:r w:rsidR="00470407">
        <w:rPr>
          <w:rFonts w:ascii="Arial" w:hAnsi="Arial" w:cs="Arial"/>
          <w:i/>
          <w:lang w:val="en-US"/>
        </w:rPr>
        <w:t>.</w:t>
      </w:r>
      <w:r w:rsidR="0055069A">
        <w:rPr>
          <w:rFonts w:ascii="Arial" w:hAnsi="Arial" w:cs="Arial"/>
          <w:i/>
          <w:lang w:val="en-US"/>
        </w:rPr>
        <w:fldChar w:fldCharType="begin" w:fldLock="1"/>
      </w:r>
      <w:r w:rsidR="001B3D39">
        <w:rPr>
          <w:rFonts w:ascii="Arial" w:hAnsi="Arial" w:cs="Arial"/>
          <w:i/>
          <w:lang w:val="en-US"/>
        </w:rPr>
        <w:instrText>ADDIN CSL_CITATION {"citationItems":[{"id":"ITEM-1","itemData":{"URL":"https://www.danishhealthdata.com/find-health-data/Det-Nationale-Alkoholbehandlingsregister","author":[{"dropping-particle":"","family":"Copenhagen Healthtech Cluster","given":"Danish Health Data Authority","non-dropping-particle":"","parse-names":false,"suffix":""}],"id":"ITEM-1","issued":{"date-parts":[["0"]]},"title":"The National Registry of Alcohol Treatment","type":"webpage"},"uris":["http://www.mendeley.com/documents/?uuid=1a157615-fa4a-41fa-b2f7-b7e48cfa8640"]}],"mendeley":{"formattedCitation":"&lt;sup&gt;26&lt;/sup&gt;","plainTextFormattedCitation":"26","previouslyFormattedCitation":"&lt;sup&gt;26&lt;/sup&gt;"},"properties":{"noteIndex":0},"schema":"https://github.com/citation-style-language/schema/raw/master/csl-citation.json"}</w:instrText>
      </w:r>
      <w:r w:rsidR="0055069A">
        <w:rPr>
          <w:rFonts w:ascii="Arial" w:hAnsi="Arial" w:cs="Arial"/>
          <w:i/>
          <w:lang w:val="en-US"/>
        </w:rPr>
        <w:fldChar w:fldCharType="separate"/>
      </w:r>
      <w:r w:rsidR="00B6591D" w:rsidRPr="00B6591D">
        <w:rPr>
          <w:rFonts w:ascii="Arial" w:hAnsi="Arial" w:cs="Arial"/>
          <w:noProof/>
          <w:vertAlign w:val="superscript"/>
          <w:lang w:val="en-US"/>
        </w:rPr>
        <w:t>26</w:t>
      </w:r>
      <w:r w:rsidR="0055069A">
        <w:rPr>
          <w:rFonts w:ascii="Arial" w:hAnsi="Arial" w:cs="Arial"/>
          <w:i/>
          <w:lang w:val="en-US"/>
        </w:rPr>
        <w:fldChar w:fldCharType="end"/>
      </w:r>
      <w:r w:rsidR="0024230E" w:rsidRPr="0024230E">
        <w:rPr>
          <w:rFonts w:ascii="Arial" w:hAnsi="Arial" w:cs="Arial"/>
          <w:lang w:val="en-US"/>
        </w:rPr>
        <w:t xml:space="preserve"> </w:t>
      </w:r>
      <w:r w:rsidR="00470407">
        <w:rPr>
          <w:rFonts w:ascii="Arial" w:hAnsi="Arial" w:cs="Arial"/>
          <w:lang w:val="en-US"/>
        </w:rPr>
        <w:t xml:space="preserve"> Information on redeemed </w:t>
      </w:r>
      <w:r w:rsidR="0024230E" w:rsidRPr="00E25909">
        <w:rPr>
          <w:rFonts w:ascii="Arial" w:hAnsi="Arial" w:cs="Arial"/>
          <w:lang w:val="en-US"/>
        </w:rPr>
        <w:t>prescriptions</w:t>
      </w:r>
      <w:r w:rsidR="0024230E">
        <w:rPr>
          <w:rFonts w:ascii="Arial" w:hAnsi="Arial" w:cs="Arial"/>
          <w:lang w:val="en-US"/>
        </w:rPr>
        <w:t xml:space="preserve"> </w:t>
      </w:r>
      <w:r w:rsidR="00470407">
        <w:rPr>
          <w:rFonts w:ascii="Arial" w:hAnsi="Arial" w:cs="Arial"/>
          <w:lang w:val="en-US"/>
        </w:rPr>
        <w:t xml:space="preserve">for </w:t>
      </w:r>
      <w:proofErr w:type="spellStart"/>
      <w:r w:rsidR="00470407">
        <w:rPr>
          <w:rFonts w:ascii="Arial" w:hAnsi="Arial" w:cs="Arial"/>
          <w:lang w:val="en-US"/>
        </w:rPr>
        <w:t>acamprosate</w:t>
      </w:r>
      <w:proofErr w:type="spellEnd"/>
      <w:r w:rsidR="00470407">
        <w:rPr>
          <w:rFonts w:ascii="Arial" w:hAnsi="Arial" w:cs="Arial"/>
          <w:lang w:val="en-US"/>
        </w:rPr>
        <w:t xml:space="preserve">, naltrexone, </w:t>
      </w:r>
      <w:proofErr w:type="spellStart"/>
      <w:r w:rsidR="00470407">
        <w:rPr>
          <w:rFonts w:ascii="Arial" w:hAnsi="Arial" w:cs="Arial"/>
          <w:lang w:val="en-US"/>
        </w:rPr>
        <w:t>nalmefene</w:t>
      </w:r>
      <w:proofErr w:type="spellEnd"/>
      <w:r w:rsidR="00470407">
        <w:rPr>
          <w:rFonts w:ascii="Arial" w:hAnsi="Arial" w:cs="Arial"/>
          <w:lang w:val="en-US"/>
        </w:rPr>
        <w:t xml:space="preserve">, or disulfiram </w:t>
      </w:r>
      <w:r w:rsidR="0024230E">
        <w:rPr>
          <w:rFonts w:ascii="Arial" w:hAnsi="Arial" w:cs="Arial"/>
          <w:lang w:val="en-US"/>
        </w:rPr>
        <w:t>was obtained</w:t>
      </w:r>
      <w:r w:rsidR="0024230E" w:rsidRPr="00D346B0">
        <w:rPr>
          <w:rFonts w:ascii="Arial" w:hAnsi="Arial" w:cs="Arial"/>
          <w:lang w:val="en-US"/>
        </w:rPr>
        <w:t xml:space="preserve"> from </w:t>
      </w:r>
      <w:r w:rsidR="0024230E" w:rsidRPr="00DD47BD">
        <w:rPr>
          <w:rFonts w:ascii="Arial" w:hAnsi="Arial" w:cs="Arial"/>
          <w:iCs/>
          <w:lang w:val="en-US"/>
        </w:rPr>
        <w:t>the</w:t>
      </w:r>
      <w:r w:rsidR="0024230E" w:rsidRPr="00705955">
        <w:rPr>
          <w:rFonts w:ascii="Arial" w:hAnsi="Arial" w:cs="Arial"/>
          <w:i/>
          <w:lang w:val="en-US"/>
        </w:rPr>
        <w:t xml:space="preserve"> National Prescription Registr</w:t>
      </w:r>
      <w:r w:rsidR="0024230E">
        <w:rPr>
          <w:rFonts w:ascii="Arial" w:hAnsi="Arial" w:cs="Arial"/>
          <w:i/>
          <w:lang w:val="en-US"/>
        </w:rPr>
        <w:t>y</w:t>
      </w:r>
      <w:r w:rsidR="00470407">
        <w:rPr>
          <w:rFonts w:ascii="Arial" w:hAnsi="Arial" w:cs="Arial"/>
          <w:i/>
          <w:lang w:val="en-US"/>
        </w:rPr>
        <w:t>.</w:t>
      </w:r>
      <w:r w:rsidR="0024230E" w:rsidRPr="004E5FD4">
        <w:rPr>
          <w:rFonts w:ascii="Arial" w:hAnsi="Arial" w:cs="Arial"/>
          <w:i/>
          <w:lang w:val="en-US"/>
        </w:rPr>
        <w:fldChar w:fldCharType="begin" w:fldLock="1"/>
      </w:r>
      <w:r w:rsidR="001B3D39">
        <w:rPr>
          <w:rFonts w:ascii="Arial" w:hAnsi="Arial" w:cs="Arial"/>
          <w:i/>
          <w:lang w:val="en-US"/>
        </w:rPr>
        <w:instrText>ADDIN CSL_CITATION {"citationItems":[{"id":"ITEM-1","itemData":{"DOI":"10.1093/ije/dyw213","ISSN":"14643685","PMID":"27789670","abstract":"Denmark has a long tradition of creating nationwide administrative and health registries. 1,2 Examples include its registries on causes of death, 3 hospitalizations 4 and cancer , 5 and on socioeconomic parameters such as income 6 and education. 7 A registry central to Danish pharmacoepi-demiology is the The Danish National Health Service 10 provides universal tax-supported healthcare, guaranteeing all Danish residents free access to general practitioners (GPs) and hospitals. GPs are the cornerstone of the Danish healthcare system, providing health care free at the point of delivery and acting as gatekeepers for specialist care. GPs often resume the responsibility for treatment after a diagnosis has been established by a specialist. Therefore, GPs issue \\most prescriptions in Denmark. 11 Patient co-payments are required for prescription drugs. A central authority (the Reimbursement Committee) decides whether a particular medicine is reimbursable, and all reimbursable medicines are covered by a tax-financed drug reimbursement scheme. According to this scheme, the percentage of reimbursed costs increases with an individ-ual's total expenditures for reimbursable medicines during the most recent 365 days. 12 At present, the first 130e is paid in full by the patient (except for children, who immediately receive a 60% reimbursement). Then, reimbursements cover increasing percentages of costs, in steps of V","author":[{"dropping-particle":"","family":"Pottegård","given":"Anton","non-dropping-particle":"","parse-names":false,"suffix":""},{"dropping-particle":"","family":"Schmidt","given":"Sigrun Alba Johannesdottir","non-dropping-particle":"","parse-names":false,"suffix":""},{"dropping-particle":"","family":"Wallach-Kildemoes","given":"Helle","non-dropping-particle":"","parse-names":false,"suffix":""},{"dropping-particle":"","family":"Sørensen","given":"Henrik Toft","non-dropping-particle":"","parse-names":false,"suffix":""},{"dropping-particle":"","family":"Hallas","given":"Jesper","non-dropping-particle":"","parse-names":false,"suffix":""},{"dropping-particle":"","family":"Schmidt","given":"Morten","non-dropping-particle":"","parse-names":false,"suffix":""}],"container-title":"International Journal of Epidemiology","id":"ITEM-1","issue":"3","issued":{"date-parts":[["2017"]]},"page":"798","title":"Data resource profile: The Danish national prescription registry","type":"article-journal","volume":"46"},"uris":["http://www.mendeley.com/documents/?uuid=8d8ba722-ba02-454b-9452-bdbaed555070"]}],"mendeley":{"formattedCitation":"&lt;sup&gt;27&lt;/sup&gt;","plainTextFormattedCitation":"27","previouslyFormattedCitation":"&lt;sup&gt;27&lt;/sup&gt;"},"properties":{"noteIndex":0},"schema":"https://github.com/citation-style-language/schema/raw/master/csl-citation.json"}</w:instrText>
      </w:r>
      <w:r w:rsidR="0024230E" w:rsidRPr="004E5FD4">
        <w:rPr>
          <w:rFonts w:ascii="Arial" w:hAnsi="Arial" w:cs="Arial"/>
          <w:i/>
          <w:lang w:val="en-US"/>
        </w:rPr>
        <w:fldChar w:fldCharType="separate"/>
      </w:r>
      <w:r w:rsidR="00B6591D" w:rsidRPr="00B6591D">
        <w:rPr>
          <w:rFonts w:ascii="Arial" w:hAnsi="Arial" w:cs="Arial"/>
          <w:noProof/>
          <w:vertAlign w:val="superscript"/>
          <w:lang w:val="en-US"/>
        </w:rPr>
        <w:t>27</w:t>
      </w:r>
      <w:r w:rsidR="0024230E" w:rsidRPr="004E5FD4">
        <w:rPr>
          <w:rFonts w:ascii="Arial" w:hAnsi="Arial" w:cs="Arial"/>
          <w:i/>
          <w:lang w:val="en-US"/>
        </w:rPr>
        <w:fldChar w:fldCharType="end"/>
      </w:r>
      <w:r w:rsidR="0092296C">
        <w:rPr>
          <w:rFonts w:ascii="Arial" w:hAnsi="Arial" w:cs="Arial"/>
          <w:i/>
          <w:lang w:val="en-US"/>
        </w:rPr>
        <w:t xml:space="preserve"> </w:t>
      </w:r>
      <w:r w:rsidR="009E741E">
        <w:rPr>
          <w:rFonts w:ascii="Arial" w:hAnsi="Arial" w:cs="Arial"/>
          <w:lang w:val="en-US"/>
        </w:rPr>
        <w:t>S</w:t>
      </w:r>
      <w:r w:rsidR="009E741E" w:rsidRPr="009E741E">
        <w:rPr>
          <w:rFonts w:ascii="Arial" w:hAnsi="Arial" w:cs="Arial"/>
          <w:lang w:val="en-US"/>
        </w:rPr>
        <w:t>ome patients might ha</w:t>
      </w:r>
      <w:r w:rsidR="009E741E">
        <w:rPr>
          <w:rFonts w:ascii="Arial" w:hAnsi="Arial" w:cs="Arial"/>
          <w:lang w:val="en-US"/>
        </w:rPr>
        <w:t>ve</w:t>
      </w:r>
      <w:r w:rsidR="009E741E" w:rsidRPr="009E741E">
        <w:rPr>
          <w:rFonts w:ascii="Arial" w:hAnsi="Arial" w:cs="Arial"/>
          <w:lang w:val="en-US"/>
        </w:rPr>
        <w:t xml:space="preserve"> received alcohol misuse treatment before participating in the DNHS. When we assessed </w:t>
      </w:r>
      <w:r w:rsidR="009E741E">
        <w:rPr>
          <w:rFonts w:ascii="Arial" w:hAnsi="Arial" w:cs="Arial"/>
          <w:lang w:val="en-US"/>
        </w:rPr>
        <w:t xml:space="preserve">the </w:t>
      </w:r>
      <w:r w:rsidR="009E741E" w:rsidRPr="009E741E">
        <w:rPr>
          <w:rFonts w:ascii="Arial" w:hAnsi="Arial" w:cs="Arial"/>
          <w:lang w:val="en-US"/>
        </w:rPr>
        <w:t xml:space="preserve">incidence of alcohol misuse treatment, we only </w:t>
      </w:r>
      <w:r w:rsidR="009E741E">
        <w:rPr>
          <w:rFonts w:ascii="Arial" w:hAnsi="Arial" w:cs="Arial"/>
          <w:lang w:val="en-US"/>
        </w:rPr>
        <w:t>considered</w:t>
      </w:r>
      <w:r w:rsidR="009E741E" w:rsidRPr="009E741E">
        <w:rPr>
          <w:rFonts w:ascii="Arial" w:hAnsi="Arial" w:cs="Arial"/>
          <w:lang w:val="en-US"/>
        </w:rPr>
        <w:t xml:space="preserve"> alcohol misuse treatment </w:t>
      </w:r>
      <w:r w:rsidR="009E741E" w:rsidRPr="00E47150">
        <w:rPr>
          <w:rFonts w:ascii="Arial" w:hAnsi="Arial" w:cs="Arial"/>
          <w:lang w:val="en-US"/>
        </w:rPr>
        <w:t>after</w:t>
      </w:r>
      <w:r w:rsidR="009E741E" w:rsidRPr="009E741E">
        <w:rPr>
          <w:rFonts w:ascii="Arial" w:hAnsi="Arial" w:cs="Arial"/>
          <w:lang w:val="en-US"/>
        </w:rPr>
        <w:t xml:space="preserve"> DNHS</w:t>
      </w:r>
      <w:r w:rsidR="009E741E">
        <w:rPr>
          <w:rFonts w:ascii="Arial" w:hAnsi="Arial" w:cs="Arial"/>
          <w:lang w:val="en-US"/>
        </w:rPr>
        <w:t xml:space="preserve"> participation</w:t>
      </w:r>
      <w:r w:rsidR="00E47150">
        <w:rPr>
          <w:rFonts w:ascii="Arial" w:hAnsi="Arial" w:cs="Arial"/>
          <w:lang w:val="en-US"/>
        </w:rPr>
        <w:t>.</w:t>
      </w:r>
    </w:p>
    <w:p w14:paraId="6181CB77" w14:textId="76401C14" w:rsidR="006B61DB" w:rsidRDefault="006B61DB" w:rsidP="0024230E">
      <w:pPr>
        <w:spacing w:line="480" w:lineRule="auto"/>
        <w:rPr>
          <w:rFonts w:ascii="Arial" w:hAnsi="Arial" w:cs="Arial"/>
          <w:szCs w:val="24"/>
          <w:lang w:val="en-US"/>
        </w:rPr>
      </w:pPr>
      <w:r>
        <w:rPr>
          <w:rFonts w:ascii="Arial" w:hAnsi="Arial" w:cs="Arial"/>
          <w:lang w:val="en-US"/>
        </w:rPr>
        <w:t xml:space="preserve">       </w:t>
      </w:r>
      <w:r w:rsidRPr="006B61DB">
        <w:rPr>
          <w:rFonts w:ascii="Arial" w:hAnsi="Arial" w:cs="Arial"/>
          <w:lang w:val="en-US"/>
        </w:rPr>
        <w:t xml:space="preserve">Both private and public institutions for alcohol misuse treatment are obligated to report alcohol misuse treatments to the </w:t>
      </w:r>
      <w:r w:rsidRPr="006B61DB">
        <w:rPr>
          <w:rFonts w:ascii="Arial" w:hAnsi="Arial" w:cs="Arial"/>
          <w:i/>
          <w:lang w:val="en-US"/>
        </w:rPr>
        <w:t>National Registry of Alcohol Treatment</w:t>
      </w:r>
      <w:r w:rsidRPr="006B61DB">
        <w:rPr>
          <w:rFonts w:ascii="Arial" w:hAnsi="Arial" w:cs="Arial"/>
          <w:lang w:val="en-US"/>
        </w:rPr>
        <w:t>. The registry contains all alcohol misuse treatments in Denmark since 2006. About 10% of individuals attending alcohol misuse treatment cho</w:t>
      </w:r>
      <w:r w:rsidR="009E741E">
        <w:rPr>
          <w:rFonts w:ascii="Arial" w:hAnsi="Arial" w:cs="Arial"/>
          <w:lang w:val="en-US"/>
        </w:rPr>
        <w:t>o</w:t>
      </w:r>
      <w:r w:rsidRPr="006B61DB">
        <w:rPr>
          <w:rFonts w:ascii="Arial" w:hAnsi="Arial" w:cs="Arial"/>
          <w:lang w:val="en-US"/>
        </w:rPr>
        <w:t xml:space="preserve">se to be anonymous and </w:t>
      </w:r>
      <w:proofErr w:type="gramStart"/>
      <w:r w:rsidRPr="006B61DB">
        <w:rPr>
          <w:rFonts w:ascii="Arial" w:hAnsi="Arial" w:cs="Arial"/>
          <w:lang w:val="en-US"/>
        </w:rPr>
        <w:t>are not recorded</w:t>
      </w:r>
      <w:proofErr w:type="gramEnd"/>
      <w:r w:rsidRPr="006B61DB">
        <w:rPr>
          <w:rFonts w:ascii="Arial" w:hAnsi="Arial" w:cs="Arial"/>
          <w:lang w:val="en-US"/>
        </w:rPr>
        <w:t xml:space="preserve"> in the </w:t>
      </w:r>
      <w:r w:rsidRPr="006B61DB">
        <w:rPr>
          <w:rFonts w:ascii="Arial" w:hAnsi="Arial" w:cs="Arial"/>
          <w:i/>
          <w:lang w:val="en-US"/>
        </w:rPr>
        <w:t>National Registry of Alcohol Treatment</w:t>
      </w:r>
      <w:r w:rsidRPr="006B61DB">
        <w:rPr>
          <w:rFonts w:ascii="Arial" w:hAnsi="Arial" w:cs="Arial"/>
          <w:lang w:val="en-US"/>
        </w:rPr>
        <w:t xml:space="preserve">. However, in our study, </w:t>
      </w:r>
      <w:r w:rsidR="009E741E" w:rsidRPr="009E741E">
        <w:rPr>
          <w:rFonts w:ascii="Arial" w:hAnsi="Arial" w:cs="Arial"/>
          <w:lang w:val="en-US"/>
        </w:rPr>
        <w:t>individuals chosen to be anonymous</w:t>
      </w:r>
      <w:r w:rsidR="009E741E">
        <w:rPr>
          <w:rFonts w:ascii="Arial" w:hAnsi="Arial" w:cs="Arial"/>
          <w:lang w:val="en-US"/>
        </w:rPr>
        <w:t xml:space="preserve"> </w:t>
      </w:r>
      <w:r w:rsidRPr="006B61DB">
        <w:rPr>
          <w:rFonts w:ascii="Arial" w:hAnsi="Arial" w:cs="Arial"/>
          <w:lang w:val="en-US"/>
        </w:rPr>
        <w:t>that redeemed prescriptions on drugs to treat alcohol use disorders would still be included in the group of patients receiving alcohol misuse treatment</w:t>
      </w:r>
      <w:r w:rsidRPr="006B61DB">
        <w:rPr>
          <w:rFonts w:ascii="Arial" w:hAnsi="Arial" w:cs="Arial"/>
          <w:szCs w:val="24"/>
          <w:lang w:val="en-US"/>
        </w:rPr>
        <w:t xml:space="preserve">. Our data did not include treatment in self-help groups or </w:t>
      </w:r>
      <w:r w:rsidRPr="006B61DB">
        <w:rPr>
          <w:rFonts w:ascii="Arial" w:hAnsi="Arial" w:cs="Arial"/>
          <w:szCs w:val="24"/>
          <w:lang w:val="en-US"/>
        </w:rPr>
        <w:lastRenderedPageBreak/>
        <w:t xml:space="preserve">management of alcohol problems at the general practitioner, except when drugs </w:t>
      </w:r>
      <w:proofErr w:type="gramStart"/>
      <w:r w:rsidRPr="006B61DB">
        <w:rPr>
          <w:rFonts w:ascii="Arial" w:hAnsi="Arial" w:cs="Arial"/>
          <w:szCs w:val="24"/>
          <w:lang w:val="en-US"/>
        </w:rPr>
        <w:t>were prescribed</w:t>
      </w:r>
      <w:proofErr w:type="gramEnd"/>
      <w:r w:rsidRPr="006B61DB">
        <w:rPr>
          <w:rFonts w:ascii="Arial" w:hAnsi="Arial" w:cs="Arial"/>
          <w:szCs w:val="24"/>
          <w:lang w:val="en-US"/>
        </w:rPr>
        <w:t>. We find it unlikely that this lack of data could be of such magnitude that it would affect the association between motivation to reduce alcohol consumption and subsequent engageme</w:t>
      </w:r>
      <w:r w:rsidR="00FC0BE4">
        <w:rPr>
          <w:rFonts w:ascii="Arial" w:hAnsi="Arial" w:cs="Arial"/>
          <w:szCs w:val="24"/>
          <w:lang w:val="en-US"/>
        </w:rPr>
        <w:t>nt in alcohol misuse treatment.</w:t>
      </w:r>
    </w:p>
    <w:p w14:paraId="3481AB7A" w14:textId="77777777" w:rsidR="00D772D3" w:rsidRPr="006B61DB" w:rsidRDefault="00D772D3" w:rsidP="0024230E">
      <w:pPr>
        <w:spacing w:line="480" w:lineRule="auto"/>
        <w:rPr>
          <w:rFonts w:ascii="Arial" w:hAnsi="Arial" w:cs="Arial"/>
          <w:lang w:val="en-US"/>
        </w:rPr>
      </w:pPr>
    </w:p>
    <w:p w14:paraId="5D510BF7" w14:textId="5D29A409" w:rsidR="00EE3369" w:rsidRPr="00555B7E" w:rsidRDefault="001B43FD" w:rsidP="00F16271">
      <w:pPr>
        <w:pStyle w:val="Overskrift5"/>
        <w:rPr>
          <w:lang w:val="en-US"/>
        </w:rPr>
      </w:pPr>
      <w:r w:rsidRPr="00F16271">
        <w:rPr>
          <w:sz w:val="24"/>
          <w:lang w:val="en-US"/>
        </w:rPr>
        <w:t>STATISTICAL ANALYSES</w:t>
      </w:r>
    </w:p>
    <w:p w14:paraId="4007ADC2" w14:textId="77777777" w:rsidR="00DC5DD4" w:rsidRDefault="00DC5DD4" w:rsidP="00F16271">
      <w:pPr>
        <w:pStyle w:val="Ingenafstand"/>
        <w:rPr>
          <w:rStyle w:val="Overskrift3Tegn"/>
          <w:noProof/>
          <w:spacing w:val="20"/>
          <w:lang w:eastAsia="da-DK"/>
        </w:rPr>
      </w:pPr>
    </w:p>
    <w:p w14:paraId="0944DEBF" w14:textId="15D10036" w:rsidR="00EE3369" w:rsidRPr="00F819A2" w:rsidRDefault="0000432B" w:rsidP="00130D32">
      <w:pPr>
        <w:spacing w:after="0" w:line="480" w:lineRule="auto"/>
        <w:rPr>
          <w:rFonts w:ascii="Arial" w:hAnsi="Arial" w:cs="Arial"/>
          <w:i/>
          <w:lang w:val="en-US"/>
        </w:rPr>
      </w:pPr>
      <w:r w:rsidRPr="00F819A2">
        <w:rPr>
          <w:rStyle w:val="Overskrift3Tegn"/>
        </w:rPr>
        <w:t>Association</w:t>
      </w:r>
      <w:r w:rsidR="0098348E" w:rsidRPr="00F819A2">
        <w:rPr>
          <w:rStyle w:val="Overskrift3Tegn"/>
        </w:rPr>
        <w:t>s</w:t>
      </w:r>
      <w:r w:rsidRPr="00F819A2">
        <w:rPr>
          <w:rStyle w:val="Overskrift3Tegn"/>
        </w:rPr>
        <w:t xml:space="preserve"> between clinical characteristics and </w:t>
      </w:r>
      <w:r w:rsidR="0098348E" w:rsidRPr="00F819A2">
        <w:rPr>
          <w:rStyle w:val="Overskrift3Tegn"/>
        </w:rPr>
        <w:t xml:space="preserve">the </w:t>
      </w:r>
      <w:r w:rsidRPr="00F819A2">
        <w:rPr>
          <w:rStyle w:val="Overskrift3Tegn"/>
        </w:rPr>
        <w:t xml:space="preserve">motivation </w:t>
      </w:r>
    </w:p>
    <w:p w14:paraId="65D3562C" w14:textId="6F79CB3A" w:rsidR="0069560F" w:rsidRPr="00F93B38" w:rsidRDefault="00855413" w:rsidP="00130D32">
      <w:pPr>
        <w:pStyle w:val="NormalWeb"/>
        <w:spacing w:before="0" w:beforeAutospacing="0" w:line="480" w:lineRule="auto"/>
        <w:rPr>
          <w:rFonts w:ascii="Arial" w:eastAsiaTheme="minorHAnsi" w:hAnsi="Arial" w:cs="Arial"/>
          <w:sz w:val="22"/>
          <w:szCs w:val="22"/>
          <w:lang w:val="en-US" w:eastAsia="en-US"/>
        </w:rPr>
      </w:pPr>
      <w:r w:rsidRPr="00F819A2">
        <w:rPr>
          <w:rFonts w:ascii="Arial" w:eastAsiaTheme="minorHAnsi" w:hAnsi="Arial" w:cs="Arial"/>
          <w:sz w:val="22"/>
          <w:szCs w:val="22"/>
          <w:lang w:val="en-US" w:eastAsia="en-US"/>
        </w:rPr>
        <w:t xml:space="preserve">      </w:t>
      </w:r>
      <w:r w:rsidR="0098348E" w:rsidRPr="00F819A2">
        <w:rPr>
          <w:rFonts w:ascii="Arial" w:eastAsiaTheme="minorHAnsi" w:hAnsi="Arial" w:cs="Arial"/>
          <w:sz w:val="22"/>
          <w:szCs w:val="22"/>
          <w:lang w:val="en-US" w:eastAsia="en-US"/>
        </w:rPr>
        <w:t xml:space="preserve">The following analyses </w:t>
      </w:r>
      <w:r w:rsidR="00003AA6" w:rsidRPr="00F819A2">
        <w:rPr>
          <w:rFonts w:ascii="Arial" w:eastAsiaTheme="minorHAnsi" w:hAnsi="Arial" w:cs="Arial"/>
          <w:sz w:val="22"/>
          <w:szCs w:val="22"/>
          <w:lang w:val="en-US" w:eastAsia="en-US"/>
        </w:rPr>
        <w:t xml:space="preserve">were </w:t>
      </w:r>
      <w:r w:rsidR="0098348E" w:rsidRPr="00F819A2">
        <w:rPr>
          <w:rFonts w:ascii="Arial" w:eastAsiaTheme="minorHAnsi" w:hAnsi="Arial" w:cs="Arial"/>
          <w:sz w:val="22"/>
          <w:szCs w:val="22"/>
          <w:lang w:val="en-US" w:eastAsia="en-US"/>
        </w:rPr>
        <w:t xml:space="preserve">restricted to ALD patients </w:t>
      </w:r>
      <w:r w:rsidR="00BE0836" w:rsidRPr="00F819A2">
        <w:rPr>
          <w:rFonts w:ascii="Arial" w:eastAsiaTheme="minorHAnsi" w:hAnsi="Arial" w:cs="Arial"/>
          <w:sz w:val="22"/>
          <w:szCs w:val="22"/>
          <w:lang w:val="en-US" w:eastAsia="en-US"/>
        </w:rPr>
        <w:t xml:space="preserve">reporting </w:t>
      </w:r>
      <w:r w:rsidR="006B79B6" w:rsidRPr="00F819A2">
        <w:rPr>
          <w:rFonts w:ascii="Arial" w:eastAsiaTheme="minorHAnsi" w:hAnsi="Arial" w:cs="Arial"/>
          <w:sz w:val="22"/>
          <w:szCs w:val="22"/>
          <w:lang w:val="en-US" w:eastAsia="en-US"/>
        </w:rPr>
        <w:t>active</w:t>
      </w:r>
      <w:r w:rsidR="00BE0836" w:rsidRPr="00F819A2">
        <w:rPr>
          <w:rFonts w:ascii="Arial" w:eastAsiaTheme="minorHAnsi" w:hAnsi="Arial" w:cs="Arial"/>
          <w:sz w:val="22"/>
          <w:szCs w:val="22"/>
          <w:lang w:val="en-US" w:eastAsia="en-US"/>
        </w:rPr>
        <w:t xml:space="preserve"> </w:t>
      </w:r>
      <w:r w:rsidR="0098348E" w:rsidRPr="00F819A2">
        <w:rPr>
          <w:rFonts w:ascii="Arial" w:eastAsiaTheme="minorHAnsi" w:hAnsi="Arial" w:cs="Arial"/>
          <w:sz w:val="22"/>
          <w:szCs w:val="22"/>
          <w:lang w:val="en-US" w:eastAsia="en-US"/>
        </w:rPr>
        <w:t xml:space="preserve">alcohol </w:t>
      </w:r>
      <w:r w:rsidR="001934E8" w:rsidRPr="00F819A2">
        <w:rPr>
          <w:rFonts w:ascii="Arial" w:eastAsiaTheme="minorHAnsi" w:hAnsi="Arial" w:cs="Arial"/>
          <w:sz w:val="22"/>
          <w:szCs w:val="22"/>
          <w:lang w:val="en-US" w:eastAsia="en-US"/>
        </w:rPr>
        <w:t>consumption</w:t>
      </w:r>
      <w:r w:rsidR="0098348E" w:rsidRPr="00F819A2">
        <w:rPr>
          <w:rFonts w:ascii="Arial" w:eastAsiaTheme="minorHAnsi" w:hAnsi="Arial" w:cs="Arial"/>
          <w:sz w:val="22"/>
          <w:szCs w:val="22"/>
          <w:lang w:val="en-US" w:eastAsia="en-US"/>
        </w:rPr>
        <w:t xml:space="preserve"> (n=436). </w:t>
      </w:r>
      <w:r w:rsidR="001934E8" w:rsidRPr="00F819A2">
        <w:rPr>
          <w:rFonts w:ascii="Arial" w:eastAsiaTheme="minorHAnsi" w:hAnsi="Arial" w:cs="Arial"/>
          <w:sz w:val="22"/>
          <w:szCs w:val="22"/>
          <w:lang w:val="en-US" w:eastAsia="en-US"/>
        </w:rPr>
        <w:t>W</w:t>
      </w:r>
      <w:r w:rsidR="00EE3369" w:rsidRPr="00F819A2">
        <w:rPr>
          <w:rFonts w:ascii="Arial" w:eastAsiaTheme="minorHAnsi" w:hAnsi="Arial" w:cs="Arial"/>
          <w:sz w:val="22"/>
          <w:szCs w:val="22"/>
          <w:lang w:val="en-US" w:eastAsia="en-US"/>
        </w:rPr>
        <w:t>e used</w:t>
      </w:r>
      <w:r w:rsidR="000150DF" w:rsidRPr="00F819A2">
        <w:rPr>
          <w:rFonts w:ascii="Arial" w:eastAsiaTheme="minorHAnsi" w:hAnsi="Arial" w:cs="Arial"/>
          <w:sz w:val="22"/>
          <w:szCs w:val="22"/>
          <w:lang w:val="en-US" w:eastAsia="en-US"/>
        </w:rPr>
        <w:t xml:space="preserve"> a</w:t>
      </w:r>
      <w:r w:rsidR="00EE3369" w:rsidRPr="00F819A2">
        <w:rPr>
          <w:rFonts w:ascii="Arial" w:eastAsiaTheme="minorHAnsi" w:hAnsi="Arial" w:cs="Arial"/>
          <w:sz w:val="22"/>
          <w:szCs w:val="22"/>
          <w:lang w:val="en-US" w:eastAsia="en-US"/>
        </w:rPr>
        <w:t xml:space="preserve"> </w:t>
      </w:r>
      <w:r w:rsidR="008C7795" w:rsidRPr="00F819A2">
        <w:rPr>
          <w:rFonts w:ascii="Arial" w:eastAsiaTheme="minorHAnsi" w:hAnsi="Arial" w:cs="Arial"/>
          <w:sz w:val="22"/>
          <w:szCs w:val="22"/>
          <w:lang w:val="en-US" w:eastAsia="en-US"/>
        </w:rPr>
        <w:t xml:space="preserve">generalized linear model </w:t>
      </w:r>
      <w:r w:rsidR="00EE3369" w:rsidRPr="00F819A2">
        <w:rPr>
          <w:rFonts w:ascii="Arial" w:eastAsiaTheme="minorHAnsi" w:hAnsi="Arial" w:cs="Arial"/>
          <w:sz w:val="22"/>
          <w:szCs w:val="22"/>
          <w:lang w:val="en-US" w:eastAsia="en-US"/>
        </w:rPr>
        <w:t xml:space="preserve">to calculate </w:t>
      </w:r>
      <w:r w:rsidR="00C60656" w:rsidRPr="00F819A2">
        <w:rPr>
          <w:rFonts w:ascii="Arial" w:eastAsiaTheme="minorHAnsi" w:hAnsi="Arial" w:cs="Arial"/>
          <w:sz w:val="22"/>
          <w:szCs w:val="22"/>
          <w:lang w:val="en-US" w:eastAsia="en-US"/>
        </w:rPr>
        <w:t xml:space="preserve">prevalence ratios </w:t>
      </w:r>
      <w:r w:rsidR="00EE3369" w:rsidRPr="00F819A2">
        <w:rPr>
          <w:rFonts w:ascii="Arial" w:eastAsiaTheme="minorHAnsi" w:hAnsi="Arial" w:cs="Arial"/>
          <w:sz w:val="22"/>
          <w:szCs w:val="22"/>
          <w:lang w:val="en-US" w:eastAsia="en-US"/>
        </w:rPr>
        <w:t>(</w:t>
      </w:r>
      <w:r w:rsidR="00C60656" w:rsidRPr="00F819A2">
        <w:rPr>
          <w:rFonts w:ascii="Arial" w:eastAsiaTheme="minorHAnsi" w:hAnsi="Arial" w:cs="Arial"/>
          <w:sz w:val="22"/>
          <w:szCs w:val="22"/>
          <w:lang w:val="en-US" w:eastAsia="en-US"/>
        </w:rPr>
        <w:t>P</w:t>
      </w:r>
      <w:r w:rsidR="00EE3369" w:rsidRPr="00F819A2">
        <w:rPr>
          <w:rFonts w:ascii="Arial" w:eastAsiaTheme="minorHAnsi" w:hAnsi="Arial" w:cs="Arial"/>
          <w:sz w:val="22"/>
          <w:szCs w:val="22"/>
          <w:lang w:val="en-US" w:eastAsia="en-US"/>
        </w:rPr>
        <w:t xml:space="preserve">R) </w:t>
      </w:r>
      <w:r w:rsidR="0000432B" w:rsidRPr="00F819A2">
        <w:rPr>
          <w:rFonts w:ascii="Arial" w:eastAsiaTheme="minorHAnsi" w:hAnsi="Arial" w:cs="Arial"/>
          <w:sz w:val="22"/>
          <w:szCs w:val="22"/>
          <w:lang w:val="en-US" w:eastAsia="en-US"/>
        </w:rPr>
        <w:t xml:space="preserve">for </w:t>
      </w:r>
      <w:r w:rsidR="00E1397C" w:rsidRPr="00F819A2">
        <w:rPr>
          <w:rFonts w:ascii="Arial" w:eastAsiaTheme="minorHAnsi" w:hAnsi="Arial" w:cs="Arial"/>
          <w:sz w:val="22"/>
          <w:szCs w:val="22"/>
          <w:lang w:val="en-US" w:eastAsia="en-US"/>
        </w:rPr>
        <w:t>being</w:t>
      </w:r>
      <w:r w:rsidR="0000432B" w:rsidRPr="00F819A2">
        <w:rPr>
          <w:rFonts w:ascii="Arial" w:eastAsiaTheme="minorHAnsi" w:hAnsi="Arial" w:cs="Arial"/>
          <w:sz w:val="22"/>
          <w:szCs w:val="22"/>
          <w:lang w:val="en-US" w:eastAsia="en-US"/>
        </w:rPr>
        <w:t xml:space="preserve"> motivated to reduce</w:t>
      </w:r>
      <w:r w:rsidR="0091704D" w:rsidRPr="00F819A2">
        <w:rPr>
          <w:rFonts w:ascii="Arial" w:eastAsiaTheme="minorHAnsi" w:hAnsi="Arial" w:cs="Arial"/>
          <w:sz w:val="22"/>
          <w:szCs w:val="22"/>
          <w:lang w:val="en-US" w:eastAsia="en-US"/>
        </w:rPr>
        <w:t xml:space="preserve"> </w:t>
      </w:r>
      <w:r w:rsidR="005674C0" w:rsidRPr="00F819A2">
        <w:rPr>
          <w:rFonts w:ascii="Arial" w:eastAsiaTheme="minorHAnsi" w:hAnsi="Arial" w:cs="Arial"/>
          <w:sz w:val="22"/>
          <w:szCs w:val="22"/>
          <w:lang w:val="en-US" w:eastAsia="en-US"/>
        </w:rPr>
        <w:t>alcohol consumption</w:t>
      </w:r>
      <w:r w:rsidR="00BE3CE7" w:rsidRPr="00F819A2">
        <w:rPr>
          <w:rFonts w:ascii="Arial" w:eastAsiaTheme="minorHAnsi" w:hAnsi="Arial" w:cs="Arial"/>
          <w:sz w:val="22"/>
          <w:szCs w:val="22"/>
          <w:lang w:val="en-US" w:eastAsia="en-US"/>
        </w:rPr>
        <w:t xml:space="preserve"> </w:t>
      </w:r>
      <w:r w:rsidR="00E1397C" w:rsidRPr="00F819A2">
        <w:rPr>
          <w:rFonts w:ascii="Arial" w:eastAsiaTheme="minorHAnsi" w:hAnsi="Arial" w:cs="Arial"/>
          <w:sz w:val="22"/>
          <w:szCs w:val="22"/>
          <w:lang w:val="en-US" w:eastAsia="en-US"/>
        </w:rPr>
        <w:t>according to a range of clinical characteristics</w:t>
      </w:r>
      <w:r w:rsidR="009D5482" w:rsidRPr="00F819A2">
        <w:rPr>
          <w:rFonts w:ascii="Arial" w:eastAsiaTheme="minorHAnsi" w:hAnsi="Arial" w:cs="Arial"/>
          <w:sz w:val="22"/>
          <w:szCs w:val="22"/>
          <w:lang w:val="en-US" w:eastAsia="en-US"/>
        </w:rPr>
        <w:t xml:space="preserve"> including sociodemographic characteristics, severity of liver disease, health-related quality of life, recent hospital admission</w:t>
      </w:r>
      <w:r w:rsidR="00F819A2">
        <w:rPr>
          <w:rFonts w:ascii="Arial" w:eastAsiaTheme="minorHAnsi" w:hAnsi="Arial" w:cs="Arial"/>
          <w:sz w:val="22"/>
          <w:szCs w:val="22"/>
          <w:lang w:val="en-US" w:eastAsia="en-US"/>
        </w:rPr>
        <w:t>s</w:t>
      </w:r>
      <w:r w:rsidR="009D5482" w:rsidRPr="00F819A2">
        <w:rPr>
          <w:rFonts w:ascii="Arial" w:eastAsiaTheme="minorHAnsi" w:hAnsi="Arial" w:cs="Arial"/>
          <w:sz w:val="22"/>
          <w:szCs w:val="22"/>
          <w:lang w:val="en-US" w:eastAsia="en-US"/>
        </w:rPr>
        <w:t>, current alcohol consumption and severity of alcohol use disorder</w:t>
      </w:r>
      <w:r w:rsidR="00E1397C" w:rsidRPr="00F819A2">
        <w:rPr>
          <w:rFonts w:ascii="Arial" w:eastAsiaTheme="minorHAnsi" w:hAnsi="Arial" w:cs="Arial"/>
          <w:sz w:val="22"/>
          <w:szCs w:val="22"/>
          <w:lang w:val="en-US" w:eastAsia="en-US"/>
        </w:rPr>
        <w:t xml:space="preserve">. </w:t>
      </w:r>
      <w:r w:rsidR="004A5D35" w:rsidRPr="00F819A2">
        <w:rPr>
          <w:rFonts w:ascii="Arial" w:eastAsiaTheme="minorHAnsi" w:hAnsi="Arial" w:cs="Arial"/>
          <w:sz w:val="22"/>
          <w:szCs w:val="22"/>
          <w:lang w:val="en-US" w:eastAsia="en-US"/>
        </w:rPr>
        <w:t>PR</w:t>
      </w:r>
      <w:r w:rsidR="00673CB7" w:rsidRPr="00F819A2">
        <w:rPr>
          <w:rFonts w:ascii="Arial" w:eastAsiaTheme="minorHAnsi" w:hAnsi="Arial" w:cs="Arial"/>
          <w:sz w:val="22"/>
          <w:szCs w:val="22"/>
          <w:lang w:val="en-US" w:eastAsia="en-US"/>
        </w:rPr>
        <w:t xml:space="preserve"> is a measure of the relative risk</w:t>
      </w:r>
      <w:r w:rsidR="0000432B" w:rsidRPr="00F819A2">
        <w:rPr>
          <w:rFonts w:ascii="Arial" w:eastAsiaTheme="minorHAnsi" w:hAnsi="Arial" w:cs="Arial"/>
          <w:sz w:val="22"/>
          <w:szCs w:val="22"/>
          <w:lang w:val="en-US" w:eastAsia="en-US"/>
        </w:rPr>
        <w:t>, which</w:t>
      </w:r>
      <w:r w:rsidR="00673CB7" w:rsidRPr="00F819A2">
        <w:rPr>
          <w:rFonts w:ascii="Arial" w:eastAsiaTheme="minorHAnsi" w:hAnsi="Arial" w:cs="Arial"/>
          <w:sz w:val="22"/>
          <w:szCs w:val="22"/>
          <w:lang w:val="en-US" w:eastAsia="en-US"/>
        </w:rPr>
        <w:t xml:space="preserve"> avoids overestimations </w:t>
      </w:r>
      <w:r w:rsidR="002D56C9" w:rsidRPr="00F819A2">
        <w:rPr>
          <w:rFonts w:ascii="Arial" w:eastAsiaTheme="minorHAnsi" w:hAnsi="Arial" w:cs="Arial"/>
          <w:sz w:val="22"/>
          <w:szCs w:val="22"/>
          <w:lang w:val="en-US" w:eastAsia="en-US"/>
        </w:rPr>
        <w:t xml:space="preserve">observed </w:t>
      </w:r>
      <w:r w:rsidR="0098348E" w:rsidRPr="00F819A2">
        <w:rPr>
          <w:rFonts w:ascii="Arial" w:eastAsiaTheme="minorHAnsi" w:hAnsi="Arial" w:cs="Arial"/>
          <w:sz w:val="22"/>
          <w:szCs w:val="22"/>
          <w:lang w:val="en-US" w:eastAsia="en-US"/>
        </w:rPr>
        <w:t xml:space="preserve">in </w:t>
      </w:r>
      <w:r w:rsidR="00673CB7" w:rsidRPr="00F819A2">
        <w:rPr>
          <w:rFonts w:ascii="Arial" w:eastAsiaTheme="minorHAnsi" w:hAnsi="Arial" w:cs="Arial"/>
          <w:sz w:val="22"/>
          <w:szCs w:val="22"/>
          <w:lang w:val="en-US" w:eastAsia="en-US"/>
        </w:rPr>
        <w:t xml:space="preserve">calculations of odds ratios </w:t>
      </w:r>
      <w:r w:rsidR="0006629E" w:rsidRPr="00F819A2">
        <w:rPr>
          <w:rFonts w:ascii="Arial" w:eastAsiaTheme="minorHAnsi" w:hAnsi="Arial" w:cs="Arial"/>
          <w:sz w:val="22"/>
          <w:szCs w:val="22"/>
          <w:lang w:val="en-US" w:eastAsia="en-US"/>
        </w:rPr>
        <w:t>when the</w:t>
      </w:r>
      <w:r w:rsidR="002D56C9" w:rsidRPr="00F819A2">
        <w:rPr>
          <w:rFonts w:ascii="Arial" w:eastAsiaTheme="minorHAnsi" w:hAnsi="Arial" w:cs="Arial"/>
          <w:sz w:val="22"/>
          <w:szCs w:val="22"/>
          <w:lang w:val="en-US" w:eastAsia="en-US"/>
        </w:rPr>
        <w:t xml:space="preserve"> outcome</w:t>
      </w:r>
      <w:r w:rsidR="0006629E" w:rsidRPr="00F819A2">
        <w:rPr>
          <w:rFonts w:ascii="Arial" w:eastAsiaTheme="minorHAnsi" w:hAnsi="Arial" w:cs="Arial"/>
          <w:sz w:val="22"/>
          <w:szCs w:val="22"/>
          <w:lang w:val="en-US" w:eastAsia="en-US"/>
        </w:rPr>
        <w:t xml:space="preserve"> is prevalent</w:t>
      </w:r>
      <w:r w:rsidR="005805A4" w:rsidRPr="00F819A2">
        <w:rPr>
          <w:rFonts w:ascii="Arial" w:eastAsiaTheme="minorHAnsi" w:hAnsi="Arial" w:cs="Arial"/>
          <w:sz w:val="22"/>
          <w:szCs w:val="22"/>
          <w:lang w:val="en-US" w:eastAsia="en-US"/>
        </w:rPr>
        <w:t>.</w:t>
      </w:r>
      <w:r w:rsidR="00673CB7" w:rsidRPr="00F819A2">
        <w:rPr>
          <w:rFonts w:ascii="Arial" w:eastAsiaTheme="minorHAnsi" w:hAnsi="Arial" w:cs="Arial"/>
          <w:sz w:val="22"/>
          <w:szCs w:val="22"/>
          <w:lang w:val="en-US" w:eastAsia="en-US"/>
        </w:rPr>
        <w:fldChar w:fldCharType="begin" w:fldLock="1"/>
      </w:r>
      <w:r w:rsidR="001B3D39" w:rsidRPr="00F819A2">
        <w:rPr>
          <w:rFonts w:ascii="Arial" w:eastAsiaTheme="minorHAnsi" w:hAnsi="Arial" w:cs="Arial"/>
          <w:sz w:val="22"/>
          <w:szCs w:val="22"/>
          <w:lang w:val="en-US" w:eastAsia="en-US"/>
        </w:rPr>
        <w:instrText>ADDIN CSL_CITATION {"citationItems":[{"id":"ITEM-1","itemData":{"DOI":"10.1186/1471-2288-8-9","ISSN":"14712288","PMID":"18307814","abstract":"Background. It is usually preferable to model and estimate prevalence ratios instead of odds ratios in cross-sectional studies when diseases or injuries are not rare. Problems with existing methods of modeling prevalence ratios include lack of convergence, overestimated standard errors, and extrapolation of simple univariate formulas to multivariable models. We compare two of the newer methods using simulated data and real data from SAS online examples. Methods. The Robust Poisson method, which uses the Poisson distribution and a sandwich variance estimator, is compared to the log-binomial method, which uses the binomial distribution to obtain maximum likelihood estimates, using computer simulations and real data. Results. For very high prevalences and moderate sample size, the Robust Poisson method yields less biased estimates of the prevalence ratios than the log-binomial method. However, for moderate prevalences and moderate sample size, the log-binomial method yields slightly less biased estimates than the Robust Poisson method. In nearly all cases, the log-binomial method yielded slightly higher power and smaller standard errors than the Robust Poisson method. Conclusion. Although the Robust Poisson often gives reasonable estimates of the prevalence ratio and is very easy to use, the log-binomial method results in less bias in most common situations, and because it fits the correct model and obtains maximum likelihood estimates, it generally results in slightly higher power, smaller standard errors, and, unlike the Robust Poisson, it always yields estimated prevalences between zero and one. © 2008 Petersen and Deddens; licensee BioMed Central Ltd.","author":[{"dropping-particle":"","family":"Petersen","given":"Martin R.","non-dropping-particle":"","parse-names":false,"suffix":""},{"dropping-particle":"","family":"Deddens","given":"James A.","non-dropping-particle":"","parse-names":false,"suffix":""}],"container-title":"BMC Medical Research Methodology","id":"ITEM-1","issued":{"date-parts":[["2008"]]},"page":"1-9","title":"A comparison of two methods for estimating prevalence ratios","type":"article-journal","volume":"8"},"uris":["http://www.mendeley.com/documents/?uuid=f0eb4493-be6d-4e51-b4c5-2cbebdc83284","http://www.mendeley.com/documents/?uuid=57133baf-9ae7-481f-8e0a-b29a697a80b4"]}],"mendeley":{"formattedCitation":"&lt;sup&gt;28&lt;/sup&gt;","plainTextFormattedCitation":"28","previouslyFormattedCitation":"&lt;sup&gt;28&lt;/sup&gt;"},"properties":{"noteIndex":0},"schema":"https://github.com/citation-style-language/schema/raw/master/csl-citation.json"}</w:instrText>
      </w:r>
      <w:r w:rsidR="00673CB7" w:rsidRPr="00F819A2">
        <w:rPr>
          <w:rFonts w:ascii="Arial" w:eastAsiaTheme="minorHAnsi" w:hAnsi="Arial" w:cs="Arial"/>
          <w:sz w:val="22"/>
          <w:szCs w:val="22"/>
          <w:lang w:val="en-US" w:eastAsia="en-US"/>
        </w:rPr>
        <w:fldChar w:fldCharType="separate"/>
      </w:r>
      <w:r w:rsidR="00B6591D" w:rsidRPr="00F819A2">
        <w:rPr>
          <w:rFonts w:ascii="Arial" w:eastAsiaTheme="minorHAnsi" w:hAnsi="Arial" w:cs="Arial"/>
          <w:noProof/>
          <w:sz w:val="22"/>
          <w:szCs w:val="22"/>
          <w:vertAlign w:val="superscript"/>
          <w:lang w:val="en-US" w:eastAsia="en-US"/>
        </w:rPr>
        <w:t>28</w:t>
      </w:r>
      <w:r w:rsidR="00673CB7" w:rsidRPr="00F819A2">
        <w:rPr>
          <w:rFonts w:ascii="Arial" w:eastAsiaTheme="minorHAnsi" w:hAnsi="Arial" w:cs="Arial"/>
          <w:sz w:val="22"/>
          <w:szCs w:val="22"/>
          <w:lang w:val="en-US" w:eastAsia="en-US"/>
        </w:rPr>
        <w:fldChar w:fldCharType="end"/>
      </w:r>
      <w:r w:rsidR="00E1397C" w:rsidRPr="00F819A2">
        <w:rPr>
          <w:rFonts w:ascii="Arial" w:eastAsiaTheme="minorHAnsi" w:hAnsi="Arial" w:cs="Arial"/>
          <w:sz w:val="22"/>
          <w:szCs w:val="22"/>
          <w:lang w:val="en-US" w:eastAsia="en-US"/>
        </w:rPr>
        <w:t xml:space="preserve"> </w:t>
      </w:r>
      <w:r w:rsidR="0098348E" w:rsidRPr="00F819A2">
        <w:rPr>
          <w:rFonts w:ascii="Arial" w:hAnsi="Arial" w:cs="Arial"/>
          <w:sz w:val="22"/>
          <w:lang w:val="en-US"/>
        </w:rPr>
        <w:t>The generalized linear model was from the Poisson family using a logarithmic link function.</w:t>
      </w:r>
      <w:r w:rsidR="005805A4" w:rsidRPr="00F819A2">
        <w:rPr>
          <w:rFonts w:ascii="Arial" w:eastAsiaTheme="minorHAnsi" w:hAnsi="Arial" w:cs="Arial"/>
          <w:sz w:val="22"/>
          <w:szCs w:val="22"/>
          <w:lang w:val="en-US" w:eastAsia="en-US"/>
        </w:rPr>
        <w:fldChar w:fldCharType="begin" w:fldLock="1"/>
      </w:r>
      <w:r w:rsidR="001B3D39" w:rsidRPr="00F819A2">
        <w:rPr>
          <w:rFonts w:ascii="Arial" w:eastAsiaTheme="minorHAnsi" w:hAnsi="Arial" w:cs="Arial"/>
          <w:sz w:val="22"/>
          <w:szCs w:val="22"/>
          <w:lang w:val="en-US" w:eastAsia="en-US"/>
        </w:rPr>
        <w:instrText>ADDIN CSL_CITATION {"citationItems":[{"id":"ITEM-1","itemData":{"URL":"https://stats.idre.ucla.edu/stata/faq/how-can-i-estimate-relative-risk-using-glm-for-common-outcomes-in-cohort-studies/","author":[{"dropping-particle":"","family":"UCLA","given":"Institute for Digital Research and Education","non-dropping-particle":"","parse-names":false,"suffix":""}],"id":"ITEM-1","issued":{"date-parts":[["0"]]},"title":"HOW CAN I ESTIMATE RELATIVE RISK USING GLM FOR COMMON OUTCOMES IN COHORT STUDIES? | STATA FAQ","type":"webpage"},"uris":["http://www.mendeley.com/documents/?uuid=51f5e571-75b4-4e27-b384-1b13093c71dc"]}],"mendeley":{"formattedCitation":"&lt;sup&gt;29&lt;/sup&gt;","plainTextFormattedCitation":"29","previouslyFormattedCitation":"&lt;sup&gt;29&lt;/sup&gt;"},"properties":{"noteIndex":0},"schema":"https://github.com/citation-style-language/schema/raw/master/csl-citation.json"}</w:instrText>
      </w:r>
      <w:r w:rsidR="005805A4" w:rsidRPr="00F819A2">
        <w:rPr>
          <w:rFonts w:ascii="Arial" w:eastAsiaTheme="minorHAnsi" w:hAnsi="Arial" w:cs="Arial"/>
          <w:sz w:val="22"/>
          <w:szCs w:val="22"/>
          <w:lang w:val="en-US" w:eastAsia="en-US"/>
        </w:rPr>
        <w:fldChar w:fldCharType="separate"/>
      </w:r>
      <w:r w:rsidR="00B6591D" w:rsidRPr="00F819A2">
        <w:rPr>
          <w:rFonts w:ascii="Arial" w:eastAsiaTheme="minorHAnsi" w:hAnsi="Arial" w:cs="Arial"/>
          <w:noProof/>
          <w:sz w:val="22"/>
          <w:szCs w:val="22"/>
          <w:vertAlign w:val="superscript"/>
          <w:lang w:val="en-US" w:eastAsia="en-US"/>
        </w:rPr>
        <w:t>29</w:t>
      </w:r>
      <w:r w:rsidR="005805A4" w:rsidRPr="00F819A2">
        <w:rPr>
          <w:rFonts w:ascii="Arial" w:eastAsiaTheme="minorHAnsi" w:hAnsi="Arial" w:cs="Arial"/>
          <w:sz w:val="22"/>
          <w:szCs w:val="22"/>
          <w:lang w:val="en-US" w:eastAsia="en-US"/>
        </w:rPr>
        <w:fldChar w:fldCharType="end"/>
      </w:r>
      <w:r w:rsidR="004A70B9" w:rsidRPr="00F819A2">
        <w:rPr>
          <w:rFonts w:ascii="Arial" w:eastAsiaTheme="minorHAnsi" w:hAnsi="Arial" w:cs="Arial"/>
          <w:sz w:val="22"/>
          <w:szCs w:val="22"/>
          <w:lang w:val="en-US" w:eastAsia="en-US"/>
        </w:rPr>
        <w:t xml:space="preserve"> </w:t>
      </w:r>
      <w:r w:rsidR="0098348E" w:rsidRPr="00F819A2">
        <w:rPr>
          <w:rFonts w:ascii="Arial" w:eastAsiaTheme="minorHAnsi" w:hAnsi="Arial" w:cs="Arial"/>
          <w:sz w:val="22"/>
          <w:szCs w:val="22"/>
          <w:lang w:val="en-US" w:eastAsia="en-US"/>
        </w:rPr>
        <w:t>We treated motivation to reduce alcohol consumption as a binary variable: “yes” in one category and “don’t know” or “no” in the other.</w:t>
      </w:r>
      <w:r w:rsidR="009D5482" w:rsidRPr="00F819A2">
        <w:rPr>
          <w:rFonts w:ascii="Arial" w:eastAsiaTheme="minorHAnsi" w:hAnsi="Arial" w:cs="Arial"/>
          <w:sz w:val="22"/>
          <w:szCs w:val="22"/>
          <w:lang w:val="en-US" w:eastAsia="en-US"/>
        </w:rPr>
        <w:t xml:space="preserve"> We performed a </w:t>
      </w:r>
      <w:proofErr w:type="spellStart"/>
      <w:r w:rsidR="009D5482" w:rsidRPr="00F819A2">
        <w:rPr>
          <w:rFonts w:ascii="Arial" w:eastAsiaTheme="minorHAnsi" w:hAnsi="Arial" w:cs="Arial"/>
          <w:sz w:val="22"/>
          <w:szCs w:val="22"/>
          <w:lang w:val="en-US" w:eastAsia="en-US"/>
        </w:rPr>
        <w:t>univaria</w:t>
      </w:r>
      <w:r w:rsidR="00F819A2">
        <w:rPr>
          <w:rFonts w:ascii="Arial" w:eastAsiaTheme="minorHAnsi" w:hAnsi="Arial" w:cs="Arial"/>
          <w:sz w:val="22"/>
          <w:szCs w:val="22"/>
          <w:lang w:val="en-US" w:eastAsia="en-US"/>
        </w:rPr>
        <w:t>bl</w:t>
      </w:r>
      <w:r w:rsidR="009D5482" w:rsidRPr="00F819A2">
        <w:rPr>
          <w:rFonts w:ascii="Arial" w:eastAsiaTheme="minorHAnsi" w:hAnsi="Arial" w:cs="Arial"/>
          <w:sz w:val="22"/>
          <w:szCs w:val="22"/>
          <w:lang w:val="en-US" w:eastAsia="en-US"/>
        </w:rPr>
        <w:t>e</w:t>
      </w:r>
      <w:proofErr w:type="spellEnd"/>
      <w:r w:rsidR="009D5482" w:rsidRPr="00F819A2">
        <w:rPr>
          <w:rFonts w:ascii="Arial" w:eastAsiaTheme="minorHAnsi" w:hAnsi="Arial" w:cs="Arial"/>
          <w:sz w:val="22"/>
          <w:szCs w:val="22"/>
          <w:lang w:val="en-US" w:eastAsia="en-US"/>
        </w:rPr>
        <w:t xml:space="preserve"> analysis for all the assessed characteristics and a multivariable analysis in which all variables were </w:t>
      </w:r>
      <w:r w:rsidR="007A0F39">
        <w:rPr>
          <w:rFonts w:ascii="Arial" w:eastAsiaTheme="minorHAnsi" w:hAnsi="Arial" w:cs="Arial"/>
          <w:sz w:val="22"/>
          <w:szCs w:val="22"/>
          <w:lang w:val="en-US" w:eastAsia="en-US"/>
        </w:rPr>
        <w:t>included simultaneously</w:t>
      </w:r>
      <w:r w:rsidR="00F819A2">
        <w:rPr>
          <w:rFonts w:ascii="Arial" w:eastAsiaTheme="minorHAnsi" w:hAnsi="Arial" w:cs="Arial"/>
          <w:sz w:val="22"/>
          <w:szCs w:val="22"/>
          <w:lang w:val="en-US" w:eastAsia="en-US"/>
        </w:rPr>
        <w:t>.</w:t>
      </w:r>
    </w:p>
    <w:p w14:paraId="5CA58456" w14:textId="2E764DDC" w:rsidR="00EE3369" w:rsidRPr="001125A7" w:rsidRDefault="00D67491" w:rsidP="00F16271">
      <w:pPr>
        <w:pStyle w:val="Overskrift3"/>
        <w:tabs>
          <w:tab w:val="left" w:pos="7753"/>
        </w:tabs>
        <w:spacing w:line="480" w:lineRule="auto"/>
      </w:pPr>
      <w:r>
        <w:t>E</w:t>
      </w:r>
      <w:r w:rsidR="00517929">
        <w:t xml:space="preserve">ngagement in </w:t>
      </w:r>
      <w:r w:rsidR="00EE3369" w:rsidRPr="001125A7">
        <w:t>alcohol</w:t>
      </w:r>
      <w:r w:rsidR="0091704D" w:rsidRPr="001125A7">
        <w:t xml:space="preserve"> </w:t>
      </w:r>
      <w:r w:rsidR="00831552">
        <w:t xml:space="preserve">misuse </w:t>
      </w:r>
      <w:r w:rsidR="00EE3369" w:rsidRPr="001125A7">
        <w:t>treatment</w:t>
      </w:r>
      <w:r w:rsidR="00895FFC">
        <w:tab/>
      </w:r>
    </w:p>
    <w:p w14:paraId="089D44D6" w14:textId="4F2D6D2C" w:rsidR="00B4687E" w:rsidRDefault="00855413" w:rsidP="00130D32">
      <w:pPr>
        <w:spacing w:line="480" w:lineRule="auto"/>
        <w:rPr>
          <w:rFonts w:ascii="Arial" w:hAnsi="Arial" w:cs="Arial"/>
          <w:vertAlign w:val="superscript"/>
          <w:lang w:val="en-US"/>
        </w:rPr>
      </w:pPr>
      <w:r>
        <w:rPr>
          <w:rFonts w:ascii="Arial" w:hAnsi="Arial" w:cs="Arial"/>
          <w:lang w:val="en-US"/>
        </w:rPr>
        <w:t xml:space="preserve">      </w:t>
      </w:r>
      <w:r w:rsidR="001934E8">
        <w:rPr>
          <w:rFonts w:ascii="Arial" w:hAnsi="Arial" w:cs="Arial"/>
          <w:lang w:val="en-US"/>
        </w:rPr>
        <w:t xml:space="preserve">The following analyses </w:t>
      </w:r>
      <w:r w:rsidR="00003AA6">
        <w:rPr>
          <w:rFonts w:ascii="Arial" w:hAnsi="Arial" w:cs="Arial"/>
          <w:lang w:val="en-US"/>
        </w:rPr>
        <w:t xml:space="preserve">were </w:t>
      </w:r>
      <w:r w:rsidR="001934E8">
        <w:rPr>
          <w:rFonts w:ascii="Arial" w:hAnsi="Arial" w:cs="Arial"/>
          <w:lang w:val="en-US"/>
        </w:rPr>
        <w:t>restricted to ALD patients</w:t>
      </w:r>
      <w:r w:rsidR="00BE0836">
        <w:rPr>
          <w:rFonts w:ascii="Arial" w:hAnsi="Arial" w:cs="Arial"/>
          <w:lang w:val="en-US"/>
        </w:rPr>
        <w:t xml:space="preserve"> reporting </w:t>
      </w:r>
      <w:r w:rsidR="006B79B6">
        <w:rPr>
          <w:rFonts w:ascii="Arial" w:hAnsi="Arial" w:cs="Arial"/>
          <w:lang w:val="en-US"/>
        </w:rPr>
        <w:t>active</w:t>
      </w:r>
      <w:r w:rsidR="001934E8">
        <w:rPr>
          <w:rFonts w:ascii="Arial" w:hAnsi="Arial" w:cs="Arial"/>
          <w:lang w:val="en-US"/>
        </w:rPr>
        <w:t xml:space="preserve"> alcohol consumption (n=436). </w:t>
      </w:r>
      <w:r w:rsidR="00EE3369">
        <w:rPr>
          <w:rFonts w:ascii="Arial" w:hAnsi="Arial" w:cs="Arial"/>
          <w:lang w:val="en-US"/>
        </w:rPr>
        <w:t xml:space="preserve">We used </w:t>
      </w:r>
      <w:r w:rsidR="00144515">
        <w:rPr>
          <w:rFonts w:ascii="Arial" w:hAnsi="Arial" w:cs="Arial"/>
          <w:lang w:val="en-US"/>
        </w:rPr>
        <w:t xml:space="preserve">the cumulative incidence function to obtain </w:t>
      </w:r>
      <w:r w:rsidR="00673CB7">
        <w:rPr>
          <w:rFonts w:ascii="Arial" w:hAnsi="Arial" w:cs="Arial"/>
          <w:lang w:val="en-US"/>
        </w:rPr>
        <w:t xml:space="preserve">the </w:t>
      </w:r>
      <w:r w:rsidR="00956FF7">
        <w:rPr>
          <w:rFonts w:ascii="Arial" w:hAnsi="Arial" w:cs="Arial"/>
          <w:lang w:val="en-US"/>
        </w:rPr>
        <w:t xml:space="preserve">2-year probability of </w:t>
      </w:r>
      <w:r w:rsidR="00673CB7">
        <w:rPr>
          <w:rFonts w:ascii="Arial" w:hAnsi="Arial" w:cs="Arial"/>
          <w:lang w:val="en-US"/>
        </w:rPr>
        <w:t>engag</w:t>
      </w:r>
      <w:r w:rsidR="00956FF7">
        <w:rPr>
          <w:rFonts w:ascii="Arial" w:hAnsi="Arial" w:cs="Arial"/>
          <w:lang w:val="en-US"/>
        </w:rPr>
        <w:t>ing</w:t>
      </w:r>
      <w:r w:rsidR="00673CB7">
        <w:rPr>
          <w:rFonts w:ascii="Arial" w:hAnsi="Arial" w:cs="Arial"/>
          <w:lang w:val="en-US"/>
        </w:rPr>
        <w:t xml:space="preserve"> </w:t>
      </w:r>
      <w:r w:rsidR="0037751E">
        <w:rPr>
          <w:rFonts w:ascii="Arial" w:hAnsi="Arial" w:cs="Arial"/>
          <w:lang w:val="en-US"/>
        </w:rPr>
        <w:t>in</w:t>
      </w:r>
      <w:r w:rsidR="00EE3369">
        <w:rPr>
          <w:rFonts w:ascii="Arial" w:hAnsi="Arial" w:cs="Arial"/>
          <w:lang w:val="en-US"/>
        </w:rPr>
        <w:t xml:space="preserve"> alcohol </w:t>
      </w:r>
      <w:r w:rsidR="00831552">
        <w:rPr>
          <w:rFonts w:ascii="Arial" w:hAnsi="Arial" w:cs="Arial"/>
          <w:lang w:val="en-US"/>
        </w:rPr>
        <w:t xml:space="preserve">misuse </w:t>
      </w:r>
      <w:r w:rsidR="00EE3369">
        <w:rPr>
          <w:rFonts w:ascii="Arial" w:hAnsi="Arial" w:cs="Arial"/>
          <w:lang w:val="en-US"/>
        </w:rPr>
        <w:t>treatment</w:t>
      </w:r>
      <w:r w:rsidR="00517929">
        <w:rPr>
          <w:rFonts w:ascii="Arial" w:hAnsi="Arial" w:cs="Arial"/>
          <w:lang w:val="en-US"/>
        </w:rPr>
        <w:t xml:space="preserve"> </w:t>
      </w:r>
      <w:r w:rsidR="0091704D">
        <w:rPr>
          <w:rFonts w:ascii="Arial" w:hAnsi="Arial" w:cs="Arial"/>
          <w:lang w:val="en-US"/>
        </w:rPr>
        <w:t xml:space="preserve">after </w:t>
      </w:r>
      <w:r w:rsidR="00673CB7">
        <w:rPr>
          <w:rFonts w:ascii="Arial" w:hAnsi="Arial" w:cs="Arial"/>
          <w:lang w:val="en-US"/>
        </w:rPr>
        <w:t>participation in</w:t>
      </w:r>
      <w:r w:rsidR="0091704D">
        <w:rPr>
          <w:rFonts w:ascii="Arial" w:hAnsi="Arial" w:cs="Arial"/>
          <w:lang w:val="en-US"/>
        </w:rPr>
        <w:t xml:space="preserve"> DHNS</w:t>
      </w:r>
      <w:r w:rsidR="00D67491">
        <w:rPr>
          <w:rFonts w:ascii="Arial" w:hAnsi="Arial" w:cs="Arial"/>
          <w:lang w:val="en-US"/>
        </w:rPr>
        <w:t>.</w:t>
      </w:r>
      <w:r w:rsidR="00F819A2" w:rsidRPr="001934E8">
        <w:rPr>
          <w:rFonts w:ascii="Arial" w:hAnsi="Arial" w:cs="Arial"/>
          <w:lang w:val="en-US"/>
        </w:rPr>
        <w:t xml:space="preserve"> </w:t>
      </w:r>
      <w:r w:rsidR="0098348E" w:rsidRPr="001934E8">
        <w:rPr>
          <w:rFonts w:ascii="Arial" w:hAnsi="Arial" w:cs="Arial"/>
          <w:lang w:val="en-US"/>
        </w:rPr>
        <w:t>This analysis takes account of the competing risk of death before engaging in alcohol misuse treatment.</w:t>
      </w:r>
      <w:r w:rsidR="0098348E" w:rsidRPr="001934E8">
        <w:rPr>
          <w:rFonts w:ascii="Arial" w:hAnsi="Arial" w:cs="Arial"/>
          <w:vertAlign w:val="superscript"/>
          <w:lang w:val="en-US"/>
        </w:rPr>
        <w:t xml:space="preserve"> </w:t>
      </w:r>
    </w:p>
    <w:p w14:paraId="4D008516" w14:textId="77777777" w:rsidR="00F819A2" w:rsidRDefault="00F819A2" w:rsidP="00130D32">
      <w:pPr>
        <w:spacing w:line="480" w:lineRule="auto"/>
        <w:rPr>
          <w:rFonts w:ascii="Arial" w:hAnsi="Arial" w:cs="Arial"/>
          <w:lang w:val="en-US"/>
        </w:rPr>
      </w:pPr>
    </w:p>
    <w:p w14:paraId="20831D86" w14:textId="0C02E27F" w:rsidR="00A86CF4" w:rsidRPr="00F16271" w:rsidRDefault="005931F7" w:rsidP="007A0F39">
      <w:pPr>
        <w:pStyle w:val="Overskrift1"/>
        <w:keepNext/>
        <w:rPr>
          <w:lang w:val="da-DK"/>
        </w:rPr>
      </w:pPr>
      <w:r w:rsidRPr="00F16271">
        <w:rPr>
          <w:lang w:val="da-DK"/>
        </w:rPr>
        <w:lastRenderedPageBreak/>
        <w:t>References</w:t>
      </w:r>
    </w:p>
    <w:p w14:paraId="7AC89D42" w14:textId="3BC5CF89" w:rsidR="00D978E9" w:rsidRPr="00D978E9" w:rsidRDefault="00D24748" w:rsidP="00D978E9">
      <w:pPr>
        <w:widowControl w:val="0"/>
        <w:autoSpaceDE w:val="0"/>
        <w:autoSpaceDN w:val="0"/>
        <w:adjustRightInd w:val="0"/>
        <w:spacing w:line="480" w:lineRule="auto"/>
        <w:ind w:left="640" w:hanging="640"/>
        <w:rPr>
          <w:rFonts w:ascii="Arial" w:hAnsi="Arial" w:cs="Arial"/>
          <w:noProof/>
          <w:szCs w:val="24"/>
        </w:rPr>
      </w:pPr>
      <w:r w:rsidRPr="00D346B0">
        <w:rPr>
          <w:rFonts w:ascii="Arial" w:hAnsi="Arial" w:cs="Arial"/>
          <w:b/>
          <w:lang w:val="en-US"/>
        </w:rPr>
        <w:fldChar w:fldCharType="begin" w:fldLock="1"/>
      </w:r>
      <w:r w:rsidRPr="00F16271">
        <w:rPr>
          <w:rFonts w:ascii="Arial" w:hAnsi="Arial" w:cs="Arial"/>
          <w:b/>
        </w:rPr>
        <w:instrText xml:space="preserve">ADDIN Mendeley Bibliography CSL_BIBLIOGRAPHY </w:instrText>
      </w:r>
      <w:r w:rsidRPr="00D346B0">
        <w:rPr>
          <w:rFonts w:ascii="Arial" w:hAnsi="Arial" w:cs="Arial"/>
          <w:b/>
          <w:lang w:val="en-US"/>
        </w:rPr>
        <w:fldChar w:fldCharType="separate"/>
      </w:r>
      <w:r w:rsidR="00D978E9" w:rsidRPr="00D978E9">
        <w:rPr>
          <w:rFonts w:ascii="Arial" w:hAnsi="Arial" w:cs="Arial"/>
          <w:noProof/>
          <w:szCs w:val="24"/>
        </w:rPr>
        <w:t xml:space="preserve">1. </w:t>
      </w:r>
      <w:r w:rsidR="00D978E9" w:rsidRPr="00D978E9">
        <w:rPr>
          <w:rFonts w:ascii="Arial" w:hAnsi="Arial" w:cs="Arial"/>
          <w:noProof/>
          <w:szCs w:val="24"/>
        </w:rPr>
        <w:tab/>
        <w:t>Christensen AI, Lau CJ, Kristensen PL, et al. The Danish National Health Survey : Study design , response rate and respondent characteristics in 2010 , 2013 and 2017. 2020;(July):1-9. doi:10.1177/1403494820966534</w:t>
      </w:r>
    </w:p>
    <w:p w14:paraId="7D45E41C"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 </w:t>
      </w:r>
      <w:r w:rsidRPr="00D978E9">
        <w:rPr>
          <w:rFonts w:ascii="Arial" w:hAnsi="Arial" w:cs="Arial"/>
          <w:noProof/>
          <w:szCs w:val="24"/>
        </w:rPr>
        <w:tab/>
        <w:t xml:space="preserve">Schmidt M, Schmidt SAJ, Sandegaard JL, Ehrenstein V, Pedersen L, Sørensen HT. The Danish National Patient Registry: A review of content, data quality, and research potential. </w:t>
      </w:r>
      <w:r w:rsidRPr="00D978E9">
        <w:rPr>
          <w:rFonts w:ascii="Arial" w:hAnsi="Arial" w:cs="Arial"/>
          <w:i/>
          <w:iCs/>
          <w:noProof/>
          <w:szCs w:val="24"/>
        </w:rPr>
        <w:t>Clin Epidemiol</w:t>
      </w:r>
      <w:r w:rsidRPr="00D978E9">
        <w:rPr>
          <w:rFonts w:ascii="Arial" w:hAnsi="Arial" w:cs="Arial"/>
          <w:noProof/>
          <w:szCs w:val="24"/>
        </w:rPr>
        <w:t>. 2015;7:449-490. doi:10.2147/CLEP.S91125</w:t>
      </w:r>
    </w:p>
    <w:p w14:paraId="7D4CFF2D"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3. </w:t>
      </w:r>
      <w:r w:rsidRPr="00D978E9">
        <w:rPr>
          <w:rFonts w:ascii="Arial" w:hAnsi="Arial" w:cs="Arial"/>
          <w:noProof/>
          <w:szCs w:val="24"/>
        </w:rPr>
        <w:tab/>
        <w:t xml:space="preserve">Dhalla S, Kopec JA. The CAGE questionnaire for alcohol misuse: A review of reliability and validity studies. </w:t>
      </w:r>
      <w:r w:rsidRPr="00D978E9">
        <w:rPr>
          <w:rFonts w:ascii="Arial" w:hAnsi="Arial" w:cs="Arial"/>
          <w:i/>
          <w:iCs/>
          <w:noProof/>
          <w:szCs w:val="24"/>
        </w:rPr>
        <w:t>Clin Investig Med</w:t>
      </w:r>
      <w:r w:rsidRPr="00D978E9">
        <w:rPr>
          <w:rFonts w:ascii="Arial" w:hAnsi="Arial" w:cs="Arial"/>
          <w:noProof/>
          <w:szCs w:val="24"/>
        </w:rPr>
        <w:t>. 2007;30(1):33-41. doi:10.25011/cim.v30i1.447</w:t>
      </w:r>
    </w:p>
    <w:p w14:paraId="0DE66F0A"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4. </w:t>
      </w:r>
      <w:r w:rsidRPr="00D978E9">
        <w:rPr>
          <w:rFonts w:ascii="Arial" w:hAnsi="Arial" w:cs="Arial"/>
          <w:noProof/>
          <w:szCs w:val="24"/>
        </w:rPr>
        <w:tab/>
        <w:t xml:space="preserve">WARE, JOHN; KOSINSKI, MARK; KELLER, SUSAN. A 12-Item Short-Form Health Survey: Construction of Scales and Preliminary Tests of Reliability and Validity. </w:t>
      </w:r>
      <w:r w:rsidRPr="00D978E9">
        <w:rPr>
          <w:rFonts w:ascii="Arial" w:hAnsi="Arial" w:cs="Arial"/>
          <w:i/>
          <w:iCs/>
          <w:noProof/>
          <w:szCs w:val="24"/>
        </w:rPr>
        <w:t>Med Care</w:t>
      </w:r>
      <w:r w:rsidRPr="00D978E9">
        <w:rPr>
          <w:rFonts w:ascii="Arial" w:hAnsi="Arial" w:cs="Arial"/>
          <w:noProof/>
          <w:szCs w:val="24"/>
        </w:rPr>
        <w:t>. 1996;34(3):220-233. https://journals.lww.com/lww-medicalcare/Fulltext/1996/03000/A_12_Item_Short_Form_Health_Survey__Construction.3.aspx.</w:t>
      </w:r>
    </w:p>
    <w:p w14:paraId="5C3E98B0"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5. </w:t>
      </w:r>
      <w:r w:rsidRPr="00D978E9">
        <w:rPr>
          <w:rFonts w:ascii="Arial" w:hAnsi="Arial" w:cs="Arial"/>
          <w:noProof/>
          <w:szCs w:val="24"/>
        </w:rPr>
        <w:tab/>
        <w:t xml:space="preserve">Jensen VM, Rasmussen AW. Danish education registers. </w:t>
      </w:r>
      <w:r w:rsidRPr="00D978E9">
        <w:rPr>
          <w:rFonts w:ascii="Arial" w:hAnsi="Arial" w:cs="Arial"/>
          <w:i/>
          <w:iCs/>
          <w:noProof/>
          <w:szCs w:val="24"/>
        </w:rPr>
        <w:t>Scand J Public Health</w:t>
      </w:r>
      <w:r w:rsidRPr="00D978E9">
        <w:rPr>
          <w:rFonts w:ascii="Arial" w:hAnsi="Arial" w:cs="Arial"/>
          <w:noProof/>
          <w:szCs w:val="24"/>
        </w:rPr>
        <w:t>. 2011;39(7):91-94. doi:10.1177/1403494810394715</w:t>
      </w:r>
    </w:p>
    <w:p w14:paraId="687491C5"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6. </w:t>
      </w:r>
      <w:r w:rsidRPr="00D978E9">
        <w:rPr>
          <w:rFonts w:ascii="Arial" w:hAnsi="Arial" w:cs="Arial"/>
          <w:noProof/>
          <w:szCs w:val="24"/>
        </w:rPr>
        <w:tab/>
        <w:t xml:space="preserve">Petersson F, Baadsgaard M, Thygesen LC. Danish registers on personal labour market affiliation. </w:t>
      </w:r>
      <w:r w:rsidRPr="00D978E9">
        <w:rPr>
          <w:rFonts w:ascii="Arial" w:hAnsi="Arial" w:cs="Arial"/>
          <w:i/>
          <w:iCs/>
          <w:noProof/>
          <w:szCs w:val="24"/>
        </w:rPr>
        <w:t>Scand J Public Health</w:t>
      </w:r>
      <w:r w:rsidRPr="00D978E9">
        <w:rPr>
          <w:rFonts w:ascii="Arial" w:hAnsi="Arial" w:cs="Arial"/>
          <w:noProof/>
          <w:szCs w:val="24"/>
        </w:rPr>
        <w:t>. 2011;39(7):95-98. doi:10.1177/1403494811408483</w:t>
      </w:r>
    </w:p>
    <w:p w14:paraId="5B0919BE"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7. </w:t>
      </w:r>
      <w:r w:rsidRPr="00D978E9">
        <w:rPr>
          <w:rFonts w:ascii="Arial" w:hAnsi="Arial" w:cs="Arial"/>
          <w:noProof/>
          <w:szCs w:val="24"/>
        </w:rPr>
        <w:tab/>
        <w:t xml:space="preserve">Kraglund F, Deleuran T, Askgaard G, Fleming KM, Jepsen P. Decreasing incidence of alcohol-related liver disease in Denmark: A 25-year nationwide study. </w:t>
      </w:r>
      <w:r w:rsidRPr="00D978E9">
        <w:rPr>
          <w:rFonts w:ascii="Arial" w:hAnsi="Arial" w:cs="Arial"/>
          <w:i/>
          <w:iCs/>
          <w:noProof/>
          <w:szCs w:val="24"/>
        </w:rPr>
        <w:t>Clin Epidemiol</w:t>
      </w:r>
      <w:r w:rsidRPr="00D978E9">
        <w:rPr>
          <w:rFonts w:ascii="Arial" w:hAnsi="Arial" w:cs="Arial"/>
          <w:noProof/>
          <w:szCs w:val="24"/>
        </w:rPr>
        <w:t>. 2021;13:1-11. doi:10.2147/CLEP.S287870</w:t>
      </w:r>
    </w:p>
    <w:p w14:paraId="072D6C70"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8. </w:t>
      </w:r>
      <w:r w:rsidRPr="00D978E9">
        <w:rPr>
          <w:rFonts w:ascii="Arial" w:hAnsi="Arial" w:cs="Arial"/>
          <w:noProof/>
          <w:szCs w:val="24"/>
        </w:rPr>
        <w:tab/>
        <w:t xml:space="preserve">Vestberg K, Thulstrup AM, Sørensen HT, Ottesen P, Sabroe S, Vilstrup H. Data quality of administratively collected hospital discharge data for liver cirrhosis epidemiology. </w:t>
      </w:r>
      <w:r w:rsidRPr="00D978E9">
        <w:rPr>
          <w:rFonts w:ascii="Arial" w:hAnsi="Arial" w:cs="Arial"/>
          <w:i/>
          <w:iCs/>
          <w:noProof/>
          <w:szCs w:val="24"/>
        </w:rPr>
        <w:t>J Med Syst</w:t>
      </w:r>
      <w:r w:rsidRPr="00D978E9">
        <w:rPr>
          <w:rFonts w:ascii="Arial" w:hAnsi="Arial" w:cs="Arial"/>
          <w:noProof/>
          <w:szCs w:val="24"/>
        </w:rPr>
        <w:t>. 1997;21(1):11-20. doi:10.1023/A:1022835207287</w:t>
      </w:r>
    </w:p>
    <w:p w14:paraId="74A5B311"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9. </w:t>
      </w:r>
      <w:r w:rsidRPr="00D978E9">
        <w:rPr>
          <w:rFonts w:ascii="Arial" w:hAnsi="Arial" w:cs="Arial"/>
          <w:noProof/>
          <w:szCs w:val="24"/>
        </w:rPr>
        <w:tab/>
        <w:t xml:space="preserve">Thygesen SK, Christiansen CF, Lash TL, Christensen S, Sørensen HT. Predictive value of coding of diagnoses in the charlson comorbidity index in the Danish national registry of patients. </w:t>
      </w:r>
      <w:r w:rsidRPr="00D978E9">
        <w:rPr>
          <w:rFonts w:ascii="Arial" w:hAnsi="Arial" w:cs="Arial"/>
          <w:i/>
          <w:iCs/>
          <w:noProof/>
          <w:szCs w:val="24"/>
        </w:rPr>
        <w:t>BMC Med Res Methodol</w:t>
      </w:r>
      <w:r w:rsidRPr="00D978E9">
        <w:rPr>
          <w:rFonts w:ascii="Arial" w:hAnsi="Arial" w:cs="Arial"/>
          <w:noProof/>
          <w:szCs w:val="24"/>
        </w:rPr>
        <w:t>. 2011;11(83):2-7.</w:t>
      </w:r>
    </w:p>
    <w:p w14:paraId="13D37DBA"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10. </w:t>
      </w:r>
      <w:r w:rsidRPr="00D978E9">
        <w:rPr>
          <w:rFonts w:ascii="Arial" w:hAnsi="Arial" w:cs="Arial"/>
          <w:noProof/>
          <w:szCs w:val="24"/>
        </w:rPr>
        <w:tab/>
        <w:t xml:space="preserve">Fialla AD, Schaffalitzky de Muckadell OB, Lassen AT. Incidence, etiology and mortality of cirrhosis: a population-based cohort study. </w:t>
      </w:r>
      <w:r w:rsidRPr="00D978E9">
        <w:rPr>
          <w:rFonts w:ascii="Arial" w:hAnsi="Arial" w:cs="Arial"/>
          <w:i/>
          <w:iCs/>
          <w:noProof/>
          <w:szCs w:val="24"/>
        </w:rPr>
        <w:t>Scand J Gastroenterol Vol 47, 2012 - Issue 6</w:t>
      </w:r>
      <w:r w:rsidRPr="00D978E9">
        <w:rPr>
          <w:rFonts w:ascii="Arial" w:hAnsi="Arial" w:cs="Arial"/>
          <w:noProof/>
          <w:szCs w:val="24"/>
        </w:rPr>
        <w:t>.</w:t>
      </w:r>
    </w:p>
    <w:p w14:paraId="338B0770"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11. </w:t>
      </w:r>
      <w:r w:rsidRPr="00D978E9">
        <w:rPr>
          <w:rFonts w:ascii="Arial" w:hAnsi="Arial" w:cs="Arial"/>
          <w:noProof/>
          <w:szCs w:val="24"/>
        </w:rPr>
        <w:tab/>
        <w:t xml:space="preserve">Christensen AI, Ekholm O, Juel K, et al. The Danish National Health Survey 2010. Study design and respondent characteristics. </w:t>
      </w:r>
      <w:r w:rsidRPr="00D978E9">
        <w:rPr>
          <w:rFonts w:ascii="Arial" w:hAnsi="Arial" w:cs="Arial"/>
          <w:i/>
          <w:iCs/>
          <w:noProof/>
          <w:szCs w:val="24"/>
        </w:rPr>
        <w:t>Scand J Public Health</w:t>
      </w:r>
      <w:r w:rsidRPr="00D978E9">
        <w:rPr>
          <w:rFonts w:ascii="Arial" w:hAnsi="Arial" w:cs="Arial"/>
          <w:noProof/>
          <w:szCs w:val="24"/>
        </w:rPr>
        <w:t>. 2012;40(4):391-397. doi:10.1177/1403494812451412</w:t>
      </w:r>
    </w:p>
    <w:p w14:paraId="77A9165F"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12. </w:t>
      </w:r>
      <w:r w:rsidRPr="00D978E9">
        <w:rPr>
          <w:rFonts w:ascii="Arial" w:hAnsi="Arial" w:cs="Arial"/>
          <w:noProof/>
          <w:szCs w:val="24"/>
        </w:rPr>
        <w:tab/>
        <w:t xml:space="preserve">Maisto SA, Krenek M, Chung T, Martin CS, Clark D CJA. A Comparison of the Concurrent and Predictive Validity of Three Measures of Readiness to Change Alcohol Use in a Clinical Sample of Adolescents. </w:t>
      </w:r>
      <w:r w:rsidRPr="00D978E9">
        <w:rPr>
          <w:rFonts w:ascii="Arial" w:hAnsi="Arial" w:cs="Arial"/>
          <w:i/>
          <w:iCs/>
          <w:noProof/>
          <w:szCs w:val="24"/>
        </w:rPr>
        <w:t>Psychol Assess</w:t>
      </w:r>
      <w:r w:rsidRPr="00D978E9">
        <w:rPr>
          <w:rFonts w:ascii="Arial" w:hAnsi="Arial" w:cs="Arial"/>
          <w:noProof/>
          <w:szCs w:val="24"/>
        </w:rPr>
        <w:t>. 2011. https://pubmed.ncbi.nlm.nih.gov/21767028/.</w:t>
      </w:r>
    </w:p>
    <w:p w14:paraId="2CCC2DAE"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13. </w:t>
      </w:r>
      <w:r w:rsidRPr="00D978E9">
        <w:rPr>
          <w:rFonts w:ascii="Arial" w:hAnsi="Arial" w:cs="Arial"/>
          <w:noProof/>
          <w:szCs w:val="24"/>
        </w:rPr>
        <w:tab/>
        <w:t xml:space="preserve">Budd RJ, Rollnick S. The structure of the Readiness to Change Questionnaire: A test of Prochaska &amp; DiClemente’s transtheoretical model. </w:t>
      </w:r>
      <w:r w:rsidRPr="00D978E9">
        <w:rPr>
          <w:rFonts w:ascii="Arial" w:hAnsi="Arial" w:cs="Arial"/>
          <w:i/>
          <w:iCs/>
          <w:noProof/>
          <w:szCs w:val="24"/>
        </w:rPr>
        <w:t>Br J Health Psychol</w:t>
      </w:r>
      <w:r w:rsidRPr="00D978E9">
        <w:rPr>
          <w:rFonts w:ascii="Arial" w:hAnsi="Arial" w:cs="Arial"/>
          <w:noProof/>
          <w:szCs w:val="24"/>
        </w:rPr>
        <w:t>. 1996;1(4):365-376. doi:10.1111/j.2044-8287.1996.tb00517.x</w:t>
      </w:r>
    </w:p>
    <w:p w14:paraId="300126BB"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14. </w:t>
      </w:r>
      <w:r w:rsidRPr="00D978E9">
        <w:rPr>
          <w:rFonts w:ascii="Arial" w:hAnsi="Arial" w:cs="Arial"/>
          <w:noProof/>
          <w:szCs w:val="24"/>
        </w:rPr>
        <w:tab/>
        <w:t xml:space="preserve">Bertholet N, Dukes K, Horton NJ, Palfai TP, Pedley A, Saitz R. Factor structure of the SOCRATES questionnaire in hospitalized medical patients. </w:t>
      </w:r>
      <w:r w:rsidRPr="00D978E9">
        <w:rPr>
          <w:rFonts w:ascii="Arial" w:hAnsi="Arial" w:cs="Arial"/>
          <w:i/>
          <w:iCs/>
          <w:noProof/>
          <w:szCs w:val="24"/>
        </w:rPr>
        <w:t>Addict Behav</w:t>
      </w:r>
      <w:r w:rsidRPr="00D978E9">
        <w:rPr>
          <w:rFonts w:ascii="Arial" w:hAnsi="Arial" w:cs="Arial"/>
          <w:noProof/>
          <w:szCs w:val="24"/>
        </w:rPr>
        <w:t>. 2009;34(6-7):568-572. doi:10.1016/j.addbeh.2009.03.013</w:t>
      </w:r>
    </w:p>
    <w:p w14:paraId="3737A874"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15. </w:t>
      </w:r>
      <w:r w:rsidRPr="00D978E9">
        <w:rPr>
          <w:rFonts w:ascii="Arial" w:hAnsi="Arial" w:cs="Arial"/>
          <w:noProof/>
          <w:szCs w:val="24"/>
        </w:rPr>
        <w:tab/>
        <w:t xml:space="preserve">Labrie JW, Quinlan T, Schiffman JE, Earleywine ME. Performance of alcohol and safer sex change rulers compared with readiness to change questionnaires. </w:t>
      </w:r>
      <w:r w:rsidRPr="00D978E9">
        <w:rPr>
          <w:rFonts w:ascii="Arial" w:hAnsi="Arial" w:cs="Arial"/>
          <w:i/>
          <w:iCs/>
          <w:noProof/>
          <w:szCs w:val="24"/>
        </w:rPr>
        <w:t>Psychol Addict Behav</w:t>
      </w:r>
      <w:r w:rsidRPr="00D978E9">
        <w:rPr>
          <w:rFonts w:ascii="Arial" w:hAnsi="Arial" w:cs="Arial"/>
          <w:noProof/>
          <w:szCs w:val="24"/>
        </w:rPr>
        <w:t>. 2005;19(1):112-115. doi:10.1037/0893-164X.19.1.112</w:t>
      </w:r>
    </w:p>
    <w:p w14:paraId="6D463FC8"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16. </w:t>
      </w:r>
      <w:r w:rsidRPr="00D978E9">
        <w:rPr>
          <w:rFonts w:ascii="Arial" w:hAnsi="Arial" w:cs="Arial"/>
          <w:noProof/>
          <w:szCs w:val="24"/>
        </w:rPr>
        <w:tab/>
        <w:t xml:space="preserve">Rollnick S, Heather N, Gold R, Hall W. Development of a short “readiness to change” questionnaire for use in brief, opportunistic interventions among excessive drinkers. </w:t>
      </w:r>
      <w:r w:rsidRPr="00D978E9">
        <w:rPr>
          <w:rFonts w:ascii="Arial" w:hAnsi="Arial" w:cs="Arial"/>
          <w:i/>
          <w:iCs/>
          <w:noProof/>
          <w:szCs w:val="24"/>
        </w:rPr>
        <w:t>Br J Addict</w:t>
      </w:r>
      <w:r w:rsidRPr="00D978E9">
        <w:rPr>
          <w:rFonts w:ascii="Arial" w:hAnsi="Arial" w:cs="Arial"/>
          <w:noProof/>
          <w:szCs w:val="24"/>
        </w:rPr>
        <w:t>.:743-754. doi:10.1111/j.1360-0443.1992.tb02720.x</w:t>
      </w:r>
    </w:p>
    <w:p w14:paraId="3B09CD19"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17. </w:t>
      </w:r>
      <w:r w:rsidRPr="00D978E9">
        <w:rPr>
          <w:rFonts w:ascii="Arial" w:hAnsi="Arial" w:cs="Arial"/>
          <w:noProof/>
          <w:szCs w:val="24"/>
        </w:rPr>
        <w:tab/>
        <w:t xml:space="preserve">Williams EC, Kivlahan DR, Saitz R, et al. Readiness to change in primary care patients who screened positive for alcohol misuse. </w:t>
      </w:r>
      <w:r w:rsidRPr="00D978E9">
        <w:rPr>
          <w:rFonts w:ascii="Arial" w:hAnsi="Arial" w:cs="Arial"/>
          <w:i/>
          <w:iCs/>
          <w:noProof/>
          <w:szCs w:val="24"/>
        </w:rPr>
        <w:t>Ann Fam Med</w:t>
      </w:r>
      <w:r w:rsidRPr="00D978E9">
        <w:rPr>
          <w:rFonts w:ascii="Arial" w:hAnsi="Arial" w:cs="Arial"/>
          <w:noProof/>
          <w:szCs w:val="24"/>
        </w:rPr>
        <w:t>. 2006;4(3):213-220. doi:10.1370/afm.542</w:t>
      </w:r>
    </w:p>
    <w:p w14:paraId="020E123A"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18. </w:t>
      </w:r>
      <w:r w:rsidRPr="00D978E9">
        <w:rPr>
          <w:rFonts w:ascii="Arial" w:hAnsi="Arial" w:cs="Arial"/>
          <w:noProof/>
          <w:szCs w:val="24"/>
        </w:rPr>
        <w:tab/>
        <w:t xml:space="preserve">Rumpf HJ, Hapke U, Meyer C, John U. Motivation to change drinking behavior: Comparison of alcohol-dependent individuals in a general hospital and a general population sample. </w:t>
      </w:r>
      <w:r w:rsidRPr="00D978E9">
        <w:rPr>
          <w:rFonts w:ascii="Arial" w:hAnsi="Arial" w:cs="Arial"/>
          <w:i/>
          <w:iCs/>
          <w:noProof/>
          <w:szCs w:val="24"/>
        </w:rPr>
        <w:t>Gen Hosp Psychiatry</w:t>
      </w:r>
      <w:r w:rsidRPr="00D978E9">
        <w:rPr>
          <w:rFonts w:ascii="Arial" w:hAnsi="Arial" w:cs="Arial"/>
          <w:noProof/>
          <w:szCs w:val="24"/>
        </w:rPr>
        <w:t>. 1999;21(5):348-353. doi:10.1016/S0163-8343(99)00032-8</w:t>
      </w:r>
    </w:p>
    <w:p w14:paraId="70DDDBE3"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19. </w:t>
      </w:r>
      <w:r w:rsidRPr="00D978E9">
        <w:rPr>
          <w:rFonts w:ascii="Arial" w:hAnsi="Arial" w:cs="Arial"/>
          <w:noProof/>
          <w:szCs w:val="24"/>
        </w:rPr>
        <w:tab/>
        <w:t xml:space="preserve">Krenek M, Maisto SA, Funderburk JS, Drayer R. Severity of alcohol problems and readiness to change alcohol use in primary care. </w:t>
      </w:r>
      <w:r w:rsidRPr="00D978E9">
        <w:rPr>
          <w:rFonts w:ascii="Arial" w:hAnsi="Arial" w:cs="Arial"/>
          <w:i/>
          <w:iCs/>
          <w:noProof/>
          <w:szCs w:val="24"/>
        </w:rPr>
        <w:t>Addict Behav</w:t>
      </w:r>
      <w:r w:rsidRPr="00D978E9">
        <w:rPr>
          <w:rFonts w:ascii="Arial" w:hAnsi="Arial" w:cs="Arial"/>
          <w:noProof/>
          <w:szCs w:val="24"/>
        </w:rPr>
        <w:t>. 2011;36(5):512-515. doi:10.1016/j.addbeh.2010.12.023</w:t>
      </w:r>
    </w:p>
    <w:p w14:paraId="0A4982BD"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20. </w:t>
      </w:r>
      <w:r w:rsidRPr="00D978E9">
        <w:rPr>
          <w:rFonts w:ascii="Arial" w:hAnsi="Arial" w:cs="Arial"/>
          <w:noProof/>
          <w:szCs w:val="24"/>
        </w:rPr>
        <w:tab/>
        <w:t xml:space="preserve">Chang C, Wang TJ, Chen MJ, Liang SY, Wu SF, Bai MJ. Factors influencing readiness to change in patients with alcoholic liver disease: A cross-sectional study. </w:t>
      </w:r>
      <w:r w:rsidRPr="00D978E9">
        <w:rPr>
          <w:rFonts w:ascii="Arial" w:hAnsi="Arial" w:cs="Arial"/>
          <w:i/>
          <w:iCs/>
          <w:noProof/>
          <w:szCs w:val="24"/>
        </w:rPr>
        <w:t>J Psychiatr Ment Health Nurs</w:t>
      </w:r>
      <w:r w:rsidRPr="00D978E9">
        <w:rPr>
          <w:rFonts w:ascii="Arial" w:hAnsi="Arial" w:cs="Arial"/>
          <w:noProof/>
          <w:szCs w:val="24"/>
        </w:rPr>
        <w:t>. 2020;(June):1-12. doi:10.1111/jpm.12677</w:t>
      </w:r>
    </w:p>
    <w:p w14:paraId="41294D06"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21. </w:t>
      </w:r>
      <w:r w:rsidRPr="00D978E9">
        <w:rPr>
          <w:rFonts w:ascii="Arial" w:hAnsi="Arial" w:cs="Arial"/>
          <w:noProof/>
          <w:szCs w:val="24"/>
        </w:rPr>
        <w:tab/>
        <w:t xml:space="preserve">Gandek B, Ware JE, Aaronson NK, et al. Cross-validation of item selection and scoring for the SF-12 Health Survey in nine countries: Results from the IQOLA Project. </w:t>
      </w:r>
      <w:r w:rsidRPr="00D978E9">
        <w:rPr>
          <w:rFonts w:ascii="Arial" w:hAnsi="Arial" w:cs="Arial"/>
          <w:i/>
          <w:iCs/>
          <w:noProof/>
          <w:szCs w:val="24"/>
        </w:rPr>
        <w:t>J Clin Epidemiol</w:t>
      </w:r>
      <w:r w:rsidRPr="00D978E9">
        <w:rPr>
          <w:rFonts w:ascii="Arial" w:hAnsi="Arial" w:cs="Arial"/>
          <w:noProof/>
          <w:szCs w:val="24"/>
        </w:rPr>
        <w:t>. 1998;51(11):1171-1178. doi:10.1016/S0895-4356(98)00109-7</w:t>
      </w:r>
    </w:p>
    <w:p w14:paraId="687CBA24"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22. </w:t>
      </w:r>
      <w:r w:rsidRPr="00D978E9">
        <w:rPr>
          <w:rFonts w:ascii="Arial" w:hAnsi="Arial" w:cs="Arial"/>
          <w:noProof/>
          <w:szCs w:val="24"/>
        </w:rPr>
        <w:tab/>
        <w:t xml:space="preserve">Funuyet-Salas J, Pérez-San-Gregorio MÁ, Martín-Rodríguez A, Romero-Gómez M. Psychological Biomarkers and Fibrosis: An Innovative Approach to Non-alcoholic Fatty Liver Disease. </w:t>
      </w:r>
      <w:r w:rsidRPr="00D978E9">
        <w:rPr>
          <w:rFonts w:ascii="Arial" w:hAnsi="Arial" w:cs="Arial"/>
          <w:i/>
          <w:iCs/>
          <w:noProof/>
          <w:szCs w:val="24"/>
        </w:rPr>
        <w:t>Front Med</w:t>
      </w:r>
      <w:r w:rsidRPr="00D978E9">
        <w:rPr>
          <w:rFonts w:ascii="Arial" w:hAnsi="Arial" w:cs="Arial"/>
          <w:noProof/>
          <w:szCs w:val="24"/>
        </w:rPr>
        <w:t>. 2020;7(October):1-17. doi:10.3389/fmed.2020.585425</w:t>
      </w:r>
    </w:p>
    <w:p w14:paraId="13FDE48D"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23. </w:t>
      </w:r>
      <w:r w:rsidRPr="00D978E9">
        <w:rPr>
          <w:rFonts w:ascii="Arial" w:hAnsi="Arial" w:cs="Arial"/>
          <w:noProof/>
          <w:szCs w:val="24"/>
        </w:rPr>
        <w:tab/>
        <w:t xml:space="preserve">Sundhedsstyrelsen. </w:t>
      </w:r>
      <w:r w:rsidRPr="00D978E9">
        <w:rPr>
          <w:rFonts w:ascii="Arial" w:hAnsi="Arial" w:cs="Arial"/>
          <w:i/>
          <w:iCs/>
          <w:noProof/>
          <w:szCs w:val="24"/>
        </w:rPr>
        <w:t>Danskernes Sundhed - Den Nationale Sundhedsprofil 2010</w:t>
      </w:r>
      <w:r w:rsidRPr="00D978E9">
        <w:rPr>
          <w:rFonts w:ascii="Arial" w:hAnsi="Arial" w:cs="Arial"/>
          <w:noProof/>
          <w:szCs w:val="24"/>
        </w:rPr>
        <w:t>.; 2010.</w:t>
      </w:r>
    </w:p>
    <w:p w14:paraId="0E35B72A"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24. </w:t>
      </w:r>
      <w:r w:rsidRPr="00D978E9">
        <w:rPr>
          <w:rFonts w:ascii="Arial" w:hAnsi="Arial" w:cs="Arial"/>
          <w:noProof/>
          <w:szCs w:val="24"/>
        </w:rPr>
        <w:tab/>
        <w:t xml:space="preserve">Schmidt M, Pedersen L, Sørensen HT. The Danish Civil Registration System as a tool in epidemiology. </w:t>
      </w:r>
      <w:r w:rsidRPr="00D978E9">
        <w:rPr>
          <w:rFonts w:ascii="Arial" w:hAnsi="Arial" w:cs="Arial"/>
          <w:i/>
          <w:iCs/>
          <w:noProof/>
          <w:szCs w:val="24"/>
        </w:rPr>
        <w:t>Eur J Epidemiol</w:t>
      </w:r>
      <w:r w:rsidRPr="00D978E9">
        <w:rPr>
          <w:rFonts w:ascii="Arial" w:hAnsi="Arial" w:cs="Arial"/>
          <w:noProof/>
          <w:szCs w:val="24"/>
        </w:rPr>
        <w:t>. 2014;29:541-549. doi:10.1007/s10654-014-9930-3</w:t>
      </w:r>
    </w:p>
    <w:p w14:paraId="3DC073BD"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25. </w:t>
      </w:r>
      <w:r w:rsidRPr="00D978E9">
        <w:rPr>
          <w:rFonts w:ascii="Arial" w:hAnsi="Arial" w:cs="Arial"/>
          <w:noProof/>
          <w:szCs w:val="24"/>
        </w:rPr>
        <w:tab/>
        <w:t xml:space="preserve">Erlangsen A, Fedyszyn I. Danish nationwide registers for public health and health-related research. </w:t>
      </w:r>
      <w:r w:rsidRPr="00D978E9">
        <w:rPr>
          <w:rFonts w:ascii="Arial" w:hAnsi="Arial" w:cs="Arial"/>
          <w:i/>
          <w:iCs/>
          <w:noProof/>
          <w:szCs w:val="24"/>
        </w:rPr>
        <w:t>Scand J Public Health</w:t>
      </w:r>
      <w:r w:rsidRPr="00D978E9">
        <w:rPr>
          <w:rFonts w:ascii="Arial" w:hAnsi="Arial" w:cs="Arial"/>
          <w:noProof/>
          <w:szCs w:val="24"/>
        </w:rPr>
        <w:t>. 2015. doi:10.1177/1403494815575193</w:t>
      </w:r>
    </w:p>
    <w:p w14:paraId="1B24FD51"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26. </w:t>
      </w:r>
      <w:r w:rsidRPr="00D978E9">
        <w:rPr>
          <w:rFonts w:ascii="Arial" w:hAnsi="Arial" w:cs="Arial"/>
          <w:noProof/>
          <w:szCs w:val="24"/>
        </w:rPr>
        <w:tab/>
        <w:t>Copenhagen Healthtech Cluster DHDA. The National Registry of Alcohol Treatment. https://www.danishhealthdata.com/find-health-data/Det-Nationale-Alkoholbehandlingsregister.</w:t>
      </w:r>
    </w:p>
    <w:p w14:paraId="7516D63A"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27. </w:t>
      </w:r>
      <w:r w:rsidRPr="00D978E9">
        <w:rPr>
          <w:rFonts w:ascii="Arial" w:hAnsi="Arial" w:cs="Arial"/>
          <w:noProof/>
          <w:szCs w:val="24"/>
        </w:rPr>
        <w:tab/>
        <w:t xml:space="preserve">Pottegård A, Schmidt SAJ, Wallach-Kildemoes H, Sørensen HT, Hallas J, Schmidt M. Data resource profile: The Danish national prescription registry. </w:t>
      </w:r>
      <w:r w:rsidRPr="00D978E9">
        <w:rPr>
          <w:rFonts w:ascii="Arial" w:hAnsi="Arial" w:cs="Arial"/>
          <w:i/>
          <w:iCs/>
          <w:noProof/>
          <w:szCs w:val="24"/>
        </w:rPr>
        <w:t>Int J Epidemiol</w:t>
      </w:r>
      <w:r w:rsidRPr="00D978E9">
        <w:rPr>
          <w:rFonts w:ascii="Arial" w:hAnsi="Arial" w:cs="Arial"/>
          <w:noProof/>
          <w:szCs w:val="24"/>
        </w:rPr>
        <w:t>. 2017;46(3):798. doi:10.1093/ije/dyw213</w:t>
      </w:r>
    </w:p>
    <w:p w14:paraId="08256C0E"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szCs w:val="24"/>
        </w:rPr>
      </w:pPr>
      <w:r w:rsidRPr="00D978E9">
        <w:rPr>
          <w:rFonts w:ascii="Arial" w:hAnsi="Arial" w:cs="Arial"/>
          <w:noProof/>
          <w:szCs w:val="24"/>
        </w:rPr>
        <w:t xml:space="preserve">28. </w:t>
      </w:r>
      <w:r w:rsidRPr="00D978E9">
        <w:rPr>
          <w:rFonts w:ascii="Arial" w:hAnsi="Arial" w:cs="Arial"/>
          <w:noProof/>
          <w:szCs w:val="24"/>
        </w:rPr>
        <w:tab/>
        <w:t xml:space="preserve">Petersen MR, Deddens JA. A comparison of two methods for estimating prevalence ratios. </w:t>
      </w:r>
      <w:r w:rsidRPr="00D978E9">
        <w:rPr>
          <w:rFonts w:ascii="Arial" w:hAnsi="Arial" w:cs="Arial"/>
          <w:i/>
          <w:iCs/>
          <w:noProof/>
          <w:szCs w:val="24"/>
        </w:rPr>
        <w:t>BMC Med Res Methodol</w:t>
      </w:r>
      <w:r w:rsidRPr="00D978E9">
        <w:rPr>
          <w:rFonts w:ascii="Arial" w:hAnsi="Arial" w:cs="Arial"/>
          <w:noProof/>
          <w:szCs w:val="24"/>
        </w:rPr>
        <w:t>. 2008;8:1-9. doi:10.1186/1471-2288-8-9</w:t>
      </w:r>
    </w:p>
    <w:p w14:paraId="1EAF07AA" w14:textId="77777777" w:rsidR="00D978E9" w:rsidRPr="00D978E9" w:rsidRDefault="00D978E9" w:rsidP="00D978E9">
      <w:pPr>
        <w:widowControl w:val="0"/>
        <w:autoSpaceDE w:val="0"/>
        <w:autoSpaceDN w:val="0"/>
        <w:adjustRightInd w:val="0"/>
        <w:spacing w:line="480" w:lineRule="auto"/>
        <w:ind w:left="640" w:hanging="640"/>
        <w:rPr>
          <w:rFonts w:ascii="Arial" w:hAnsi="Arial" w:cs="Arial"/>
          <w:noProof/>
        </w:rPr>
      </w:pPr>
      <w:r w:rsidRPr="00D978E9">
        <w:rPr>
          <w:rFonts w:ascii="Arial" w:hAnsi="Arial" w:cs="Arial"/>
          <w:noProof/>
          <w:szCs w:val="24"/>
        </w:rPr>
        <w:t xml:space="preserve">29. </w:t>
      </w:r>
      <w:r w:rsidRPr="00D978E9">
        <w:rPr>
          <w:rFonts w:ascii="Arial" w:hAnsi="Arial" w:cs="Arial"/>
          <w:noProof/>
          <w:szCs w:val="24"/>
        </w:rPr>
        <w:tab/>
        <w:t>UCLA I for DR and E. HOW CAN I ESTIMATE RELATIVE RISK USING GLM FOR COMMON OUTCOMES IN COHORT STUDIES? | STATA FAQ. https://stats.idre.ucla.edu/stata/faq/how-can-i-estimate-relative-risk-using-glm-for-common-outcomes-in-cohort-studies/.</w:t>
      </w:r>
    </w:p>
    <w:p w14:paraId="4514543A" w14:textId="3A5E2071" w:rsidR="005931F7" w:rsidRPr="00D346B0" w:rsidRDefault="00D24748" w:rsidP="00130D32">
      <w:pPr>
        <w:widowControl w:val="0"/>
        <w:autoSpaceDE w:val="0"/>
        <w:autoSpaceDN w:val="0"/>
        <w:adjustRightInd w:val="0"/>
        <w:spacing w:line="480" w:lineRule="auto"/>
        <w:ind w:left="640" w:hanging="640"/>
        <w:rPr>
          <w:rFonts w:ascii="Arial" w:hAnsi="Arial" w:cs="Arial"/>
          <w:b/>
          <w:lang w:val="en-US"/>
        </w:rPr>
      </w:pPr>
      <w:r w:rsidRPr="00D346B0">
        <w:rPr>
          <w:rFonts w:ascii="Arial" w:hAnsi="Arial" w:cs="Arial"/>
          <w:b/>
          <w:lang w:val="en-US"/>
        </w:rPr>
        <w:fldChar w:fldCharType="end"/>
      </w:r>
    </w:p>
    <w:p w14:paraId="37F01235" w14:textId="77777777" w:rsidR="00D24748" w:rsidRPr="00D346B0" w:rsidRDefault="00D24748" w:rsidP="00130D32">
      <w:pPr>
        <w:spacing w:line="480" w:lineRule="auto"/>
        <w:rPr>
          <w:rFonts w:ascii="Georgia" w:hAnsi="Georgia"/>
          <w:lang w:val="en-US"/>
        </w:rPr>
      </w:pPr>
    </w:p>
    <w:sectPr w:rsidR="00D24748" w:rsidRPr="00D346B0" w:rsidSect="0001375F">
      <w:headerReference w:type="default" r:id="rId8"/>
      <w:footerReference w:type="default" r:id="rId9"/>
      <w:pgSz w:w="11906" w:h="16838"/>
      <w:pgMar w:top="1701" w:right="1134"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CB64" w16cex:dateUtc="2021-10-31T12:44:00Z"/>
  <w16cex:commentExtensible w16cex:durableId="252ECB65" w16cex:dateUtc="2021-11-03T12:48:00Z"/>
  <w16cex:commentExtensible w16cex:durableId="2533758F" w16cex:dateUtc="2021-11-08T09:08:00Z"/>
  <w16cex:commentExtensible w16cex:durableId="25329E82" w16cex:dateUtc="2021-11-07T17:50:00Z"/>
  <w16cex:commentExtensible w16cex:durableId="253375B3" w16cex:dateUtc="2021-11-0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39724" w16cid:durableId="252ECB64"/>
  <w16cid:commentId w16cid:paraId="20F57F68" w16cid:durableId="252ECB65"/>
  <w16cid:commentId w16cid:paraId="1EFA57DE" w16cid:durableId="2533758F"/>
  <w16cid:commentId w16cid:paraId="31AFA736" w16cid:durableId="25329E82"/>
  <w16cid:commentId w16cid:paraId="109AAC1F" w16cid:durableId="253375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F86F" w14:textId="77777777" w:rsidR="00DC2B03" w:rsidRDefault="00DC2B03" w:rsidP="00ED37E8">
      <w:pPr>
        <w:spacing w:after="0" w:line="240" w:lineRule="auto"/>
      </w:pPr>
      <w:r>
        <w:separator/>
      </w:r>
    </w:p>
  </w:endnote>
  <w:endnote w:type="continuationSeparator" w:id="0">
    <w:p w14:paraId="2214AF0B" w14:textId="77777777" w:rsidR="00DC2B03" w:rsidRDefault="00DC2B03" w:rsidP="00ED37E8">
      <w:pPr>
        <w:spacing w:after="0" w:line="240" w:lineRule="auto"/>
      </w:pPr>
      <w:r>
        <w:continuationSeparator/>
      </w:r>
    </w:p>
  </w:endnote>
  <w:endnote w:type="continuationNotice" w:id="1">
    <w:p w14:paraId="2DFDB5F3" w14:textId="77777777" w:rsidR="00DC2B03" w:rsidRDefault="00DC2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42309110"/>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543F8E7" w14:textId="363041DC" w:rsidR="00B06054" w:rsidRPr="002B3D6F" w:rsidRDefault="00B06054">
            <w:pPr>
              <w:pStyle w:val="Sidefod"/>
              <w:jc w:val="center"/>
              <w:rPr>
                <w:rFonts w:ascii="Arial" w:hAnsi="Arial" w:cs="Arial"/>
                <w:sz w:val="18"/>
                <w:szCs w:val="18"/>
              </w:rPr>
            </w:pPr>
            <w:r w:rsidRPr="002B3D6F">
              <w:rPr>
                <w:rFonts w:ascii="Arial" w:hAnsi="Arial" w:cs="Arial"/>
                <w:sz w:val="18"/>
                <w:szCs w:val="18"/>
              </w:rPr>
              <w:t xml:space="preserve">Page </w:t>
            </w:r>
            <w:r w:rsidRPr="002B3D6F">
              <w:rPr>
                <w:rFonts w:ascii="Arial" w:hAnsi="Arial" w:cs="Arial"/>
                <w:bCs/>
                <w:sz w:val="18"/>
                <w:szCs w:val="18"/>
              </w:rPr>
              <w:fldChar w:fldCharType="begin"/>
            </w:r>
            <w:r w:rsidRPr="002B3D6F">
              <w:rPr>
                <w:rFonts w:ascii="Arial" w:hAnsi="Arial" w:cs="Arial"/>
                <w:bCs/>
                <w:sz w:val="18"/>
                <w:szCs w:val="18"/>
              </w:rPr>
              <w:instrText>PAGE</w:instrText>
            </w:r>
            <w:r w:rsidRPr="002B3D6F">
              <w:rPr>
                <w:rFonts w:ascii="Arial" w:hAnsi="Arial" w:cs="Arial"/>
                <w:bCs/>
                <w:sz w:val="18"/>
                <w:szCs w:val="18"/>
              </w:rPr>
              <w:fldChar w:fldCharType="separate"/>
            </w:r>
            <w:r w:rsidR="00D978E9">
              <w:rPr>
                <w:rFonts w:ascii="Arial" w:hAnsi="Arial" w:cs="Arial"/>
                <w:bCs/>
                <w:noProof/>
                <w:sz w:val="18"/>
                <w:szCs w:val="18"/>
              </w:rPr>
              <w:t>9</w:t>
            </w:r>
            <w:r w:rsidRPr="002B3D6F">
              <w:rPr>
                <w:rFonts w:ascii="Arial" w:hAnsi="Arial" w:cs="Arial"/>
                <w:bCs/>
                <w:sz w:val="18"/>
                <w:szCs w:val="18"/>
              </w:rPr>
              <w:fldChar w:fldCharType="end"/>
            </w:r>
            <w:r w:rsidRPr="002B3D6F">
              <w:rPr>
                <w:rFonts w:ascii="Arial" w:hAnsi="Arial" w:cs="Arial"/>
                <w:sz w:val="18"/>
                <w:szCs w:val="18"/>
              </w:rPr>
              <w:t xml:space="preserve"> of </w:t>
            </w:r>
            <w:r w:rsidRPr="002B3D6F">
              <w:rPr>
                <w:rFonts w:ascii="Arial" w:hAnsi="Arial" w:cs="Arial"/>
                <w:bCs/>
                <w:sz w:val="18"/>
                <w:szCs w:val="18"/>
              </w:rPr>
              <w:fldChar w:fldCharType="begin"/>
            </w:r>
            <w:r w:rsidRPr="002B3D6F">
              <w:rPr>
                <w:rFonts w:ascii="Arial" w:hAnsi="Arial" w:cs="Arial"/>
                <w:bCs/>
                <w:sz w:val="18"/>
                <w:szCs w:val="18"/>
              </w:rPr>
              <w:instrText>NUMPAGES</w:instrText>
            </w:r>
            <w:r w:rsidRPr="002B3D6F">
              <w:rPr>
                <w:rFonts w:ascii="Arial" w:hAnsi="Arial" w:cs="Arial"/>
                <w:bCs/>
                <w:sz w:val="18"/>
                <w:szCs w:val="18"/>
              </w:rPr>
              <w:fldChar w:fldCharType="separate"/>
            </w:r>
            <w:r w:rsidR="00D978E9">
              <w:rPr>
                <w:rFonts w:ascii="Arial" w:hAnsi="Arial" w:cs="Arial"/>
                <w:bCs/>
                <w:noProof/>
                <w:sz w:val="18"/>
                <w:szCs w:val="18"/>
              </w:rPr>
              <w:t>10</w:t>
            </w:r>
            <w:r w:rsidRPr="002B3D6F">
              <w:rPr>
                <w:rFonts w:ascii="Arial" w:hAnsi="Arial" w:cs="Arial"/>
                <w:bCs/>
                <w:sz w:val="18"/>
                <w:szCs w:val="18"/>
              </w:rPr>
              <w:fldChar w:fldCharType="end"/>
            </w:r>
          </w:p>
        </w:sdtContent>
      </w:sdt>
    </w:sdtContent>
  </w:sdt>
  <w:p w14:paraId="286EEE35" w14:textId="72A994C5" w:rsidR="00B06054" w:rsidRDefault="00B06054" w:rsidP="002B3D6F">
    <w:pPr>
      <w:pStyle w:val="Sidefod"/>
      <w:tabs>
        <w:tab w:val="clear" w:pos="4819"/>
        <w:tab w:val="clear" w:pos="9638"/>
        <w:tab w:val="left" w:pos="3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4FE51" w14:textId="77777777" w:rsidR="00DC2B03" w:rsidRDefault="00DC2B03" w:rsidP="00ED37E8">
      <w:pPr>
        <w:spacing w:after="0" w:line="240" w:lineRule="auto"/>
      </w:pPr>
      <w:r>
        <w:separator/>
      </w:r>
    </w:p>
  </w:footnote>
  <w:footnote w:type="continuationSeparator" w:id="0">
    <w:p w14:paraId="0D19C20B" w14:textId="77777777" w:rsidR="00DC2B03" w:rsidRDefault="00DC2B03" w:rsidP="00ED37E8">
      <w:pPr>
        <w:spacing w:after="0" w:line="240" w:lineRule="auto"/>
      </w:pPr>
      <w:r>
        <w:continuationSeparator/>
      </w:r>
    </w:p>
  </w:footnote>
  <w:footnote w:type="continuationNotice" w:id="1">
    <w:p w14:paraId="1D128E37" w14:textId="77777777" w:rsidR="00DC2B03" w:rsidRDefault="00DC2B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1CDA" w14:textId="0E278BC9" w:rsidR="00162919" w:rsidRDefault="00162919" w:rsidP="00162919">
    <w:pPr>
      <w:pStyle w:val="Sidehoved"/>
      <w:jc w:val="right"/>
      <w:rPr>
        <w:rFonts w:ascii="Arial" w:hAnsi="Arial" w:cs="Arial"/>
        <w:b/>
        <w:sz w:val="20"/>
        <w:szCs w:val="20"/>
        <w:lang w:val="en-US"/>
      </w:rPr>
    </w:pPr>
    <w:r w:rsidRPr="00DD7359">
      <w:rPr>
        <w:rFonts w:ascii="Arial" w:hAnsi="Arial" w:cs="Arial"/>
        <w:b/>
        <w:sz w:val="20"/>
        <w:szCs w:val="20"/>
        <w:lang w:val="en-US"/>
      </w:rPr>
      <w:t xml:space="preserve">Supplemental </w:t>
    </w:r>
    <w:r>
      <w:rPr>
        <w:rFonts w:ascii="Arial" w:hAnsi="Arial" w:cs="Arial"/>
        <w:b/>
        <w:sz w:val="20"/>
        <w:szCs w:val="20"/>
        <w:lang w:val="en-US"/>
      </w:rPr>
      <w:t>Digital Content</w:t>
    </w:r>
    <w:r w:rsidR="00D904BF">
      <w:rPr>
        <w:rFonts w:ascii="Arial" w:hAnsi="Arial" w:cs="Arial"/>
        <w:b/>
        <w:sz w:val="20"/>
        <w:szCs w:val="20"/>
        <w:lang w:val="en-US"/>
      </w:rPr>
      <w:t xml:space="preserve"> 1</w:t>
    </w:r>
  </w:p>
  <w:p w14:paraId="4D7FBD06" w14:textId="77777777" w:rsidR="00162919" w:rsidRPr="00DD7359" w:rsidRDefault="00162919" w:rsidP="00162919">
    <w:pPr>
      <w:pStyle w:val="Sidehoved"/>
      <w:jc w:val="right"/>
      <w:rPr>
        <w:rFonts w:ascii="Arial" w:hAnsi="Arial" w:cs="Arial"/>
        <w:sz w:val="20"/>
        <w:lang w:val="en-US"/>
      </w:rPr>
    </w:pPr>
    <w:r w:rsidRPr="00DD7359">
      <w:rPr>
        <w:rFonts w:ascii="Arial" w:hAnsi="Arial" w:cs="Arial"/>
        <w:sz w:val="20"/>
        <w:lang w:val="en-US"/>
      </w:rPr>
      <w:t>American Journal of Gastroenterology</w:t>
    </w:r>
  </w:p>
  <w:p w14:paraId="38836340" w14:textId="77777777" w:rsidR="00162919" w:rsidRPr="00DD7359" w:rsidRDefault="00162919" w:rsidP="00162919">
    <w:pPr>
      <w:pStyle w:val="Sidehoved"/>
      <w:jc w:val="right"/>
      <w:rPr>
        <w:rFonts w:ascii="Arial" w:hAnsi="Arial" w:cs="Arial"/>
        <w:b/>
        <w:lang w:val="en-US"/>
      </w:rPr>
    </w:pPr>
  </w:p>
  <w:p w14:paraId="518CE4AD" w14:textId="318F453A" w:rsidR="00B06054" w:rsidRPr="002B3D6F" w:rsidRDefault="00B06054" w:rsidP="00F763A8">
    <w:pPr>
      <w:pStyle w:val="Sidehoved"/>
      <w:jc w:val="right"/>
      <w:rPr>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787"/>
    <w:multiLevelType w:val="hybridMultilevel"/>
    <w:tmpl w:val="2C5AD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993E2C"/>
    <w:multiLevelType w:val="hybridMultilevel"/>
    <w:tmpl w:val="D1FC56B0"/>
    <w:lvl w:ilvl="0" w:tplc="2C0AF4EE">
      <w:start w:val="1"/>
      <w:numFmt w:val="bullet"/>
      <w:lvlText w:val=""/>
      <w:lvlJc w:val="left"/>
      <w:pPr>
        <w:ind w:left="720" w:hanging="360"/>
      </w:pPr>
      <w:rPr>
        <w:rFonts w:ascii="Wingdings" w:eastAsiaTheme="minorHAns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D968B0"/>
    <w:multiLevelType w:val="hybridMultilevel"/>
    <w:tmpl w:val="D7965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087DD7"/>
    <w:multiLevelType w:val="hybridMultilevel"/>
    <w:tmpl w:val="CD9EACB2"/>
    <w:lvl w:ilvl="0" w:tplc="40A09C12">
      <w:start w:val="2"/>
      <w:numFmt w:val="bullet"/>
      <w:lvlText w:val=""/>
      <w:lvlJc w:val="left"/>
      <w:pPr>
        <w:ind w:left="720" w:hanging="360"/>
      </w:pPr>
      <w:rPr>
        <w:rFonts w:ascii="Wingdings" w:eastAsiaTheme="minorHAnsi"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3B5F05"/>
    <w:multiLevelType w:val="multilevel"/>
    <w:tmpl w:val="3F8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E31C0"/>
    <w:multiLevelType w:val="hybridMultilevel"/>
    <w:tmpl w:val="87B0C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065FF7"/>
    <w:multiLevelType w:val="multilevel"/>
    <w:tmpl w:val="BE58D69C"/>
    <w:lvl w:ilvl="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9360E8"/>
    <w:multiLevelType w:val="hybridMultilevel"/>
    <w:tmpl w:val="0CF21A14"/>
    <w:lvl w:ilvl="0" w:tplc="7E6C88D4">
      <w:start w:val="19"/>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9E414C"/>
    <w:multiLevelType w:val="hybridMultilevel"/>
    <w:tmpl w:val="60086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4C5CC7"/>
    <w:multiLevelType w:val="hybridMultilevel"/>
    <w:tmpl w:val="5E4CF9CE"/>
    <w:lvl w:ilvl="0" w:tplc="A48C0754">
      <w:start w:val="5"/>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5A637E"/>
    <w:multiLevelType w:val="multilevel"/>
    <w:tmpl w:val="5EC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271DE"/>
    <w:multiLevelType w:val="hybridMultilevel"/>
    <w:tmpl w:val="23A6081A"/>
    <w:lvl w:ilvl="0" w:tplc="E9B41F96">
      <w:start w:val="5"/>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795B21"/>
    <w:multiLevelType w:val="hybridMultilevel"/>
    <w:tmpl w:val="BCAE042C"/>
    <w:lvl w:ilvl="0" w:tplc="AB7A10B8">
      <w:start w:val="1"/>
      <w:numFmt w:val="bullet"/>
      <w:lvlText w:val=""/>
      <w:lvlJc w:val="left"/>
      <w:pPr>
        <w:ind w:left="720" w:hanging="360"/>
      </w:pPr>
      <w:rPr>
        <w:rFonts w:ascii="Wingdings" w:eastAsiaTheme="minorHAns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212577"/>
    <w:multiLevelType w:val="hybridMultilevel"/>
    <w:tmpl w:val="F4608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640205"/>
    <w:multiLevelType w:val="hybridMultilevel"/>
    <w:tmpl w:val="853270D4"/>
    <w:lvl w:ilvl="0" w:tplc="ADA0495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9E574F"/>
    <w:multiLevelType w:val="hybridMultilevel"/>
    <w:tmpl w:val="889C5CD0"/>
    <w:lvl w:ilvl="0" w:tplc="B15E1680">
      <w:start w:val="4"/>
      <w:numFmt w:val="bullet"/>
      <w:lvlText w:val=""/>
      <w:lvlJc w:val="left"/>
      <w:pPr>
        <w:ind w:left="720" w:hanging="360"/>
      </w:pPr>
      <w:rPr>
        <w:rFonts w:ascii="Wingdings" w:eastAsiaTheme="minorHAnsi"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441A96"/>
    <w:multiLevelType w:val="hybridMultilevel"/>
    <w:tmpl w:val="98E05C58"/>
    <w:lvl w:ilvl="0" w:tplc="EE560DE6">
      <w:start w:val="5"/>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B544FA3"/>
    <w:multiLevelType w:val="hybridMultilevel"/>
    <w:tmpl w:val="D730D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1203078"/>
    <w:multiLevelType w:val="hybridMultilevel"/>
    <w:tmpl w:val="A8788A0A"/>
    <w:lvl w:ilvl="0" w:tplc="A8C8931A">
      <w:start w:val="5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555DBB"/>
    <w:multiLevelType w:val="hybridMultilevel"/>
    <w:tmpl w:val="DAF2F58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1F56149"/>
    <w:multiLevelType w:val="multilevel"/>
    <w:tmpl w:val="0872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B3BDE"/>
    <w:multiLevelType w:val="hybridMultilevel"/>
    <w:tmpl w:val="03B216C2"/>
    <w:lvl w:ilvl="0" w:tplc="A52ADBA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672239"/>
    <w:multiLevelType w:val="multilevel"/>
    <w:tmpl w:val="3662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D6AE2"/>
    <w:multiLevelType w:val="hybridMultilevel"/>
    <w:tmpl w:val="18F6ECE2"/>
    <w:lvl w:ilvl="0" w:tplc="FE9644A0">
      <w:start w:val="1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CE1796"/>
    <w:multiLevelType w:val="hybridMultilevel"/>
    <w:tmpl w:val="99C6CEC4"/>
    <w:lvl w:ilvl="0" w:tplc="50040C90">
      <w:start w:val="1"/>
      <w:numFmt w:val="bullet"/>
      <w:lvlText w:val="•"/>
      <w:lvlJc w:val="left"/>
      <w:pPr>
        <w:tabs>
          <w:tab w:val="num" w:pos="720"/>
        </w:tabs>
        <w:ind w:left="720" w:hanging="360"/>
      </w:pPr>
      <w:rPr>
        <w:rFonts w:ascii="Arial" w:hAnsi="Arial" w:hint="default"/>
      </w:rPr>
    </w:lvl>
    <w:lvl w:ilvl="1" w:tplc="6640425C" w:tentative="1">
      <w:start w:val="1"/>
      <w:numFmt w:val="bullet"/>
      <w:lvlText w:val="•"/>
      <w:lvlJc w:val="left"/>
      <w:pPr>
        <w:tabs>
          <w:tab w:val="num" w:pos="1440"/>
        </w:tabs>
        <w:ind w:left="1440" w:hanging="360"/>
      </w:pPr>
      <w:rPr>
        <w:rFonts w:ascii="Arial" w:hAnsi="Arial" w:hint="default"/>
      </w:rPr>
    </w:lvl>
    <w:lvl w:ilvl="2" w:tplc="417824B4" w:tentative="1">
      <w:start w:val="1"/>
      <w:numFmt w:val="bullet"/>
      <w:lvlText w:val="•"/>
      <w:lvlJc w:val="left"/>
      <w:pPr>
        <w:tabs>
          <w:tab w:val="num" w:pos="2160"/>
        </w:tabs>
        <w:ind w:left="2160" w:hanging="360"/>
      </w:pPr>
      <w:rPr>
        <w:rFonts w:ascii="Arial" w:hAnsi="Arial" w:hint="default"/>
      </w:rPr>
    </w:lvl>
    <w:lvl w:ilvl="3" w:tplc="68DE628E" w:tentative="1">
      <w:start w:val="1"/>
      <w:numFmt w:val="bullet"/>
      <w:lvlText w:val="•"/>
      <w:lvlJc w:val="left"/>
      <w:pPr>
        <w:tabs>
          <w:tab w:val="num" w:pos="2880"/>
        </w:tabs>
        <w:ind w:left="2880" w:hanging="360"/>
      </w:pPr>
      <w:rPr>
        <w:rFonts w:ascii="Arial" w:hAnsi="Arial" w:hint="default"/>
      </w:rPr>
    </w:lvl>
    <w:lvl w:ilvl="4" w:tplc="634E3E16" w:tentative="1">
      <w:start w:val="1"/>
      <w:numFmt w:val="bullet"/>
      <w:lvlText w:val="•"/>
      <w:lvlJc w:val="left"/>
      <w:pPr>
        <w:tabs>
          <w:tab w:val="num" w:pos="3600"/>
        </w:tabs>
        <w:ind w:left="3600" w:hanging="360"/>
      </w:pPr>
      <w:rPr>
        <w:rFonts w:ascii="Arial" w:hAnsi="Arial" w:hint="default"/>
      </w:rPr>
    </w:lvl>
    <w:lvl w:ilvl="5" w:tplc="30C0BB42" w:tentative="1">
      <w:start w:val="1"/>
      <w:numFmt w:val="bullet"/>
      <w:lvlText w:val="•"/>
      <w:lvlJc w:val="left"/>
      <w:pPr>
        <w:tabs>
          <w:tab w:val="num" w:pos="4320"/>
        </w:tabs>
        <w:ind w:left="4320" w:hanging="360"/>
      </w:pPr>
      <w:rPr>
        <w:rFonts w:ascii="Arial" w:hAnsi="Arial" w:hint="default"/>
      </w:rPr>
    </w:lvl>
    <w:lvl w:ilvl="6" w:tplc="7BE813E2" w:tentative="1">
      <w:start w:val="1"/>
      <w:numFmt w:val="bullet"/>
      <w:lvlText w:val="•"/>
      <w:lvlJc w:val="left"/>
      <w:pPr>
        <w:tabs>
          <w:tab w:val="num" w:pos="5040"/>
        </w:tabs>
        <w:ind w:left="5040" w:hanging="360"/>
      </w:pPr>
      <w:rPr>
        <w:rFonts w:ascii="Arial" w:hAnsi="Arial" w:hint="default"/>
      </w:rPr>
    </w:lvl>
    <w:lvl w:ilvl="7" w:tplc="4AD2EACE" w:tentative="1">
      <w:start w:val="1"/>
      <w:numFmt w:val="bullet"/>
      <w:lvlText w:val="•"/>
      <w:lvlJc w:val="left"/>
      <w:pPr>
        <w:tabs>
          <w:tab w:val="num" w:pos="5760"/>
        </w:tabs>
        <w:ind w:left="5760" w:hanging="360"/>
      </w:pPr>
      <w:rPr>
        <w:rFonts w:ascii="Arial" w:hAnsi="Arial" w:hint="default"/>
      </w:rPr>
    </w:lvl>
    <w:lvl w:ilvl="8" w:tplc="73D04B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EE4E54"/>
    <w:multiLevelType w:val="multilevel"/>
    <w:tmpl w:val="8A7AED56"/>
    <w:lvl w:ilvl="0">
      <w:start w:val="5"/>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F84991"/>
    <w:multiLevelType w:val="hybridMultilevel"/>
    <w:tmpl w:val="3DA0795C"/>
    <w:lvl w:ilvl="0" w:tplc="ADA0495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C74F8F"/>
    <w:multiLevelType w:val="hybridMultilevel"/>
    <w:tmpl w:val="602C004E"/>
    <w:lvl w:ilvl="0" w:tplc="37365E4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F5807FC"/>
    <w:multiLevelType w:val="hybridMultilevel"/>
    <w:tmpl w:val="107A8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0E0657"/>
    <w:multiLevelType w:val="hybridMultilevel"/>
    <w:tmpl w:val="100CF7EC"/>
    <w:lvl w:ilvl="0" w:tplc="04060003">
      <w:start w:val="1"/>
      <w:numFmt w:val="bullet"/>
      <w:lvlText w:val="o"/>
      <w:lvlJc w:val="left"/>
      <w:pPr>
        <w:ind w:left="780" w:hanging="360"/>
      </w:pPr>
      <w:rPr>
        <w:rFonts w:ascii="Courier New" w:hAnsi="Courier New" w:cs="Courier New"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0" w15:restartNumberingAfterBreak="0">
    <w:nsid w:val="667B45A6"/>
    <w:multiLevelType w:val="hybridMultilevel"/>
    <w:tmpl w:val="3E88557A"/>
    <w:lvl w:ilvl="0" w:tplc="8746FC9A">
      <w:start w:val="5"/>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8211EA"/>
    <w:multiLevelType w:val="hybridMultilevel"/>
    <w:tmpl w:val="4342C90E"/>
    <w:lvl w:ilvl="0" w:tplc="53D68E6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5E4AD5"/>
    <w:multiLevelType w:val="hybridMultilevel"/>
    <w:tmpl w:val="08061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AFD1A88"/>
    <w:multiLevelType w:val="hybridMultilevel"/>
    <w:tmpl w:val="77045DFC"/>
    <w:lvl w:ilvl="0" w:tplc="F604870C">
      <w:start w:val="2"/>
      <w:numFmt w:val="bullet"/>
      <w:lvlText w:val=""/>
      <w:lvlJc w:val="left"/>
      <w:pPr>
        <w:ind w:left="720" w:hanging="360"/>
      </w:pPr>
      <w:rPr>
        <w:rFonts w:ascii="Wingdings" w:eastAsiaTheme="minorHAnsi"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16"/>
  </w:num>
  <w:num w:numId="5">
    <w:abstractNumId w:val="25"/>
  </w:num>
  <w:num w:numId="6">
    <w:abstractNumId w:val="9"/>
  </w:num>
  <w:num w:numId="7">
    <w:abstractNumId w:val="11"/>
  </w:num>
  <w:num w:numId="8">
    <w:abstractNumId w:val="30"/>
  </w:num>
  <w:num w:numId="9">
    <w:abstractNumId w:val="28"/>
  </w:num>
  <w:num w:numId="10">
    <w:abstractNumId w:val="26"/>
  </w:num>
  <w:num w:numId="11">
    <w:abstractNumId w:val="1"/>
  </w:num>
  <w:num w:numId="12">
    <w:abstractNumId w:val="12"/>
  </w:num>
  <w:num w:numId="13">
    <w:abstractNumId w:val="24"/>
  </w:num>
  <w:num w:numId="14">
    <w:abstractNumId w:val="27"/>
  </w:num>
  <w:num w:numId="15">
    <w:abstractNumId w:val="7"/>
  </w:num>
  <w:num w:numId="16">
    <w:abstractNumId w:val="33"/>
  </w:num>
  <w:num w:numId="17">
    <w:abstractNumId w:val="3"/>
  </w:num>
  <w:num w:numId="18">
    <w:abstractNumId w:val="29"/>
  </w:num>
  <w:num w:numId="19">
    <w:abstractNumId w:val="4"/>
  </w:num>
  <w:num w:numId="20">
    <w:abstractNumId w:val="32"/>
  </w:num>
  <w:num w:numId="21">
    <w:abstractNumId w:val="2"/>
  </w:num>
  <w:num w:numId="22">
    <w:abstractNumId w:val="17"/>
  </w:num>
  <w:num w:numId="23">
    <w:abstractNumId w:val="5"/>
  </w:num>
  <w:num w:numId="24">
    <w:abstractNumId w:val="8"/>
  </w:num>
  <w:num w:numId="25">
    <w:abstractNumId w:val="15"/>
  </w:num>
  <w:num w:numId="26">
    <w:abstractNumId w:val="31"/>
  </w:num>
  <w:num w:numId="27">
    <w:abstractNumId w:val="6"/>
  </w:num>
  <w:num w:numId="28">
    <w:abstractNumId w:val="20"/>
  </w:num>
  <w:num w:numId="29">
    <w:abstractNumId w:val="22"/>
  </w:num>
  <w:num w:numId="30">
    <w:abstractNumId w:val="10"/>
  </w:num>
  <w:num w:numId="31">
    <w:abstractNumId w:val="23"/>
  </w:num>
  <w:num w:numId="32">
    <w:abstractNumId w:val="13"/>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oNotTrackFormatting/>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DAyNzMwNTMxNTBU0lEKTi0uzszPAykwMq8FACySpcAtAAAA"/>
  </w:docVars>
  <w:rsids>
    <w:rsidRoot w:val="005931F7"/>
    <w:rsid w:val="00002568"/>
    <w:rsid w:val="00003AA6"/>
    <w:rsid w:val="0000432B"/>
    <w:rsid w:val="00005AA0"/>
    <w:rsid w:val="00010BCB"/>
    <w:rsid w:val="00010D33"/>
    <w:rsid w:val="00011142"/>
    <w:rsid w:val="00013223"/>
    <w:rsid w:val="0001375F"/>
    <w:rsid w:val="00013FCA"/>
    <w:rsid w:val="000143A0"/>
    <w:rsid w:val="000150DF"/>
    <w:rsid w:val="00016878"/>
    <w:rsid w:val="0002639B"/>
    <w:rsid w:val="00030A97"/>
    <w:rsid w:val="0003647F"/>
    <w:rsid w:val="0003655C"/>
    <w:rsid w:val="00036D5F"/>
    <w:rsid w:val="00042985"/>
    <w:rsid w:val="00042C31"/>
    <w:rsid w:val="00043A0E"/>
    <w:rsid w:val="00044A1D"/>
    <w:rsid w:val="000479D8"/>
    <w:rsid w:val="00050BB7"/>
    <w:rsid w:val="00051A61"/>
    <w:rsid w:val="000547B4"/>
    <w:rsid w:val="00055BA4"/>
    <w:rsid w:val="000575B0"/>
    <w:rsid w:val="0006351E"/>
    <w:rsid w:val="00064A7B"/>
    <w:rsid w:val="00064A9B"/>
    <w:rsid w:val="00064C64"/>
    <w:rsid w:val="0006629E"/>
    <w:rsid w:val="0006645F"/>
    <w:rsid w:val="000700EE"/>
    <w:rsid w:val="00071510"/>
    <w:rsid w:val="0007162F"/>
    <w:rsid w:val="00071D5E"/>
    <w:rsid w:val="000725CA"/>
    <w:rsid w:val="00072BCC"/>
    <w:rsid w:val="00074EA9"/>
    <w:rsid w:val="00076F30"/>
    <w:rsid w:val="00080BE7"/>
    <w:rsid w:val="00083965"/>
    <w:rsid w:val="00084957"/>
    <w:rsid w:val="00087273"/>
    <w:rsid w:val="00090BC4"/>
    <w:rsid w:val="00091A90"/>
    <w:rsid w:val="000933FA"/>
    <w:rsid w:val="0009564E"/>
    <w:rsid w:val="000A3D32"/>
    <w:rsid w:val="000A6787"/>
    <w:rsid w:val="000A6F52"/>
    <w:rsid w:val="000A7188"/>
    <w:rsid w:val="000B42C9"/>
    <w:rsid w:val="000B43B3"/>
    <w:rsid w:val="000B596D"/>
    <w:rsid w:val="000B68DB"/>
    <w:rsid w:val="000C023C"/>
    <w:rsid w:val="000C03A3"/>
    <w:rsid w:val="000C26EF"/>
    <w:rsid w:val="000C45A9"/>
    <w:rsid w:val="000C4A1D"/>
    <w:rsid w:val="000C51C9"/>
    <w:rsid w:val="000C54B6"/>
    <w:rsid w:val="000D02C0"/>
    <w:rsid w:val="000D1877"/>
    <w:rsid w:val="000D1E53"/>
    <w:rsid w:val="000D3665"/>
    <w:rsid w:val="000D39F8"/>
    <w:rsid w:val="000D5F95"/>
    <w:rsid w:val="000E12BE"/>
    <w:rsid w:val="000E1725"/>
    <w:rsid w:val="000E20C9"/>
    <w:rsid w:val="000E6476"/>
    <w:rsid w:val="000E6A45"/>
    <w:rsid w:val="000E6C2D"/>
    <w:rsid w:val="000F4C50"/>
    <w:rsid w:val="000F51AF"/>
    <w:rsid w:val="000F5E45"/>
    <w:rsid w:val="0010116C"/>
    <w:rsid w:val="00103E66"/>
    <w:rsid w:val="00104FF2"/>
    <w:rsid w:val="001053CC"/>
    <w:rsid w:val="0011226C"/>
    <w:rsid w:val="001125A7"/>
    <w:rsid w:val="0011347F"/>
    <w:rsid w:val="001159EF"/>
    <w:rsid w:val="00116716"/>
    <w:rsid w:val="00117599"/>
    <w:rsid w:val="00121FB4"/>
    <w:rsid w:val="0012425E"/>
    <w:rsid w:val="00125050"/>
    <w:rsid w:val="00127BA2"/>
    <w:rsid w:val="00130D32"/>
    <w:rsid w:val="0013149D"/>
    <w:rsid w:val="00131A31"/>
    <w:rsid w:val="001321E5"/>
    <w:rsid w:val="0013273B"/>
    <w:rsid w:val="00135D95"/>
    <w:rsid w:val="0013694C"/>
    <w:rsid w:val="00136BA8"/>
    <w:rsid w:val="00140EEB"/>
    <w:rsid w:val="00141306"/>
    <w:rsid w:val="00141337"/>
    <w:rsid w:val="00144515"/>
    <w:rsid w:val="00145C29"/>
    <w:rsid w:val="00151D2F"/>
    <w:rsid w:val="00152962"/>
    <w:rsid w:val="00152F39"/>
    <w:rsid w:val="00153B34"/>
    <w:rsid w:val="00153DD5"/>
    <w:rsid w:val="00154F25"/>
    <w:rsid w:val="00156378"/>
    <w:rsid w:val="00160418"/>
    <w:rsid w:val="00160732"/>
    <w:rsid w:val="00160D43"/>
    <w:rsid w:val="00161C9E"/>
    <w:rsid w:val="00162919"/>
    <w:rsid w:val="001631EB"/>
    <w:rsid w:val="00163EB9"/>
    <w:rsid w:val="001641F3"/>
    <w:rsid w:val="00164E26"/>
    <w:rsid w:val="00167035"/>
    <w:rsid w:val="00172A05"/>
    <w:rsid w:val="0017324C"/>
    <w:rsid w:val="00174925"/>
    <w:rsid w:val="00175D21"/>
    <w:rsid w:val="00175FB8"/>
    <w:rsid w:val="00177DA4"/>
    <w:rsid w:val="0018002A"/>
    <w:rsid w:val="00180A5F"/>
    <w:rsid w:val="00181944"/>
    <w:rsid w:val="001819E3"/>
    <w:rsid w:val="001823D8"/>
    <w:rsid w:val="00184190"/>
    <w:rsid w:val="00185296"/>
    <w:rsid w:val="00186DF1"/>
    <w:rsid w:val="00187047"/>
    <w:rsid w:val="00191573"/>
    <w:rsid w:val="00191789"/>
    <w:rsid w:val="001934E8"/>
    <w:rsid w:val="0019542E"/>
    <w:rsid w:val="001A5008"/>
    <w:rsid w:val="001A598E"/>
    <w:rsid w:val="001B033F"/>
    <w:rsid w:val="001B13AC"/>
    <w:rsid w:val="001B3D39"/>
    <w:rsid w:val="001B43FD"/>
    <w:rsid w:val="001B522A"/>
    <w:rsid w:val="001B6C79"/>
    <w:rsid w:val="001B6F7F"/>
    <w:rsid w:val="001B7AC2"/>
    <w:rsid w:val="001C0439"/>
    <w:rsid w:val="001C37C2"/>
    <w:rsid w:val="001C4241"/>
    <w:rsid w:val="001C742F"/>
    <w:rsid w:val="001D141E"/>
    <w:rsid w:val="001D2674"/>
    <w:rsid w:val="001D4571"/>
    <w:rsid w:val="001D4F25"/>
    <w:rsid w:val="001D52D2"/>
    <w:rsid w:val="001E2180"/>
    <w:rsid w:val="001E3CC9"/>
    <w:rsid w:val="001E528D"/>
    <w:rsid w:val="001E65BC"/>
    <w:rsid w:val="001E65BD"/>
    <w:rsid w:val="001E7F48"/>
    <w:rsid w:val="001F2466"/>
    <w:rsid w:val="001F3AD1"/>
    <w:rsid w:val="001F7038"/>
    <w:rsid w:val="001F7AAC"/>
    <w:rsid w:val="00200906"/>
    <w:rsid w:val="002026DC"/>
    <w:rsid w:val="00205EAB"/>
    <w:rsid w:val="00210E53"/>
    <w:rsid w:val="00220D7C"/>
    <w:rsid w:val="00221AE5"/>
    <w:rsid w:val="00222A90"/>
    <w:rsid w:val="0022351C"/>
    <w:rsid w:val="00223E11"/>
    <w:rsid w:val="002272D5"/>
    <w:rsid w:val="00231F2B"/>
    <w:rsid w:val="002347EB"/>
    <w:rsid w:val="002354E9"/>
    <w:rsid w:val="0023651E"/>
    <w:rsid w:val="0023667E"/>
    <w:rsid w:val="00236A27"/>
    <w:rsid w:val="00236D63"/>
    <w:rsid w:val="00237671"/>
    <w:rsid w:val="002402C0"/>
    <w:rsid w:val="00240620"/>
    <w:rsid w:val="00240E01"/>
    <w:rsid w:val="00241DB5"/>
    <w:rsid w:val="0024230E"/>
    <w:rsid w:val="0024571E"/>
    <w:rsid w:val="002463BF"/>
    <w:rsid w:val="00254398"/>
    <w:rsid w:val="0025521B"/>
    <w:rsid w:val="0025557E"/>
    <w:rsid w:val="00256DEC"/>
    <w:rsid w:val="0025713A"/>
    <w:rsid w:val="00261C4A"/>
    <w:rsid w:val="002637D3"/>
    <w:rsid w:val="00264056"/>
    <w:rsid w:val="0027010A"/>
    <w:rsid w:val="00270302"/>
    <w:rsid w:val="002717B6"/>
    <w:rsid w:val="00273F70"/>
    <w:rsid w:val="00274FF6"/>
    <w:rsid w:val="0027610A"/>
    <w:rsid w:val="00276951"/>
    <w:rsid w:val="0027734A"/>
    <w:rsid w:val="00280A56"/>
    <w:rsid w:val="002815E1"/>
    <w:rsid w:val="00284FF3"/>
    <w:rsid w:val="00285CD6"/>
    <w:rsid w:val="00291E20"/>
    <w:rsid w:val="00292807"/>
    <w:rsid w:val="00292B85"/>
    <w:rsid w:val="00293837"/>
    <w:rsid w:val="00293862"/>
    <w:rsid w:val="002950A7"/>
    <w:rsid w:val="002955A1"/>
    <w:rsid w:val="00296034"/>
    <w:rsid w:val="002973DB"/>
    <w:rsid w:val="0029742D"/>
    <w:rsid w:val="002A1AD5"/>
    <w:rsid w:val="002A3132"/>
    <w:rsid w:val="002A3DBE"/>
    <w:rsid w:val="002A4683"/>
    <w:rsid w:val="002A5EE1"/>
    <w:rsid w:val="002B1396"/>
    <w:rsid w:val="002B3907"/>
    <w:rsid w:val="002B3D6F"/>
    <w:rsid w:val="002B58C1"/>
    <w:rsid w:val="002B5FC9"/>
    <w:rsid w:val="002C0564"/>
    <w:rsid w:val="002C53B6"/>
    <w:rsid w:val="002C579E"/>
    <w:rsid w:val="002C6836"/>
    <w:rsid w:val="002D202A"/>
    <w:rsid w:val="002D37F8"/>
    <w:rsid w:val="002D3988"/>
    <w:rsid w:val="002D56C9"/>
    <w:rsid w:val="002D5D44"/>
    <w:rsid w:val="002D6C59"/>
    <w:rsid w:val="002D7480"/>
    <w:rsid w:val="002D76DB"/>
    <w:rsid w:val="002E049A"/>
    <w:rsid w:val="002E05A5"/>
    <w:rsid w:val="002E75FE"/>
    <w:rsid w:val="002F1A18"/>
    <w:rsid w:val="002F3088"/>
    <w:rsid w:val="002F3AA7"/>
    <w:rsid w:val="002F45FB"/>
    <w:rsid w:val="002F4FCA"/>
    <w:rsid w:val="002F5F99"/>
    <w:rsid w:val="002F7424"/>
    <w:rsid w:val="002F7C4D"/>
    <w:rsid w:val="00302899"/>
    <w:rsid w:val="00304492"/>
    <w:rsid w:val="00304DC9"/>
    <w:rsid w:val="00305DBF"/>
    <w:rsid w:val="00310199"/>
    <w:rsid w:val="003105DE"/>
    <w:rsid w:val="00312080"/>
    <w:rsid w:val="003153D9"/>
    <w:rsid w:val="00316985"/>
    <w:rsid w:val="003172B2"/>
    <w:rsid w:val="00320157"/>
    <w:rsid w:val="003202C0"/>
    <w:rsid w:val="00323C79"/>
    <w:rsid w:val="00331197"/>
    <w:rsid w:val="00334F79"/>
    <w:rsid w:val="00336314"/>
    <w:rsid w:val="00336444"/>
    <w:rsid w:val="00337339"/>
    <w:rsid w:val="00337B2A"/>
    <w:rsid w:val="003403C8"/>
    <w:rsid w:val="003478C3"/>
    <w:rsid w:val="00350352"/>
    <w:rsid w:val="0035271D"/>
    <w:rsid w:val="00352F19"/>
    <w:rsid w:val="003532C6"/>
    <w:rsid w:val="00357B97"/>
    <w:rsid w:val="00360056"/>
    <w:rsid w:val="00360EA4"/>
    <w:rsid w:val="003643C5"/>
    <w:rsid w:val="00364F86"/>
    <w:rsid w:val="003650E6"/>
    <w:rsid w:val="00366B2D"/>
    <w:rsid w:val="00370055"/>
    <w:rsid w:val="00372DF7"/>
    <w:rsid w:val="00373C90"/>
    <w:rsid w:val="00377519"/>
    <w:rsid w:val="0037751E"/>
    <w:rsid w:val="003803C1"/>
    <w:rsid w:val="003805B2"/>
    <w:rsid w:val="0038611A"/>
    <w:rsid w:val="003867E7"/>
    <w:rsid w:val="0038688F"/>
    <w:rsid w:val="00390700"/>
    <w:rsid w:val="00391BCA"/>
    <w:rsid w:val="003923D8"/>
    <w:rsid w:val="00393D56"/>
    <w:rsid w:val="0039666C"/>
    <w:rsid w:val="00396882"/>
    <w:rsid w:val="003968A0"/>
    <w:rsid w:val="003A067A"/>
    <w:rsid w:val="003A3225"/>
    <w:rsid w:val="003A642F"/>
    <w:rsid w:val="003A64E2"/>
    <w:rsid w:val="003A6B14"/>
    <w:rsid w:val="003A7097"/>
    <w:rsid w:val="003B1212"/>
    <w:rsid w:val="003B6A2D"/>
    <w:rsid w:val="003B787E"/>
    <w:rsid w:val="003C23EE"/>
    <w:rsid w:val="003C2894"/>
    <w:rsid w:val="003C5773"/>
    <w:rsid w:val="003C6C43"/>
    <w:rsid w:val="003D1AE1"/>
    <w:rsid w:val="003D2BD8"/>
    <w:rsid w:val="003D2C9B"/>
    <w:rsid w:val="003D35EC"/>
    <w:rsid w:val="003D3796"/>
    <w:rsid w:val="003D3B2C"/>
    <w:rsid w:val="003D3C4F"/>
    <w:rsid w:val="003D52E2"/>
    <w:rsid w:val="003D55E3"/>
    <w:rsid w:val="003E3858"/>
    <w:rsid w:val="003E687D"/>
    <w:rsid w:val="003E6AAB"/>
    <w:rsid w:val="003F12AF"/>
    <w:rsid w:val="003F23BD"/>
    <w:rsid w:val="003F2695"/>
    <w:rsid w:val="003F69C0"/>
    <w:rsid w:val="003F710F"/>
    <w:rsid w:val="003F74F7"/>
    <w:rsid w:val="004013A6"/>
    <w:rsid w:val="004022DD"/>
    <w:rsid w:val="00403F2B"/>
    <w:rsid w:val="004058FF"/>
    <w:rsid w:val="0040676F"/>
    <w:rsid w:val="00413C6A"/>
    <w:rsid w:val="004171C9"/>
    <w:rsid w:val="004175CA"/>
    <w:rsid w:val="00417BBA"/>
    <w:rsid w:val="00424A61"/>
    <w:rsid w:val="00425535"/>
    <w:rsid w:val="00425FAA"/>
    <w:rsid w:val="00426142"/>
    <w:rsid w:val="00426F13"/>
    <w:rsid w:val="00431834"/>
    <w:rsid w:val="00433531"/>
    <w:rsid w:val="004350E7"/>
    <w:rsid w:val="00440BE7"/>
    <w:rsid w:val="00440C6E"/>
    <w:rsid w:val="0044133E"/>
    <w:rsid w:val="00444A63"/>
    <w:rsid w:val="0044625D"/>
    <w:rsid w:val="0045131D"/>
    <w:rsid w:val="00451645"/>
    <w:rsid w:val="00452220"/>
    <w:rsid w:val="00452C14"/>
    <w:rsid w:val="00452EFF"/>
    <w:rsid w:val="0045577D"/>
    <w:rsid w:val="00463825"/>
    <w:rsid w:val="00463D1C"/>
    <w:rsid w:val="00464C8F"/>
    <w:rsid w:val="00465288"/>
    <w:rsid w:val="00465678"/>
    <w:rsid w:val="00470407"/>
    <w:rsid w:val="0047133B"/>
    <w:rsid w:val="00471417"/>
    <w:rsid w:val="0047191E"/>
    <w:rsid w:val="00473EE6"/>
    <w:rsid w:val="004763B3"/>
    <w:rsid w:val="00477001"/>
    <w:rsid w:val="00480482"/>
    <w:rsid w:val="004808C1"/>
    <w:rsid w:val="00481333"/>
    <w:rsid w:val="00481629"/>
    <w:rsid w:val="00483691"/>
    <w:rsid w:val="00483C3A"/>
    <w:rsid w:val="004846D9"/>
    <w:rsid w:val="00485408"/>
    <w:rsid w:val="00487039"/>
    <w:rsid w:val="0049447F"/>
    <w:rsid w:val="004A2EEC"/>
    <w:rsid w:val="004A3B3A"/>
    <w:rsid w:val="004A4D49"/>
    <w:rsid w:val="004A4FB3"/>
    <w:rsid w:val="004A5098"/>
    <w:rsid w:val="004A5D35"/>
    <w:rsid w:val="004A70B9"/>
    <w:rsid w:val="004B5D09"/>
    <w:rsid w:val="004B5DE9"/>
    <w:rsid w:val="004C11E9"/>
    <w:rsid w:val="004C20AC"/>
    <w:rsid w:val="004C58FD"/>
    <w:rsid w:val="004C5F2C"/>
    <w:rsid w:val="004C76F8"/>
    <w:rsid w:val="004C7838"/>
    <w:rsid w:val="004D040A"/>
    <w:rsid w:val="004D1959"/>
    <w:rsid w:val="004D3FD2"/>
    <w:rsid w:val="004D3FEC"/>
    <w:rsid w:val="004D47C0"/>
    <w:rsid w:val="004D4E0A"/>
    <w:rsid w:val="004D5319"/>
    <w:rsid w:val="004D5FCE"/>
    <w:rsid w:val="004D608A"/>
    <w:rsid w:val="004E0864"/>
    <w:rsid w:val="004E1A6A"/>
    <w:rsid w:val="004E27B3"/>
    <w:rsid w:val="004E35FE"/>
    <w:rsid w:val="004E3949"/>
    <w:rsid w:val="004E3DE7"/>
    <w:rsid w:val="004E50A9"/>
    <w:rsid w:val="004E5142"/>
    <w:rsid w:val="004E59F1"/>
    <w:rsid w:val="004E5FD4"/>
    <w:rsid w:val="004F21A7"/>
    <w:rsid w:val="004F53E8"/>
    <w:rsid w:val="004F5F18"/>
    <w:rsid w:val="005029C8"/>
    <w:rsid w:val="0050431A"/>
    <w:rsid w:val="00506715"/>
    <w:rsid w:val="0050739D"/>
    <w:rsid w:val="00507AB0"/>
    <w:rsid w:val="00510762"/>
    <w:rsid w:val="005108EB"/>
    <w:rsid w:val="00511E92"/>
    <w:rsid w:val="00512F25"/>
    <w:rsid w:val="00514AC7"/>
    <w:rsid w:val="00517929"/>
    <w:rsid w:val="005212E5"/>
    <w:rsid w:val="00522C22"/>
    <w:rsid w:val="00522E3E"/>
    <w:rsid w:val="0052365D"/>
    <w:rsid w:val="005250F1"/>
    <w:rsid w:val="005262E4"/>
    <w:rsid w:val="00526C74"/>
    <w:rsid w:val="00526FE4"/>
    <w:rsid w:val="00527F19"/>
    <w:rsid w:val="00532174"/>
    <w:rsid w:val="0053250D"/>
    <w:rsid w:val="00535A39"/>
    <w:rsid w:val="0054277E"/>
    <w:rsid w:val="00542B08"/>
    <w:rsid w:val="00545073"/>
    <w:rsid w:val="00547026"/>
    <w:rsid w:val="0054787C"/>
    <w:rsid w:val="005501CF"/>
    <w:rsid w:val="0055069A"/>
    <w:rsid w:val="00550972"/>
    <w:rsid w:val="0055142E"/>
    <w:rsid w:val="00554CAF"/>
    <w:rsid w:val="00555896"/>
    <w:rsid w:val="00555B7E"/>
    <w:rsid w:val="00555D56"/>
    <w:rsid w:val="00556E56"/>
    <w:rsid w:val="00562107"/>
    <w:rsid w:val="00562CCE"/>
    <w:rsid w:val="0056342D"/>
    <w:rsid w:val="005669E6"/>
    <w:rsid w:val="00567086"/>
    <w:rsid w:val="005674C0"/>
    <w:rsid w:val="00572D02"/>
    <w:rsid w:val="00573EB3"/>
    <w:rsid w:val="0057544D"/>
    <w:rsid w:val="00575C27"/>
    <w:rsid w:val="00576423"/>
    <w:rsid w:val="00577B8A"/>
    <w:rsid w:val="005805A4"/>
    <w:rsid w:val="00585BA9"/>
    <w:rsid w:val="00586D5A"/>
    <w:rsid w:val="00590F68"/>
    <w:rsid w:val="00591EE9"/>
    <w:rsid w:val="005931F7"/>
    <w:rsid w:val="005A05FE"/>
    <w:rsid w:val="005A1AC5"/>
    <w:rsid w:val="005A224E"/>
    <w:rsid w:val="005A3A8A"/>
    <w:rsid w:val="005A4D03"/>
    <w:rsid w:val="005A645E"/>
    <w:rsid w:val="005A66B8"/>
    <w:rsid w:val="005A75F7"/>
    <w:rsid w:val="005A7E59"/>
    <w:rsid w:val="005B028A"/>
    <w:rsid w:val="005B35A2"/>
    <w:rsid w:val="005C0713"/>
    <w:rsid w:val="005C221C"/>
    <w:rsid w:val="005C3EA7"/>
    <w:rsid w:val="005C44D5"/>
    <w:rsid w:val="005C4CE6"/>
    <w:rsid w:val="005C7292"/>
    <w:rsid w:val="005C779D"/>
    <w:rsid w:val="005D088D"/>
    <w:rsid w:val="005D0B8A"/>
    <w:rsid w:val="005D3774"/>
    <w:rsid w:val="005D4179"/>
    <w:rsid w:val="005D5279"/>
    <w:rsid w:val="005D6CAF"/>
    <w:rsid w:val="005E1899"/>
    <w:rsid w:val="005E1DBE"/>
    <w:rsid w:val="005E218A"/>
    <w:rsid w:val="005E361E"/>
    <w:rsid w:val="005E42DC"/>
    <w:rsid w:val="005F2172"/>
    <w:rsid w:val="005F3EA8"/>
    <w:rsid w:val="005F4822"/>
    <w:rsid w:val="005F4E78"/>
    <w:rsid w:val="005F65D5"/>
    <w:rsid w:val="006010A7"/>
    <w:rsid w:val="006047C1"/>
    <w:rsid w:val="00604BAE"/>
    <w:rsid w:val="00605A44"/>
    <w:rsid w:val="006061DD"/>
    <w:rsid w:val="00607027"/>
    <w:rsid w:val="00610C00"/>
    <w:rsid w:val="00610DA6"/>
    <w:rsid w:val="0061273C"/>
    <w:rsid w:val="0061333C"/>
    <w:rsid w:val="00613AED"/>
    <w:rsid w:val="00613FF7"/>
    <w:rsid w:val="006175DC"/>
    <w:rsid w:val="006208A6"/>
    <w:rsid w:val="00620E8D"/>
    <w:rsid w:val="00621216"/>
    <w:rsid w:val="00622591"/>
    <w:rsid w:val="0062288E"/>
    <w:rsid w:val="006258AF"/>
    <w:rsid w:val="00627C4B"/>
    <w:rsid w:val="00630852"/>
    <w:rsid w:val="00631DC0"/>
    <w:rsid w:val="00632A8E"/>
    <w:rsid w:val="00633D0E"/>
    <w:rsid w:val="006355A3"/>
    <w:rsid w:val="00637129"/>
    <w:rsid w:val="00640669"/>
    <w:rsid w:val="006409FD"/>
    <w:rsid w:val="00642795"/>
    <w:rsid w:val="00642CCE"/>
    <w:rsid w:val="006437F0"/>
    <w:rsid w:val="00644BAB"/>
    <w:rsid w:val="00645066"/>
    <w:rsid w:val="006456F2"/>
    <w:rsid w:val="00646581"/>
    <w:rsid w:val="00652C89"/>
    <w:rsid w:val="00652CB4"/>
    <w:rsid w:val="00654563"/>
    <w:rsid w:val="0065508B"/>
    <w:rsid w:val="00655D57"/>
    <w:rsid w:val="00661DCF"/>
    <w:rsid w:val="006628FF"/>
    <w:rsid w:val="00663C6C"/>
    <w:rsid w:val="00664A98"/>
    <w:rsid w:val="006660F6"/>
    <w:rsid w:val="00666A5C"/>
    <w:rsid w:val="00670346"/>
    <w:rsid w:val="0067174D"/>
    <w:rsid w:val="00672402"/>
    <w:rsid w:val="00673CB7"/>
    <w:rsid w:val="00676734"/>
    <w:rsid w:val="006774DE"/>
    <w:rsid w:val="00680D2B"/>
    <w:rsid w:val="006817AC"/>
    <w:rsid w:val="00681C80"/>
    <w:rsid w:val="0068378C"/>
    <w:rsid w:val="00683923"/>
    <w:rsid w:val="00683E3A"/>
    <w:rsid w:val="00687691"/>
    <w:rsid w:val="00690E3B"/>
    <w:rsid w:val="0069560F"/>
    <w:rsid w:val="006959E0"/>
    <w:rsid w:val="00695A33"/>
    <w:rsid w:val="00695AEB"/>
    <w:rsid w:val="00696C81"/>
    <w:rsid w:val="00696C8B"/>
    <w:rsid w:val="00696D14"/>
    <w:rsid w:val="00696EB2"/>
    <w:rsid w:val="006A167E"/>
    <w:rsid w:val="006A711F"/>
    <w:rsid w:val="006B0143"/>
    <w:rsid w:val="006B0EF8"/>
    <w:rsid w:val="006B3C03"/>
    <w:rsid w:val="006B3D2F"/>
    <w:rsid w:val="006B61DB"/>
    <w:rsid w:val="006B6624"/>
    <w:rsid w:val="006B77DF"/>
    <w:rsid w:val="006B79B6"/>
    <w:rsid w:val="006C3734"/>
    <w:rsid w:val="006C4DCB"/>
    <w:rsid w:val="006C4F7A"/>
    <w:rsid w:val="006D0B6F"/>
    <w:rsid w:val="006D1466"/>
    <w:rsid w:val="006D15B9"/>
    <w:rsid w:val="006D69D8"/>
    <w:rsid w:val="006D70F7"/>
    <w:rsid w:val="006D7BBD"/>
    <w:rsid w:val="006D7E27"/>
    <w:rsid w:val="006E0B80"/>
    <w:rsid w:val="006E103C"/>
    <w:rsid w:val="006E18BB"/>
    <w:rsid w:val="006E25AD"/>
    <w:rsid w:val="006E260F"/>
    <w:rsid w:val="006E2C87"/>
    <w:rsid w:val="006E3676"/>
    <w:rsid w:val="006E4F7A"/>
    <w:rsid w:val="006E5BAD"/>
    <w:rsid w:val="006E63FC"/>
    <w:rsid w:val="006E6A1E"/>
    <w:rsid w:val="006E750B"/>
    <w:rsid w:val="006F09B8"/>
    <w:rsid w:val="006F39CE"/>
    <w:rsid w:val="006F4C08"/>
    <w:rsid w:val="006F6987"/>
    <w:rsid w:val="006F7946"/>
    <w:rsid w:val="006F7C8B"/>
    <w:rsid w:val="00704052"/>
    <w:rsid w:val="00705955"/>
    <w:rsid w:val="00705FDD"/>
    <w:rsid w:val="00706129"/>
    <w:rsid w:val="00710445"/>
    <w:rsid w:val="00710BDA"/>
    <w:rsid w:val="00712C05"/>
    <w:rsid w:val="00713112"/>
    <w:rsid w:val="00714B1F"/>
    <w:rsid w:val="00716B2B"/>
    <w:rsid w:val="00721B36"/>
    <w:rsid w:val="00721BA2"/>
    <w:rsid w:val="00724D47"/>
    <w:rsid w:val="00725271"/>
    <w:rsid w:val="00725E6A"/>
    <w:rsid w:val="00726007"/>
    <w:rsid w:val="007273FE"/>
    <w:rsid w:val="007276F7"/>
    <w:rsid w:val="007312E9"/>
    <w:rsid w:val="0073225F"/>
    <w:rsid w:val="0073330E"/>
    <w:rsid w:val="0073587D"/>
    <w:rsid w:val="00735BFA"/>
    <w:rsid w:val="0074158A"/>
    <w:rsid w:val="007517F3"/>
    <w:rsid w:val="00752DA6"/>
    <w:rsid w:val="00753195"/>
    <w:rsid w:val="007543C5"/>
    <w:rsid w:val="00754FCE"/>
    <w:rsid w:val="007554FD"/>
    <w:rsid w:val="00755DCA"/>
    <w:rsid w:val="00757558"/>
    <w:rsid w:val="00757B16"/>
    <w:rsid w:val="00762298"/>
    <w:rsid w:val="007644A9"/>
    <w:rsid w:val="00764919"/>
    <w:rsid w:val="007660D5"/>
    <w:rsid w:val="007669D5"/>
    <w:rsid w:val="00774016"/>
    <w:rsid w:val="00777609"/>
    <w:rsid w:val="0078062C"/>
    <w:rsid w:val="00781055"/>
    <w:rsid w:val="0078668C"/>
    <w:rsid w:val="00787F7C"/>
    <w:rsid w:val="0079406F"/>
    <w:rsid w:val="00795994"/>
    <w:rsid w:val="00797259"/>
    <w:rsid w:val="007978BE"/>
    <w:rsid w:val="007A0950"/>
    <w:rsid w:val="007A0F39"/>
    <w:rsid w:val="007A25D0"/>
    <w:rsid w:val="007B18CA"/>
    <w:rsid w:val="007B2D3A"/>
    <w:rsid w:val="007B417F"/>
    <w:rsid w:val="007B5E28"/>
    <w:rsid w:val="007B6072"/>
    <w:rsid w:val="007B62B3"/>
    <w:rsid w:val="007C1835"/>
    <w:rsid w:val="007C1C9F"/>
    <w:rsid w:val="007C5C10"/>
    <w:rsid w:val="007C6014"/>
    <w:rsid w:val="007C69C6"/>
    <w:rsid w:val="007C6DD5"/>
    <w:rsid w:val="007C78BE"/>
    <w:rsid w:val="007D103D"/>
    <w:rsid w:val="007D10BF"/>
    <w:rsid w:val="007D19A5"/>
    <w:rsid w:val="007D32B3"/>
    <w:rsid w:val="007D49CB"/>
    <w:rsid w:val="007D5AB3"/>
    <w:rsid w:val="007E1BAC"/>
    <w:rsid w:val="007E2B67"/>
    <w:rsid w:val="007E40D7"/>
    <w:rsid w:val="007E7942"/>
    <w:rsid w:val="007F0E5C"/>
    <w:rsid w:val="007F3A51"/>
    <w:rsid w:val="007F6FCA"/>
    <w:rsid w:val="00800E05"/>
    <w:rsid w:val="00802999"/>
    <w:rsid w:val="00804A9E"/>
    <w:rsid w:val="008056D8"/>
    <w:rsid w:val="00806DF1"/>
    <w:rsid w:val="008127EF"/>
    <w:rsid w:val="00812C0A"/>
    <w:rsid w:val="0081440B"/>
    <w:rsid w:val="0081503F"/>
    <w:rsid w:val="00815930"/>
    <w:rsid w:val="00815A01"/>
    <w:rsid w:val="00821E10"/>
    <w:rsid w:val="0082272D"/>
    <w:rsid w:val="00822D74"/>
    <w:rsid w:val="00822E43"/>
    <w:rsid w:val="008246CD"/>
    <w:rsid w:val="00831552"/>
    <w:rsid w:val="00831573"/>
    <w:rsid w:val="00831C00"/>
    <w:rsid w:val="00834765"/>
    <w:rsid w:val="0083680E"/>
    <w:rsid w:val="0084092A"/>
    <w:rsid w:val="00847948"/>
    <w:rsid w:val="00850C68"/>
    <w:rsid w:val="00855413"/>
    <w:rsid w:val="00856DCD"/>
    <w:rsid w:val="0085764B"/>
    <w:rsid w:val="00861289"/>
    <w:rsid w:val="008625F6"/>
    <w:rsid w:val="008656F0"/>
    <w:rsid w:val="0086606C"/>
    <w:rsid w:val="00866EAE"/>
    <w:rsid w:val="008673F5"/>
    <w:rsid w:val="00872AB4"/>
    <w:rsid w:val="00875F02"/>
    <w:rsid w:val="0087666F"/>
    <w:rsid w:val="00876D1E"/>
    <w:rsid w:val="00876EE9"/>
    <w:rsid w:val="00883839"/>
    <w:rsid w:val="0088395C"/>
    <w:rsid w:val="00886957"/>
    <w:rsid w:val="00886DB0"/>
    <w:rsid w:val="00890354"/>
    <w:rsid w:val="00892455"/>
    <w:rsid w:val="0089499B"/>
    <w:rsid w:val="00895FFC"/>
    <w:rsid w:val="00897641"/>
    <w:rsid w:val="008977F7"/>
    <w:rsid w:val="008A1A6D"/>
    <w:rsid w:val="008A3365"/>
    <w:rsid w:val="008A6646"/>
    <w:rsid w:val="008A78B7"/>
    <w:rsid w:val="008B284B"/>
    <w:rsid w:val="008B29A7"/>
    <w:rsid w:val="008B2B23"/>
    <w:rsid w:val="008B4E20"/>
    <w:rsid w:val="008B667D"/>
    <w:rsid w:val="008B73FC"/>
    <w:rsid w:val="008C205C"/>
    <w:rsid w:val="008C2ED9"/>
    <w:rsid w:val="008C705F"/>
    <w:rsid w:val="008C764C"/>
    <w:rsid w:val="008C7795"/>
    <w:rsid w:val="008D14D2"/>
    <w:rsid w:val="008D20EB"/>
    <w:rsid w:val="008D214F"/>
    <w:rsid w:val="008D2481"/>
    <w:rsid w:val="008D2E22"/>
    <w:rsid w:val="008D4DA3"/>
    <w:rsid w:val="008D5BAD"/>
    <w:rsid w:val="008E16F2"/>
    <w:rsid w:val="008E6991"/>
    <w:rsid w:val="008F0194"/>
    <w:rsid w:val="008F0477"/>
    <w:rsid w:val="008F1192"/>
    <w:rsid w:val="008F5BC4"/>
    <w:rsid w:val="008F6C22"/>
    <w:rsid w:val="00901C06"/>
    <w:rsid w:val="009061A9"/>
    <w:rsid w:val="00907F03"/>
    <w:rsid w:val="00912643"/>
    <w:rsid w:val="00912A0A"/>
    <w:rsid w:val="00913BC9"/>
    <w:rsid w:val="00914E9B"/>
    <w:rsid w:val="00916DDF"/>
    <w:rsid w:val="0091704D"/>
    <w:rsid w:val="00922195"/>
    <w:rsid w:val="0092245C"/>
    <w:rsid w:val="009227A1"/>
    <w:rsid w:val="0092296C"/>
    <w:rsid w:val="00924D04"/>
    <w:rsid w:val="00925CDA"/>
    <w:rsid w:val="00926E0F"/>
    <w:rsid w:val="0093244F"/>
    <w:rsid w:val="00932E4E"/>
    <w:rsid w:val="00934FAD"/>
    <w:rsid w:val="00943381"/>
    <w:rsid w:val="00943CA0"/>
    <w:rsid w:val="0094487D"/>
    <w:rsid w:val="009449E2"/>
    <w:rsid w:val="0095280A"/>
    <w:rsid w:val="009530CA"/>
    <w:rsid w:val="0095316D"/>
    <w:rsid w:val="0095362A"/>
    <w:rsid w:val="00956F56"/>
    <w:rsid w:val="00956FF7"/>
    <w:rsid w:val="0096129D"/>
    <w:rsid w:val="009631DA"/>
    <w:rsid w:val="00964DF8"/>
    <w:rsid w:val="00967982"/>
    <w:rsid w:val="009742AC"/>
    <w:rsid w:val="009760B9"/>
    <w:rsid w:val="009760CD"/>
    <w:rsid w:val="0097622D"/>
    <w:rsid w:val="009763C7"/>
    <w:rsid w:val="00980078"/>
    <w:rsid w:val="009806FD"/>
    <w:rsid w:val="00981EA3"/>
    <w:rsid w:val="0098348E"/>
    <w:rsid w:val="00984C26"/>
    <w:rsid w:val="009859B6"/>
    <w:rsid w:val="00987E49"/>
    <w:rsid w:val="00992124"/>
    <w:rsid w:val="00995AF8"/>
    <w:rsid w:val="00996BA0"/>
    <w:rsid w:val="009A1BB5"/>
    <w:rsid w:val="009A26B1"/>
    <w:rsid w:val="009A2759"/>
    <w:rsid w:val="009A3005"/>
    <w:rsid w:val="009A3EA3"/>
    <w:rsid w:val="009A4798"/>
    <w:rsid w:val="009A7BEB"/>
    <w:rsid w:val="009B23CF"/>
    <w:rsid w:val="009B284B"/>
    <w:rsid w:val="009B3243"/>
    <w:rsid w:val="009B387C"/>
    <w:rsid w:val="009B56CD"/>
    <w:rsid w:val="009C64F1"/>
    <w:rsid w:val="009C7910"/>
    <w:rsid w:val="009D19F1"/>
    <w:rsid w:val="009D41B5"/>
    <w:rsid w:val="009D5482"/>
    <w:rsid w:val="009D63A9"/>
    <w:rsid w:val="009D7D66"/>
    <w:rsid w:val="009D7F3A"/>
    <w:rsid w:val="009E0900"/>
    <w:rsid w:val="009E4FEC"/>
    <w:rsid w:val="009E5EFD"/>
    <w:rsid w:val="009E741E"/>
    <w:rsid w:val="009F2332"/>
    <w:rsid w:val="009F3ECA"/>
    <w:rsid w:val="009F6B6F"/>
    <w:rsid w:val="009F7A92"/>
    <w:rsid w:val="00A03E4B"/>
    <w:rsid w:val="00A04D06"/>
    <w:rsid w:val="00A068B6"/>
    <w:rsid w:val="00A07175"/>
    <w:rsid w:val="00A1058C"/>
    <w:rsid w:val="00A1176E"/>
    <w:rsid w:val="00A11825"/>
    <w:rsid w:val="00A166F9"/>
    <w:rsid w:val="00A16769"/>
    <w:rsid w:val="00A23A72"/>
    <w:rsid w:val="00A25A19"/>
    <w:rsid w:val="00A2666B"/>
    <w:rsid w:val="00A33418"/>
    <w:rsid w:val="00A34013"/>
    <w:rsid w:val="00A341A0"/>
    <w:rsid w:val="00A34FA4"/>
    <w:rsid w:val="00A37003"/>
    <w:rsid w:val="00A41524"/>
    <w:rsid w:val="00A42C35"/>
    <w:rsid w:val="00A43616"/>
    <w:rsid w:val="00A43F6B"/>
    <w:rsid w:val="00A46EF9"/>
    <w:rsid w:val="00A56E1A"/>
    <w:rsid w:val="00A57D6A"/>
    <w:rsid w:val="00A61F60"/>
    <w:rsid w:val="00A65F0E"/>
    <w:rsid w:val="00A717FD"/>
    <w:rsid w:val="00A71D5D"/>
    <w:rsid w:val="00A743B9"/>
    <w:rsid w:val="00A76C13"/>
    <w:rsid w:val="00A82029"/>
    <w:rsid w:val="00A853EA"/>
    <w:rsid w:val="00A86CF4"/>
    <w:rsid w:val="00A908B2"/>
    <w:rsid w:val="00A909B2"/>
    <w:rsid w:val="00A915E6"/>
    <w:rsid w:val="00A91950"/>
    <w:rsid w:val="00A935E0"/>
    <w:rsid w:val="00AA31E4"/>
    <w:rsid w:val="00AA7B27"/>
    <w:rsid w:val="00AA7DF6"/>
    <w:rsid w:val="00AB1025"/>
    <w:rsid w:val="00AB104E"/>
    <w:rsid w:val="00AB1192"/>
    <w:rsid w:val="00AB2822"/>
    <w:rsid w:val="00AB2F82"/>
    <w:rsid w:val="00AB3CF5"/>
    <w:rsid w:val="00AB747F"/>
    <w:rsid w:val="00AB78E1"/>
    <w:rsid w:val="00AC1BB3"/>
    <w:rsid w:val="00AC1C7B"/>
    <w:rsid w:val="00AC21DD"/>
    <w:rsid w:val="00AC2994"/>
    <w:rsid w:val="00AC430E"/>
    <w:rsid w:val="00AC67B8"/>
    <w:rsid w:val="00AD0847"/>
    <w:rsid w:val="00AD1B71"/>
    <w:rsid w:val="00AD1BCD"/>
    <w:rsid w:val="00AD330C"/>
    <w:rsid w:val="00AD3DC3"/>
    <w:rsid w:val="00AD4DAA"/>
    <w:rsid w:val="00AD4E4F"/>
    <w:rsid w:val="00AD5BAD"/>
    <w:rsid w:val="00AD7B40"/>
    <w:rsid w:val="00AE0E41"/>
    <w:rsid w:val="00AE3B64"/>
    <w:rsid w:val="00AE5387"/>
    <w:rsid w:val="00AE70E6"/>
    <w:rsid w:val="00AF2C2E"/>
    <w:rsid w:val="00AF373F"/>
    <w:rsid w:val="00AF4831"/>
    <w:rsid w:val="00AF5D2F"/>
    <w:rsid w:val="00AF6D62"/>
    <w:rsid w:val="00B00FD6"/>
    <w:rsid w:val="00B01E2E"/>
    <w:rsid w:val="00B0226B"/>
    <w:rsid w:val="00B03CC6"/>
    <w:rsid w:val="00B0512F"/>
    <w:rsid w:val="00B05799"/>
    <w:rsid w:val="00B06054"/>
    <w:rsid w:val="00B062A8"/>
    <w:rsid w:val="00B07345"/>
    <w:rsid w:val="00B07773"/>
    <w:rsid w:val="00B079FC"/>
    <w:rsid w:val="00B1264D"/>
    <w:rsid w:val="00B1394E"/>
    <w:rsid w:val="00B155CF"/>
    <w:rsid w:val="00B15F46"/>
    <w:rsid w:val="00B16ADE"/>
    <w:rsid w:val="00B17732"/>
    <w:rsid w:val="00B17796"/>
    <w:rsid w:val="00B21511"/>
    <w:rsid w:val="00B215A4"/>
    <w:rsid w:val="00B24855"/>
    <w:rsid w:val="00B24B7A"/>
    <w:rsid w:val="00B25D56"/>
    <w:rsid w:val="00B34423"/>
    <w:rsid w:val="00B35765"/>
    <w:rsid w:val="00B3596B"/>
    <w:rsid w:val="00B35D17"/>
    <w:rsid w:val="00B42337"/>
    <w:rsid w:val="00B42734"/>
    <w:rsid w:val="00B43F6D"/>
    <w:rsid w:val="00B45B89"/>
    <w:rsid w:val="00B4687E"/>
    <w:rsid w:val="00B50F41"/>
    <w:rsid w:val="00B51BD5"/>
    <w:rsid w:val="00B51E0F"/>
    <w:rsid w:val="00B53221"/>
    <w:rsid w:val="00B53E62"/>
    <w:rsid w:val="00B63D67"/>
    <w:rsid w:val="00B6536C"/>
    <w:rsid w:val="00B655AD"/>
    <w:rsid w:val="00B6591D"/>
    <w:rsid w:val="00B65A7E"/>
    <w:rsid w:val="00B70375"/>
    <w:rsid w:val="00B70653"/>
    <w:rsid w:val="00B72342"/>
    <w:rsid w:val="00B7662E"/>
    <w:rsid w:val="00B76F99"/>
    <w:rsid w:val="00B82E19"/>
    <w:rsid w:val="00B82F3A"/>
    <w:rsid w:val="00B854AD"/>
    <w:rsid w:val="00B85F03"/>
    <w:rsid w:val="00B874A6"/>
    <w:rsid w:val="00B91400"/>
    <w:rsid w:val="00B96490"/>
    <w:rsid w:val="00BA23F2"/>
    <w:rsid w:val="00BA7149"/>
    <w:rsid w:val="00BB22DF"/>
    <w:rsid w:val="00BB5510"/>
    <w:rsid w:val="00BC2E5E"/>
    <w:rsid w:val="00BC3CC3"/>
    <w:rsid w:val="00BC4623"/>
    <w:rsid w:val="00BC7B3E"/>
    <w:rsid w:val="00BD0AA7"/>
    <w:rsid w:val="00BD661A"/>
    <w:rsid w:val="00BD734A"/>
    <w:rsid w:val="00BD7760"/>
    <w:rsid w:val="00BE0836"/>
    <w:rsid w:val="00BE3CE7"/>
    <w:rsid w:val="00BE4603"/>
    <w:rsid w:val="00BE4CB4"/>
    <w:rsid w:val="00BE4FD2"/>
    <w:rsid w:val="00BF12E6"/>
    <w:rsid w:val="00BF2605"/>
    <w:rsid w:val="00BF53FF"/>
    <w:rsid w:val="00BF5A2A"/>
    <w:rsid w:val="00BF5E29"/>
    <w:rsid w:val="00C01CD1"/>
    <w:rsid w:val="00C038FE"/>
    <w:rsid w:val="00C04266"/>
    <w:rsid w:val="00C04C63"/>
    <w:rsid w:val="00C04DBD"/>
    <w:rsid w:val="00C06A57"/>
    <w:rsid w:val="00C079FB"/>
    <w:rsid w:val="00C11C12"/>
    <w:rsid w:val="00C14D46"/>
    <w:rsid w:val="00C169B2"/>
    <w:rsid w:val="00C16E58"/>
    <w:rsid w:val="00C22424"/>
    <w:rsid w:val="00C23D1E"/>
    <w:rsid w:val="00C25DF5"/>
    <w:rsid w:val="00C25FE5"/>
    <w:rsid w:val="00C270C4"/>
    <w:rsid w:val="00C3181D"/>
    <w:rsid w:val="00C31BBC"/>
    <w:rsid w:val="00C31D49"/>
    <w:rsid w:val="00C31F7C"/>
    <w:rsid w:val="00C344F9"/>
    <w:rsid w:val="00C34C70"/>
    <w:rsid w:val="00C355F2"/>
    <w:rsid w:val="00C373FA"/>
    <w:rsid w:val="00C4001F"/>
    <w:rsid w:val="00C42254"/>
    <w:rsid w:val="00C437E1"/>
    <w:rsid w:val="00C465BB"/>
    <w:rsid w:val="00C511B5"/>
    <w:rsid w:val="00C51DF1"/>
    <w:rsid w:val="00C5238B"/>
    <w:rsid w:val="00C52A2F"/>
    <w:rsid w:val="00C53758"/>
    <w:rsid w:val="00C57432"/>
    <w:rsid w:val="00C60656"/>
    <w:rsid w:val="00C606C6"/>
    <w:rsid w:val="00C6370F"/>
    <w:rsid w:val="00C64333"/>
    <w:rsid w:val="00C65FAA"/>
    <w:rsid w:val="00C72058"/>
    <w:rsid w:val="00C75973"/>
    <w:rsid w:val="00C75E5E"/>
    <w:rsid w:val="00C76F8C"/>
    <w:rsid w:val="00C8063D"/>
    <w:rsid w:val="00C8216C"/>
    <w:rsid w:val="00C83378"/>
    <w:rsid w:val="00C83821"/>
    <w:rsid w:val="00C840FC"/>
    <w:rsid w:val="00C874E6"/>
    <w:rsid w:val="00C87A5B"/>
    <w:rsid w:val="00C90AEA"/>
    <w:rsid w:val="00C97537"/>
    <w:rsid w:val="00CA0D24"/>
    <w:rsid w:val="00CA2C16"/>
    <w:rsid w:val="00CA2C7C"/>
    <w:rsid w:val="00CA43CD"/>
    <w:rsid w:val="00CA65E7"/>
    <w:rsid w:val="00CA7B2B"/>
    <w:rsid w:val="00CB0705"/>
    <w:rsid w:val="00CB268C"/>
    <w:rsid w:val="00CB3114"/>
    <w:rsid w:val="00CB442A"/>
    <w:rsid w:val="00CB4F33"/>
    <w:rsid w:val="00CB6442"/>
    <w:rsid w:val="00CC25D1"/>
    <w:rsid w:val="00CC677B"/>
    <w:rsid w:val="00CD3416"/>
    <w:rsid w:val="00CD5503"/>
    <w:rsid w:val="00CD79E1"/>
    <w:rsid w:val="00CE1164"/>
    <w:rsid w:val="00CE3B53"/>
    <w:rsid w:val="00CE5551"/>
    <w:rsid w:val="00CE799D"/>
    <w:rsid w:val="00CF07A8"/>
    <w:rsid w:val="00CF27D2"/>
    <w:rsid w:val="00CF2979"/>
    <w:rsid w:val="00CF6129"/>
    <w:rsid w:val="00CF6DA5"/>
    <w:rsid w:val="00CF735C"/>
    <w:rsid w:val="00D00909"/>
    <w:rsid w:val="00D03DC8"/>
    <w:rsid w:val="00D060BE"/>
    <w:rsid w:val="00D11186"/>
    <w:rsid w:val="00D11DD1"/>
    <w:rsid w:val="00D12929"/>
    <w:rsid w:val="00D12AC7"/>
    <w:rsid w:val="00D13FA1"/>
    <w:rsid w:val="00D163B9"/>
    <w:rsid w:val="00D21166"/>
    <w:rsid w:val="00D24748"/>
    <w:rsid w:val="00D25D0A"/>
    <w:rsid w:val="00D30FB0"/>
    <w:rsid w:val="00D346B0"/>
    <w:rsid w:val="00D37F27"/>
    <w:rsid w:val="00D41054"/>
    <w:rsid w:val="00D4187E"/>
    <w:rsid w:val="00D41C37"/>
    <w:rsid w:val="00D41F98"/>
    <w:rsid w:val="00D431A7"/>
    <w:rsid w:val="00D4485D"/>
    <w:rsid w:val="00D4649A"/>
    <w:rsid w:val="00D5055D"/>
    <w:rsid w:val="00D50730"/>
    <w:rsid w:val="00D52BA2"/>
    <w:rsid w:val="00D5406A"/>
    <w:rsid w:val="00D61D18"/>
    <w:rsid w:val="00D6297A"/>
    <w:rsid w:val="00D645E5"/>
    <w:rsid w:val="00D66DC1"/>
    <w:rsid w:val="00D67491"/>
    <w:rsid w:val="00D678B7"/>
    <w:rsid w:val="00D710FC"/>
    <w:rsid w:val="00D729F9"/>
    <w:rsid w:val="00D73917"/>
    <w:rsid w:val="00D747ED"/>
    <w:rsid w:val="00D74C49"/>
    <w:rsid w:val="00D772D3"/>
    <w:rsid w:val="00D7766C"/>
    <w:rsid w:val="00D80344"/>
    <w:rsid w:val="00D82593"/>
    <w:rsid w:val="00D85ECC"/>
    <w:rsid w:val="00D86381"/>
    <w:rsid w:val="00D904BF"/>
    <w:rsid w:val="00D9105B"/>
    <w:rsid w:val="00D91667"/>
    <w:rsid w:val="00D9447A"/>
    <w:rsid w:val="00D978E9"/>
    <w:rsid w:val="00DA2981"/>
    <w:rsid w:val="00DA2DBE"/>
    <w:rsid w:val="00DA54F9"/>
    <w:rsid w:val="00DA57AA"/>
    <w:rsid w:val="00DA6489"/>
    <w:rsid w:val="00DA6670"/>
    <w:rsid w:val="00DB2980"/>
    <w:rsid w:val="00DB29EA"/>
    <w:rsid w:val="00DB419D"/>
    <w:rsid w:val="00DB4F88"/>
    <w:rsid w:val="00DB56F8"/>
    <w:rsid w:val="00DB7BFA"/>
    <w:rsid w:val="00DC0F5F"/>
    <w:rsid w:val="00DC2B03"/>
    <w:rsid w:val="00DC423A"/>
    <w:rsid w:val="00DC4523"/>
    <w:rsid w:val="00DC5AA5"/>
    <w:rsid w:val="00DC5DD4"/>
    <w:rsid w:val="00DD02B7"/>
    <w:rsid w:val="00DD0A20"/>
    <w:rsid w:val="00DD0C65"/>
    <w:rsid w:val="00DD15DD"/>
    <w:rsid w:val="00DD30F2"/>
    <w:rsid w:val="00DD47BD"/>
    <w:rsid w:val="00DD4EE1"/>
    <w:rsid w:val="00DD62D5"/>
    <w:rsid w:val="00DD7098"/>
    <w:rsid w:val="00DD7516"/>
    <w:rsid w:val="00DE0877"/>
    <w:rsid w:val="00DE32E4"/>
    <w:rsid w:val="00DE6FD8"/>
    <w:rsid w:val="00DF0E10"/>
    <w:rsid w:val="00DF27A6"/>
    <w:rsid w:val="00DF2A34"/>
    <w:rsid w:val="00DF2FAB"/>
    <w:rsid w:val="00DF4FA9"/>
    <w:rsid w:val="00DF51CA"/>
    <w:rsid w:val="00DF782A"/>
    <w:rsid w:val="00E007B5"/>
    <w:rsid w:val="00E01083"/>
    <w:rsid w:val="00E03482"/>
    <w:rsid w:val="00E05B80"/>
    <w:rsid w:val="00E064CF"/>
    <w:rsid w:val="00E070D6"/>
    <w:rsid w:val="00E10258"/>
    <w:rsid w:val="00E1075D"/>
    <w:rsid w:val="00E116DA"/>
    <w:rsid w:val="00E126AF"/>
    <w:rsid w:val="00E12904"/>
    <w:rsid w:val="00E12C2B"/>
    <w:rsid w:val="00E13913"/>
    <w:rsid w:val="00E1397C"/>
    <w:rsid w:val="00E15B89"/>
    <w:rsid w:val="00E15E7A"/>
    <w:rsid w:val="00E17141"/>
    <w:rsid w:val="00E17922"/>
    <w:rsid w:val="00E17AAF"/>
    <w:rsid w:val="00E20DBE"/>
    <w:rsid w:val="00E2227D"/>
    <w:rsid w:val="00E24A48"/>
    <w:rsid w:val="00E2572C"/>
    <w:rsid w:val="00E25909"/>
    <w:rsid w:val="00E278EF"/>
    <w:rsid w:val="00E30244"/>
    <w:rsid w:val="00E31C79"/>
    <w:rsid w:val="00E33061"/>
    <w:rsid w:val="00E348BF"/>
    <w:rsid w:val="00E4080C"/>
    <w:rsid w:val="00E41FC5"/>
    <w:rsid w:val="00E42B52"/>
    <w:rsid w:val="00E44C53"/>
    <w:rsid w:val="00E44D4F"/>
    <w:rsid w:val="00E45165"/>
    <w:rsid w:val="00E4555B"/>
    <w:rsid w:val="00E470B9"/>
    <w:rsid w:val="00E47150"/>
    <w:rsid w:val="00E50537"/>
    <w:rsid w:val="00E50873"/>
    <w:rsid w:val="00E509D7"/>
    <w:rsid w:val="00E51777"/>
    <w:rsid w:val="00E52531"/>
    <w:rsid w:val="00E53902"/>
    <w:rsid w:val="00E5591E"/>
    <w:rsid w:val="00E55F4A"/>
    <w:rsid w:val="00E5636F"/>
    <w:rsid w:val="00E5682F"/>
    <w:rsid w:val="00E56FAE"/>
    <w:rsid w:val="00E57565"/>
    <w:rsid w:val="00E60275"/>
    <w:rsid w:val="00E60318"/>
    <w:rsid w:val="00E619AC"/>
    <w:rsid w:val="00E61ADF"/>
    <w:rsid w:val="00E671E8"/>
    <w:rsid w:val="00E6743C"/>
    <w:rsid w:val="00E676BA"/>
    <w:rsid w:val="00E72FF8"/>
    <w:rsid w:val="00E81569"/>
    <w:rsid w:val="00E81AB1"/>
    <w:rsid w:val="00E900DE"/>
    <w:rsid w:val="00E91CF7"/>
    <w:rsid w:val="00E93F70"/>
    <w:rsid w:val="00E9461A"/>
    <w:rsid w:val="00E9534F"/>
    <w:rsid w:val="00EA12B5"/>
    <w:rsid w:val="00EA293D"/>
    <w:rsid w:val="00EA3B25"/>
    <w:rsid w:val="00EA4229"/>
    <w:rsid w:val="00EA4C85"/>
    <w:rsid w:val="00EA4FC4"/>
    <w:rsid w:val="00EA5E3A"/>
    <w:rsid w:val="00EB223D"/>
    <w:rsid w:val="00EB2393"/>
    <w:rsid w:val="00EB2C33"/>
    <w:rsid w:val="00EB319C"/>
    <w:rsid w:val="00EB516F"/>
    <w:rsid w:val="00EB5A43"/>
    <w:rsid w:val="00EB755A"/>
    <w:rsid w:val="00EC01D7"/>
    <w:rsid w:val="00EC24FA"/>
    <w:rsid w:val="00EC251B"/>
    <w:rsid w:val="00EC5890"/>
    <w:rsid w:val="00EC5A92"/>
    <w:rsid w:val="00EC5E26"/>
    <w:rsid w:val="00EC63A4"/>
    <w:rsid w:val="00EC7203"/>
    <w:rsid w:val="00EC7E2D"/>
    <w:rsid w:val="00ED37E8"/>
    <w:rsid w:val="00ED550D"/>
    <w:rsid w:val="00EE0468"/>
    <w:rsid w:val="00EE0479"/>
    <w:rsid w:val="00EE2BEB"/>
    <w:rsid w:val="00EE2E8C"/>
    <w:rsid w:val="00EE3369"/>
    <w:rsid w:val="00EE3A44"/>
    <w:rsid w:val="00EE429D"/>
    <w:rsid w:val="00EE495A"/>
    <w:rsid w:val="00EE55C4"/>
    <w:rsid w:val="00EE7188"/>
    <w:rsid w:val="00EE73BA"/>
    <w:rsid w:val="00EF1EB9"/>
    <w:rsid w:val="00EF39F3"/>
    <w:rsid w:val="00F02B31"/>
    <w:rsid w:val="00F03352"/>
    <w:rsid w:val="00F07BF1"/>
    <w:rsid w:val="00F104C3"/>
    <w:rsid w:val="00F11711"/>
    <w:rsid w:val="00F13A91"/>
    <w:rsid w:val="00F15BDD"/>
    <w:rsid w:val="00F16271"/>
    <w:rsid w:val="00F1636F"/>
    <w:rsid w:val="00F1765A"/>
    <w:rsid w:val="00F21C02"/>
    <w:rsid w:val="00F22584"/>
    <w:rsid w:val="00F24903"/>
    <w:rsid w:val="00F26C0C"/>
    <w:rsid w:val="00F27076"/>
    <w:rsid w:val="00F3183F"/>
    <w:rsid w:val="00F36107"/>
    <w:rsid w:val="00F433CE"/>
    <w:rsid w:val="00F4437D"/>
    <w:rsid w:val="00F46176"/>
    <w:rsid w:val="00F47B52"/>
    <w:rsid w:val="00F501C0"/>
    <w:rsid w:val="00F501F9"/>
    <w:rsid w:val="00F50CE4"/>
    <w:rsid w:val="00F512A3"/>
    <w:rsid w:val="00F513D2"/>
    <w:rsid w:val="00F521B8"/>
    <w:rsid w:val="00F56893"/>
    <w:rsid w:val="00F571E1"/>
    <w:rsid w:val="00F57E38"/>
    <w:rsid w:val="00F61CC5"/>
    <w:rsid w:val="00F63B77"/>
    <w:rsid w:val="00F64034"/>
    <w:rsid w:val="00F669BC"/>
    <w:rsid w:val="00F66C0F"/>
    <w:rsid w:val="00F72064"/>
    <w:rsid w:val="00F7525F"/>
    <w:rsid w:val="00F763A8"/>
    <w:rsid w:val="00F767C9"/>
    <w:rsid w:val="00F805C5"/>
    <w:rsid w:val="00F819A2"/>
    <w:rsid w:val="00F82381"/>
    <w:rsid w:val="00F8520F"/>
    <w:rsid w:val="00F85A9D"/>
    <w:rsid w:val="00F87019"/>
    <w:rsid w:val="00F914A9"/>
    <w:rsid w:val="00F937AB"/>
    <w:rsid w:val="00F93B38"/>
    <w:rsid w:val="00FA13E8"/>
    <w:rsid w:val="00FA1EB9"/>
    <w:rsid w:val="00FA59A9"/>
    <w:rsid w:val="00FA7D41"/>
    <w:rsid w:val="00FB0155"/>
    <w:rsid w:val="00FB6BD6"/>
    <w:rsid w:val="00FB73EB"/>
    <w:rsid w:val="00FC0BE4"/>
    <w:rsid w:val="00FC2478"/>
    <w:rsid w:val="00FC3805"/>
    <w:rsid w:val="00FC49A4"/>
    <w:rsid w:val="00FC6DD6"/>
    <w:rsid w:val="00FD0C35"/>
    <w:rsid w:val="00FD525C"/>
    <w:rsid w:val="00FD5D4D"/>
    <w:rsid w:val="00FD7387"/>
    <w:rsid w:val="00FD765D"/>
    <w:rsid w:val="00FE039B"/>
    <w:rsid w:val="00FE134B"/>
    <w:rsid w:val="00FE1E44"/>
    <w:rsid w:val="00FE2A78"/>
    <w:rsid w:val="00FE3951"/>
    <w:rsid w:val="00FE3C21"/>
    <w:rsid w:val="00FE6416"/>
    <w:rsid w:val="00FE7DEB"/>
    <w:rsid w:val="00FF05D4"/>
    <w:rsid w:val="00FF289B"/>
    <w:rsid w:val="00FF657D"/>
    <w:rsid w:val="00FF65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3C420"/>
  <w15:chartTrackingRefBased/>
  <w15:docId w15:val="{8989127C-C3EE-4D81-8FB7-9A4DB93F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A7097"/>
    <w:pPr>
      <w:spacing w:before="100" w:beforeAutospacing="1" w:after="0" w:line="480" w:lineRule="auto"/>
      <w:outlineLvl w:val="0"/>
    </w:pPr>
    <w:rPr>
      <w:rFonts w:ascii="Arial" w:eastAsia="Times New Roman" w:hAnsi="Arial" w:cs="Arial"/>
      <w:b/>
      <w:bCs/>
      <w:kern w:val="36"/>
      <w:sz w:val="26"/>
      <w:szCs w:val="26"/>
      <w:lang w:val="en-US" w:eastAsia="da-DK"/>
    </w:rPr>
  </w:style>
  <w:style w:type="paragraph" w:styleId="Overskrift2">
    <w:name w:val="heading 2"/>
    <w:basedOn w:val="Normal"/>
    <w:next w:val="Normal"/>
    <w:link w:val="Overskrift2Tegn"/>
    <w:uiPriority w:val="9"/>
    <w:unhideWhenUsed/>
    <w:qFormat/>
    <w:rsid w:val="005931F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346B0"/>
    <w:pPr>
      <w:keepNext/>
      <w:keepLines/>
      <w:spacing w:before="40" w:after="0" w:line="360" w:lineRule="auto"/>
      <w:outlineLvl w:val="2"/>
    </w:pPr>
    <w:rPr>
      <w:rFonts w:ascii="Arial" w:eastAsiaTheme="majorEastAsia" w:hAnsi="Arial" w:cs="Arial"/>
      <w:b/>
      <w:color w:val="000000" w:themeColor="text1"/>
      <w:lang w:val="en-US"/>
    </w:rPr>
  </w:style>
  <w:style w:type="paragraph" w:styleId="Overskrift4">
    <w:name w:val="heading 4"/>
    <w:basedOn w:val="Normal"/>
    <w:next w:val="Normal"/>
    <w:link w:val="Overskrift4Tegn"/>
    <w:uiPriority w:val="9"/>
    <w:unhideWhenUsed/>
    <w:qFormat/>
    <w:rsid w:val="00D674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Overskrift3"/>
    <w:next w:val="Normal"/>
    <w:link w:val="Overskrift5Tegn"/>
    <w:uiPriority w:val="9"/>
    <w:unhideWhenUsed/>
    <w:qFormat/>
    <w:rsid w:val="00DC5DD4"/>
    <w:pPr>
      <w:pBdr>
        <w:bottom w:val="single" w:sz="12" w:space="1" w:color="808080" w:themeColor="background1" w:themeShade="80"/>
      </w:pBdr>
      <w:spacing w:after="240"/>
      <w:outlineLvl w:val="4"/>
    </w:pPr>
    <w:rPr>
      <w:b w:val="0"/>
      <w:noProof/>
      <w:spacing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A7097"/>
    <w:rPr>
      <w:rFonts w:ascii="Arial" w:eastAsia="Times New Roman" w:hAnsi="Arial" w:cs="Arial"/>
      <w:b/>
      <w:bCs/>
      <w:kern w:val="36"/>
      <w:sz w:val="26"/>
      <w:szCs w:val="26"/>
      <w:lang w:val="en-US" w:eastAsia="da-DK"/>
    </w:rPr>
  </w:style>
  <w:style w:type="character" w:customStyle="1" w:styleId="Overskrift3Tegn">
    <w:name w:val="Overskrift 3 Tegn"/>
    <w:basedOn w:val="Standardskrifttypeiafsnit"/>
    <w:link w:val="Overskrift3"/>
    <w:uiPriority w:val="9"/>
    <w:rsid w:val="00D346B0"/>
    <w:rPr>
      <w:rFonts w:ascii="Arial" w:eastAsiaTheme="majorEastAsia" w:hAnsi="Arial" w:cs="Arial"/>
      <w:b/>
      <w:color w:val="000000" w:themeColor="text1"/>
      <w:lang w:val="en-US"/>
    </w:rPr>
  </w:style>
  <w:style w:type="character" w:styleId="Kommentarhenvisning">
    <w:name w:val="annotation reference"/>
    <w:basedOn w:val="Standardskrifttypeiafsnit"/>
    <w:uiPriority w:val="99"/>
    <w:semiHidden/>
    <w:unhideWhenUsed/>
    <w:rsid w:val="005931F7"/>
    <w:rPr>
      <w:sz w:val="16"/>
      <w:szCs w:val="16"/>
    </w:rPr>
  </w:style>
  <w:style w:type="character" w:customStyle="1" w:styleId="Overskrift2Tegn">
    <w:name w:val="Overskrift 2 Tegn"/>
    <w:basedOn w:val="Standardskrifttypeiafsnit"/>
    <w:link w:val="Overskrift2"/>
    <w:uiPriority w:val="9"/>
    <w:rsid w:val="005931F7"/>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5931F7"/>
    <w:pPr>
      <w:spacing w:after="0" w:line="240" w:lineRule="auto"/>
      <w:ind w:left="720"/>
      <w:contextualSpacing/>
    </w:pPr>
    <w:rPr>
      <w:sz w:val="24"/>
      <w:szCs w:val="24"/>
    </w:rPr>
  </w:style>
  <w:style w:type="paragraph" w:styleId="Kommentartekst">
    <w:name w:val="annotation text"/>
    <w:basedOn w:val="Normal"/>
    <w:link w:val="KommentartekstTegn"/>
    <w:uiPriority w:val="99"/>
    <w:unhideWhenUsed/>
    <w:rsid w:val="005931F7"/>
    <w:pPr>
      <w:spacing w:after="240" w:line="240" w:lineRule="auto"/>
    </w:pPr>
    <w:rPr>
      <w:rFonts w:ascii="Times New Roman" w:hAnsi="Times New Roman" w:cs="Times New Roman"/>
      <w:sz w:val="20"/>
      <w:szCs w:val="20"/>
      <w:lang w:val="en-US"/>
    </w:rPr>
  </w:style>
  <w:style w:type="character" w:customStyle="1" w:styleId="KommentartekstTegn">
    <w:name w:val="Kommentartekst Tegn"/>
    <w:basedOn w:val="Standardskrifttypeiafsnit"/>
    <w:link w:val="Kommentartekst"/>
    <w:uiPriority w:val="99"/>
    <w:rsid w:val="005931F7"/>
    <w:rPr>
      <w:rFonts w:ascii="Times New Roman" w:hAnsi="Times New Roman" w:cs="Times New Roman"/>
      <w:sz w:val="20"/>
      <w:szCs w:val="20"/>
      <w:lang w:val="en-US"/>
    </w:rPr>
  </w:style>
  <w:style w:type="table" w:styleId="Tabel-Gitter">
    <w:name w:val="Table Grid"/>
    <w:basedOn w:val="Tabel-Normal"/>
    <w:uiPriority w:val="59"/>
    <w:rsid w:val="005931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31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5931F7"/>
    <w:pPr>
      <w:spacing w:after="0"/>
    </w:pPr>
    <w:rPr>
      <w:rFonts w:ascii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5931F7"/>
    <w:rPr>
      <w:rFonts w:ascii="Times New Roman" w:hAnsi="Times New Roman" w:cs="Times New Roman"/>
      <w:b/>
      <w:bCs/>
      <w:sz w:val="20"/>
      <w:szCs w:val="20"/>
      <w:lang w:val="en-US"/>
    </w:rPr>
  </w:style>
  <w:style w:type="paragraph" w:styleId="Korrektur">
    <w:name w:val="Revision"/>
    <w:hidden/>
    <w:uiPriority w:val="99"/>
    <w:semiHidden/>
    <w:rsid w:val="005931F7"/>
    <w:pPr>
      <w:spacing w:after="0" w:line="240" w:lineRule="auto"/>
    </w:pPr>
    <w:rPr>
      <w:sz w:val="24"/>
      <w:szCs w:val="24"/>
    </w:rPr>
  </w:style>
  <w:style w:type="paragraph" w:styleId="Markeringsbobletekst">
    <w:name w:val="Balloon Text"/>
    <w:basedOn w:val="Normal"/>
    <w:link w:val="MarkeringsbobletekstTegn"/>
    <w:uiPriority w:val="99"/>
    <w:semiHidden/>
    <w:unhideWhenUsed/>
    <w:rsid w:val="005931F7"/>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931F7"/>
    <w:rPr>
      <w:rFonts w:ascii="Times New Roman" w:hAnsi="Times New Roman" w:cs="Times New Roman"/>
      <w:sz w:val="18"/>
      <w:szCs w:val="18"/>
    </w:rPr>
  </w:style>
  <w:style w:type="paragraph" w:styleId="Sidefod">
    <w:name w:val="footer"/>
    <w:basedOn w:val="Normal"/>
    <w:link w:val="SidefodTegn"/>
    <w:uiPriority w:val="99"/>
    <w:unhideWhenUsed/>
    <w:rsid w:val="005931F7"/>
    <w:pPr>
      <w:tabs>
        <w:tab w:val="center" w:pos="4819"/>
        <w:tab w:val="right" w:pos="9638"/>
      </w:tabs>
      <w:spacing w:after="0" w:line="240" w:lineRule="auto"/>
    </w:pPr>
    <w:rPr>
      <w:sz w:val="24"/>
      <w:szCs w:val="24"/>
    </w:rPr>
  </w:style>
  <w:style w:type="character" w:customStyle="1" w:styleId="SidefodTegn">
    <w:name w:val="Sidefod Tegn"/>
    <w:basedOn w:val="Standardskrifttypeiafsnit"/>
    <w:link w:val="Sidefod"/>
    <w:uiPriority w:val="99"/>
    <w:rsid w:val="005931F7"/>
    <w:rPr>
      <w:sz w:val="24"/>
      <w:szCs w:val="24"/>
    </w:rPr>
  </w:style>
  <w:style w:type="character" w:styleId="Sidetal">
    <w:name w:val="page number"/>
    <w:basedOn w:val="Standardskrifttypeiafsnit"/>
    <w:uiPriority w:val="99"/>
    <w:semiHidden/>
    <w:unhideWhenUsed/>
    <w:rsid w:val="005931F7"/>
  </w:style>
  <w:style w:type="character" w:customStyle="1" w:styleId="apple-converted-space">
    <w:name w:val="apple-converted-space"/>
    <w:basedOn w:val="Standardskrifttypeiafsnit"/>
    <w:rsid w:val="005931F7"/>
  </w:style>
  <w:style w:type="table" w:styleId="Gittertabel1-lys">
    <w:name w:val="Grid Table 1 Light"/>
    <w:basedOn w:val="Tabel-Normal"/>
    <w:uiPriority w:val="46"/>
    <w:rsid w:val="005931F7"/>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Gitter1">
    <w:name w:val="Tabel - Gitter1"/>
    <w:basedOn w:val="Tabel-Normal"/>
    <w:next w:val="Tabel-Gitter"/>
    <w:uiPriority w:val="39"/>
    <w:rsid w:val="005931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931F7"/>
    <w:pPr>
      <w:tabs>
        <w:tab w:val="center" w:pos="4819"/>
        <w:tab w:val="right" w:pos="9638"/>
      </w:tabs>
      <w:spacing w:after="0" w:line="240" w:lineRule="auto"/>
    </w:pPr>
    <w:rPr>
      <w:sz w:val="24"/>
      <w:szCs w:val="24"/>
    </w:rPr>
  </w:style>
  <w:style w:type="character" w:customStyle="1" w:styleId="SidehovedTegn">
    <w:name w:val="Sidehoved Tegn"/>
    <w:basedOn w:val="Standardskrifttypeiafsnit"/>
    <w:link w:val="Sidehoved"/>
    <w:uiPriority w:val="99"/>
    <w:rsid w:val="005931F7"/>
    <w:rPr>
      <w:sz w:val="24"/>
      <w:szCs w:val="24"/>
    </w:rPr>
  </w:style>
  <w:style w:type="character" w:customStyle="1" w:styleId="title-text">
    <w:name w:val="title-text"/>
    <w:basedOn w:val="Standardskrifttypeiafsnit"/>
    <w:rsid w:val="005931F7"/>
  </w:style>
  <w:style w:type="character" w:customStyle="1" w:styleId="sr-only1">
    <w:name w:val="sr-only1"/>
    <w:basedOn w:val="Standardskrifttypeiafsnit"/>
    <w:rsid w:val="005931F7"/>
    <w:rPr>
      <w:bdr w:val="none" w:sz="0" w:space="0" w:color="auto" w:frame="1"/>
    </w:rPr>
  </w:style>
  <w:style w:type="character" w:customStyle="1" w:styleId="text2">
    <w:name w:val="text2"/>
    <w:basedOn w:val="Standardskrifttypeiafsnit"/>
    <w:rsid w:val="005931F7"/>
  </w:style>
  <w:style w:type="character" w:customStyle="1" w:styleId="author-ref">
    <w:name w:val="author-ref"/>
    <w:basedOn w:val="Standardskrifttypeiafsnit"/>
    <w:rsid w:val="005931F7"/>
  </w:style>
  <w:style w:type="character" w:styleId="Hyperlink">
    <w:name w:val="Hyperlink"/>
    <w:basedOn w:val="Standardskrifttypeiafsnit"/>
    <w:uiPriority w:val="99"/>
    <w:unhideWhenUsed/>
    <w:rsid w:val="005931F7"/>
    <w:rPr>
      <w:strike w:val="0"/>
      <w:dstrike w:val="0"/>
      <w:color w:val="555555"/>
      <w:u w:val="none"/>
      <w:effect w:val="none"/>
    </w:rPr>
  </w:style>
  <w:style w:type="paragraph" w:customStyle="1" w:styleId="Default">
    <w:name w:val="Default"/>
    <w:rsid w:val="009448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lstomtale1">
    <w:name w:val="Uløst omtale1"/>
    <w:basedOn w:val="Standardskrifttypeiafsnit"/>
    <w:uiPriority w:val="99"/>
    <w:semiHidden/>
    <w:unhideWhenUsed/>
    <w:rsid w:val="00C5238B"/>
    <w:rPr>
      <w:color w:val="605E5C"/>
      <w:shd w:val="clear" w:color="auto" w:fill="E1DFDD"/>
    </w:rPr>
  </w:style>
  <w:style w:type="paragraph" w:styleId="FormateretHTML">
    <w:name w:val="HTML Preformatted"/>
    <w:basedOn w:val="Normal"/>
    <w:link w:val="FormateretHTMLTegn"/>
    <w:uiPriority w:val="99"/>
    <w:semiHidden/>
    <w:unhideWhenUsed/>
    <w:rsid w:val="00C7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C75E5E"/>
    <w:rPr>
      <w:rFonts w:ascii="Courier New" w:eastAsia="Times New Roman" w:hAnsi="Courier New" w:cs="Courier New"/>
      <w:sz w:val="20"/>
      <w:szCs w:val="20"/>
      <w:lang w:eastAsia="da-DK"/>
    </w:rPr>
  </w:style>
  <w:style w:type="table" w:styleId="Almindeligtabel2">
    <w:name w:val="Plain Table 2"/>
    <w:basedOn w:val="Tabel-Normal"/>
    <w:uiPriority w:val="42"/>
    <w:rsid w:val="00DD4E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remhv">
    <w:name w:val="Emphasis"/>
    <w:basedOn w:val="Standardskrifttypeiafsnit"/>
    <w:uiPriority w:val="20"/>
    <w:qFormat/>
    <w:rsid w:val="00AC1C7B"/>
    <w:rPr>
      <w:i/>
      <w:iCs/>
    </w:rPr>
  </w:style>
  <w:style w:type="character" w:styleId="Strk">
    <w:name w:val="Strong"/>
    <w:basedOn w:val="Standardskrifttypeiafsnit"/>
    <w:uiPriority w:val="22"/>
    <w:qFormat/>
    <w:rsid w:val="0040676F"/>
    <w:rPr>
      <w:b/>
      <w:bCs/>
    </w:rPr>
  </w:style>
  <w:style w:type="character" w:styleId="Pladsholdertekst">
    <w:name w:val="Placeholder Text"/>
    <w:basedOn w:val="Standardskrifttypeiafsnit"/>
    <w:uiPriority w:val="99"/>
    <w:semiHidden/>
    <w:rsid w:val="00C53758"/>
    <w:rPr>
      <w:color w:val="808080"/>
    </w:rPr>
  </w:style>
  <w:style w:type="paragraph" w:styleId="Ingenafstand">
    <w:name w:val="No Spacing"/>
    <w:uiPriority w:val="1"/>
    <w:qFormat/>
    <w:rsid w:val="00A61F60"/>
    <w:pPr>
      <w:spacing w:after="0" w:line="240" w:lineRule="auto"/>
    </w:pPr>
  </w:style>
  <w:style w:type="character" w:customStyle="1" w:styleId="Overskrift4Tegn">
    <w:name w:val="Overskrift 4 Tegn"/>
    <w:basedOn w:val="Standardskrifttypeiafsnit"/>
    <w:link w:val="Overskrift4"/>
    <w:uiPriority w:val="9"/>
    <w:rsid w:val="00D67491"/>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rsid w:val="00DC5DD4"/>
    <w:rPr>
      <w:rFonts w:ascii="Arial" w:eastAsiaTheme="majorEastAsia" w:hAnsi="Arial" w:cs="Arial"/>
      <w:noProof/>
      <w:color w:val="000000" w:themeColor="text1"/>
      <w:spacing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349">
      <w:bodyDiv w:val="1"/>
      <w:marLeft w:val="0"/>
      <w:marRight w:val="0"/>
      <w:marTop w:val="0"/>
      <w:marBottom w:val="0"/>
      <w:divBdr>
        <w:top w:val="none" w:sz="0" w:space="0" w:color="auto"/>
        <w:left w:val="none" w:sz="0" w:space="0" w:color="auto"/>
        <w:bottom w:val="none" w:sz="0" w:space="0" w:color="auto"/>
        <w:right w:val="none" w:sz="0" w:space="0" w:color="auto"/>
      </w:divBdr>
    </w:div>
    <w:div w:id="34044118">
      <w:bodyDiv w:val="1"/>
      <w:marLeft w:val="0"/>
      <w:marRight w:val="0"/>
      <w:marTop w:val="0"/>
      <w:marBottom w:val="0"/>
      <w:divBdr>
        <w:top w:val="none" w:sz="0" w:space="0" w:color="auto"/>
        <w:left w:val="none" w:sz="0" w:space="0" w:color="auto"/>
        <w:bottom w:val="none" w:sz="0" w:space="0" w:color="auto"/>
        <w:right w:val="none" w:sz="0" w:space="0" w:color="auto"/>
      </w:divBdr>
    </w:div>
    <w:div w:id="100951385">
      <w:bodyDiv w:val="1"/>
      <w:marLeft w:val="0"/>
      <w:marRight w:val="0"/>
      <w:marTop w:val="0"/>
      <w:marBottom w:val="0"/>
      <w:divBdr>
        <w:top w:val="none" w:sz="0" w:space="0" w:color="auto"/>
        <w:left w:val="none" w:sz="0" w:space="0" w:color="auto"/>
        <w:bottom w:val="none" w:sz="0" w:space="0" w:color="auto"/>
        <w:right w:val="none" w:sz="0" w:space="0" w:color="auto"/>
      </w:divBdr>
    </w:div>
    <w:div w:id="214393171">
      <w:bodyDiv w:val="1"/>
      <w:marLeft w:val="0"/>
      <w:marRight w:val="0"/>
      <w:marTop w:val="0"/>
      <w:marBottom w:val="0"/>
      <w:divBdr>
        <w:top w:val="none" w:sz="0" w:space="0" w:color="auto"/>
        <w:left w:val="none" w:sz="0" w:space="0" w:color="auto"/>
        <w:bottom w:val="none" w:sz="0" w:space="0" w:color="auto"/>
        <w:right w:val="none" w:sz="0" w:space="0" w:color="auto"/>
      </w:divBdr>
    </w:div>
    <w:div w:id="245892860">
      <w:bodyDiv w:val="1"/>
      <w:marLeft w:val="0"/>
      <w:marRight w:val="0"/>
      <w:marTop w:val="0"/>
      <w:marBottom w:val="0"/>
      <w:divBdr>
        <w:top w:val="none" w:sz="0" w:space="0" w:color="auto"/>
        <w:left w:val="none" w:sz="0" w:space="0" w:color="auto"/>
        <w:bottom w:val="none" w:sz="0" w:space="0" w:color="auto"/>
        <w:right w:val="none" w:sz="0" w:space="0" w:color="auto"/>
      </w:divBdr>
    </w:div>
    <w:div w:id="247618842">
      <w:bodyDiv w:val="1"/>
      <w:marLeft w:val="0"/>
      <w:marRight w:val="0"/>
      <w:marTop w:val="0"/>
      <w:marBottom w:val="0"/>
      <w:divBdr>
        <w:top w:val="none" w:sz="0" w:space="0" w:color="auto"/>
        <w:left w:val="none" w:sz="0" w:space="0" w:color="auto"/>
        <w:bottom w:val="none" w:sz="0" w:space="0" w:color="auto"/>
        <w:right w:val="none" w:sz="0" w:space="0" w:color="auto"/>
      </w:divBdr>
    </w:div>
    <w:div w:id="400952960">
      <w:bodyDiv w:val="1"/>
      <w:marLeft w:val="0"/>
      <w:marRight w:val="0"/>
      <w:marTop w:val="0"/>
      <w:marBottom w:val="0"/>
      <w:divBdr>
        <w:top w:val="none" w:sz="0" w:space="0" w:color="auto"/>
        <w:left w:val="none" w:sz="0" w:space="0" w:color="auto"/>
        <w:bottom w:val="none" w:sz="0" w:space="0" w:color="auto"/>
        <w:right w:val="none" w:sz="0" w:space="0" w:color="auto"/>
      </w:divBdr>
    </w:div>
    <w:div w:id="581909601">
      <w:bodyDiv w:val="1"/>
      <w:marLeft w:val="0"/>
      <w:marRight w:val="0"/>
      <w:marTop w:val="0"/>
      <w:marBottom w:val="0"/>
      <w:divBdr>
        <w:top w:val="none" w:sz="0" w:space="0" w:color="auto"/>
        <w:left w:val="none" w:sz="0" w:space="0" w:color="auto"/>
        <w:bottom w:val="none" w:sz="0" w:space="0" w:color="auto"/>
        <w:right w:val="none" w:sz="0" w:space="0" w:color="auto"/>
      </w:divBdr>
    </w:div>
    <w:div w:id="725495461">
      <w:bodyDiv w:val="1"/>
      <w:marLeft w:val="0"/>
      <w:marRight w:val="0"/>
      <w:marTop w:val="0"/>
      <w:marBottom w:val="0"/>
      <w:divBdr>
        <w:top w:val="none" w:sz="0" w:space="0" w:color="auto"/>
        <w:left w:val="none" w:sz="0" w:space="0" w:color="auto"/>
        <w:bottom w:val="none" w:sz="0" w:space="0" w:color="auto"/>
        <w:right w:val="none" w:sz="0" w:space="0" w:color="auto"/>
      </w:divBdr>
    </w:div>
    <w:div w:id="790439627">
      <w:bodyDiv w:val="1"/>
      <w:marLeft w:val="0"/>
      <w:marRight w:val="0"/>
      <w:marTop w:val="0"/>
      <w:marBottom w:val="0"/>
      <w:divBdr>
        <w:top w:val="none" w:sz="0" w:space="0" w:color="auto"/>
        <w:left w:val="none" w:sz="0" w:space="0" w:color="auto"/>
        <w:bottom w:val="none" w:sz="0" w:space="0" w:color="auto"/>
        <w:right w:val="none" w:sz="0" w:space="0" w:color="auto"/>
      </w:divBdr>
    </w:div>
    <w:div w:id="827601163">
      <w:bodyDiv w:val="1"/>
      <w:marLeft w:val="0"/>
      <w:marRight w:val="0"/>
      <w:marTop w:val="0"/>
      <w:marBottom w:val="0"/>
      <w:divBdr>
        <w:top w:val="none" w:sz="0" w:space="0" w:color="auto"/>
        <w:left w:val="none" w:sz="0" w:space="0" w:color="auto"/>
        <w:bottom w:val="none" w:sz="0" w:space="0" w:color="auto"/>
        <w:right w:val="none" w:sz="0" w:space="0" w:color="auto"/>
      </w:divBdr>
    </w:div>
    <w:div w:id="850334114">
      <w:bodyDiv w:val="1"/>
      <w:marLeft w:val="0"/>
      <w:marRight w:val="0"/>
      <w:marTop w:val="0"/>
      <w:marBottom w:val="0"/>
      <w:divBdr>
        <w:top w:val="none" w:sz="0" w:space="0" w:color="auto"/>
        <w:left w:val="none" w:sz="0" w:space="0" w:color="auto"/>
        <w:bottom w:val="none" w:sz="0" w:space="0" w:color="auto"/>
        <w:right w:val="none" w:sz="0" w:space="0" w:color="auto"/>
      </w:divBdr>
    </w:div>
    <w:div w:id="934244993">
      <w:bodyDiv w:val="1"/>
      <w:marLeft w:val="0"/>
      <w:marRight w:val="0"/>
      <w:marTop w:val="0"/>
      <w:marBottom w:val="0"/>
      <w:divBdr>
        <w:top w:val="none" w:sz="0" w:space="0" w:color="auto"/>
        <w:left w:val="none" w:sz="0" w:space="0" w:color="auto"/>
        <w:bottom w:val="none" w:sz="0" w:space="0" w:color="auto"/>
        <w:right w:val="none" w:sz="0" w:space="0" w:color="auto"/>
      </w:divBdr>
    </w:div>
    <w:div w:id="979380133">
      <w:bodyDiv w:val="1"/>
      <w:marLeft w:val="0"/>
      <w:marRight w:val="0"/>
      <w:marTop w:val="0"/>
      <w:marBottom w:val="0"/>
      <w:divBdr>
        <w:top w:val="none" w:sz="0" w:space="0" w:color="auto"/>
        <w:left w:val="none" w:sz="0" w:space="0" w:color="auto"/>
        <w:bottom w:val="none" w:sz="0" w:space="0" w:color="auto"/>
        <w:right w:val="none" w:sz="0" w:space="0" w:color="auto"/>
      </w:divBdr>
    </w:div>
    <w:div w:id="1018309153">
      <w:bodyDiv w:val="1"/>
      <w:marLeft w:val="0"/>
      <w:marRight w:val="0"/>
      <w:marTop w:val="0"/>
      <w:marBottom w:val="0"/>
      <w:divBdr>
        <w:top w:val="none" w:sz="0" w:space="0" w:color="auto"/>
        <w:left w:val="none" w:sz="0" w:space="0" w:color="auto"/>
        <w:bottom w:val="none" w:sz="0" w:space="0" w:color="auto"/>
        <w:right w:val="none" w:sz="0" w:space="0" w:color="auto"/>
      </w:divBdr>
    </w:div>
    <w:div w:id="1049113091">
      <w:bodyDiv w:val="1"/>
      <w:marLeft w:val="0"/>
      <w:marRight w:val="0"/>
      <w:marTop w:val="0"/>
      <w:marBottom w:val="0"/>
      <w:divBdr>
        <w:top w:val="none" w:sz="0" w:space="0" w:color="auto"/>
        <w:left w:val="none" w:sz="0" w:space="0" w:color="auto"/>
        <w:bottom w:val="none" w:sz="0" w:space="0" w:color="auto"/>
        <w:right w:val="none" w:sz="0" w:space="0" w:color="auto"/>
      </w:divBdr>
    </w:div>
    <w:div w:id="1071974227">
      <w:bodyDiv w:val="1"/>
      <w:marLeft w:val="0"/>
      <w:marRight w:val="0"/>
      <w:marTop w:val="0"/>
      <w:marBottom w:val="0"/>
      <w:divBdr>
        <w:top w:val="none" w:sz="0" w:space="0" w:color="auto"/>
        <w:left w:val="none" w:sz="0" w:space="0" w:color="auto"/>
        <w:bottom w:val="none" w:sz="0" w:space="0" w:color="auto"/>
        <w:right w:val="none" w:sz="0" w:space="0" w:color="auto"/>
      </w:divBdr>
    </w:div>
    <w:div w:id="1078863207">
      <w:bodyDiv w:val="1"/>
      <w:marLeft w:val="0"/>
      <w:marRight w:val="0"/>
      <w:marTop w:val="0"/>
      <w:marBottom w:val="0"/>
      <w:divBdr>
        <w:top w:val="none" w:sz="0" w:space="0" w:color="auto"/>
        <w:left w:val="none" w:sz="0" w:space="0" w:color="auto"/>
        <w:bottom w:val="none" w:sz="0" w:space="0" w:color="auto"/>
        <w:right w:val="none" w:sz="0" w:space="0" w:color="auto"/>
      </w:divBdr>
    </w:div>
    <w:div w:id="1194461667">
      <w:bodyDiv w:val="1"/>
      <w:marLeft w:val="0"/>
      <w:marRight w:val="0"/>
      <w:marTop w:val="0"/>
      <w:marBottom w:val="0"/>
      <w:divBdr>
        <w:top w:val="none" w:sz="0" w:space="0" w:color="auto"/>
        <w:left w:val="none" w:sz="0" w:space="0" w:color="auto"/>
        <w:bottom w:val="none" w:sz="0" w:space="0" w:color="auto"/>
        <w:right w:val="none" w:sz="0" w:space="0" w:color="auto"/>
      </w:divBdr>
      <w:divsChild>
        <w:div w:id="102386501">
          <w:marLeft w:val="120"/>
          <w:marRight w:val="120"/>
          <w:marTop w:val="120"/>
          <w:marBottom w:val="120"/>
          <w:divBdr>
            <w:top w:val="none" w:sz="0" w:space="0" w:color="auto"/>
            <w:left w:val="none" w:sz="0" w:space="0" w:color="auto"/>
            <w:bottom w:val="none" w:sz="0" w:space="0" w:color="auto"/>
            <w:right w:val="none" w:sz="0" w:space="0" w:color="auto"/>
          </w:divBdr>
        </w:div>
      </w:divsChild>
    </w:div>
    <w:div w:id="1198932228">
      <w:bodyDiv w:val="1"/>
      <w:marLeft w:val="0"/>
      <w:marRight w:val="0"/>
      <w:marTop w:val="0"/>
      <w:marBottom w:val="0"/>
      <w:divBdr>
        <w:top w:val="none" w:sz="0" w:space="0" w:color="auto"/>
        <w:left w:val="none" w:sz="0" w:space="0" w:color="auto"/>
        <w:bottom w:val="none" w:sz="0" w:space="0" w:color="auto"/>
        <w:right w:val="none" w:sz="0" w:space="0" w:color="auto"/>
      </w:divBdr>
    </w:div>
    <w:div w:id="1263537683">
      <w:bodyDiv w:val="1"/>
      <w:marLeft w:val="0"/>
      <w:marRight w:val="0"/>
      <w:marTop w:val="0"/>
      <w:marBottom w:val="0"/>
      <w:divBdr>
        <w:top w:val="none" w:sz="0" w:space="0" w:color="auto"/>
        <w:left w:val="none" w:sz="0" w:space="0" w:color="auto"/>
        <w:bottom w:val="none" w:sz="0" w:space="0" w:color="auto"/>
        <w:right w:val="none" w:sz="0" w:space="0" w:color="auto"/>
      </w:divBdr>
    </w:div>
    <w:div w:id="1303075448">
      <w:bodyDiv w:val="1"/>
      <w:marLeft w:val="0"/>
      <w:marRight w:val="0"/>
      <w:marTop w:val="0"/>
      <w:marBottom w:val="0"/>
      <w:divBdr>
        <w:top w:val="none" w:sz="0" w:space="0" w:color="auto"/>
        <w:left w:val="none" w:sz="0" w:space="0" w:color="auto"/>
        <w:bottom w:val="none" w:sz="0" w:space="0" w:color="auto"/>
        <w:right w:val="none" w:sz="0" w:space="0" w:color="auto"/>
      </w:divBdr>
      <w:divsChild>
        <w:div w:id="482939239">
          <w:marLeft w:val="120"/>
          <w:marRight w:val="120"/>
          <w:marTop w:val="120"/>
          <w:marBottom w:val="120"/>
          <w:divBdr>
            <w:top w:val="single" w:sz="6" w:space="0" w:color="499ED7"/>
            <w:left w:val="single" w:sz="6" w:space="15" w:color="499ED7"/>
            <w:bottom w:val="single" w:sz="6" w:space="0" w:color="499ED7"/>
            <w:right w:val="single" w:sz="6" w:space="6" w:color="499ED7"/>
          </w:divBdr>
        </w:div>
      </w:divsChild>
    </w:div>
    <w:div w:id="1350838152">
      <w:bodyDiv w:val="1"/>
      <w:marLeft w:val="0"/>
      <w:marRight w:val="0"/>
      <w:marTop w:val="0"/>
      <w:marBottom w:val="0"/>
      <w:divBdr>
        <w:top w:val="none" w:sz="0" w:space="0" w:color="auto"/>
        <w:left w:val="none" w:sz="0" w:space="0" w:color="auto"/>
        <w:bottom w:val="none" w:sz="0" w:space="0" w:color="auto"/>
        <w:right w:val="none" w:sz="0" w:space="0" w:color="auto"/>
      </w:divBdr>
    </w:div>
    <w:div w:id="1370717722">
      <w:bodyDiv w:val="1"/>
      <w:marLeft w:val="0"/>
      <w:marRight w:val="0"/>
      <w:marTop w:val="0"/>
      <w:marBottom w:val="0"/>
      <w:divBdr>
        <w:top w:val="none" w:sz="0" w:space="0" w:color="auto"/>
        <w:left w:val="none" w:sz="0" w:space="0" w:color="auto"/>
        <w:bottom w:val="none" w:sz="0" w:space="0" w:color="auto"/>
        <w:right w:val="none" w:sz="0" w:space="0" w:color="auto"/>
      </w:divBdr>
    </w:div>
    <w:div w:id="1428305105">
      <w:bodyDiv w:val="1"/>
      <w:marLeft w:val="0"/>
      <w:marRight w:val="0"/>
      <w:marTop w:val="0"/>
      <w:marBottom w:val="0"/>
      <w:divBdr>
        <w:top w:val="none" w:sz="0" w:space="0" w:color="auto"/>
        <w:left w:val="none" w:sz="0" w:space="0" w:color="auto"/>
        <w:bottom w:val="none" w:sz="0" w:space="0" w:color="auto"/>
        <w:right w:val="none" w:sz="0" w:space="0" w:color="auto"/>
      </w:divBdr>
    </w:div>
    <w:div w:id="1491214555">
      <w:bodyDiv w:val="1"/>
      <w:marLeft w:val="0"/>
      <w:marRight w:val="0"/>
      <w:marTop w:val="0"/>
      <w:marBottom w:val="0"/>
      <w:divBdr>
        <w:top w:val="none" w:sz="0" w:space="0" w:color="auto"/>
        <w:left w:val="none" w:sz="0" w:space="0" w:color="auto"/>
        <w:bottom w:val="none" w:sz="0" w:space="0" w:color="auto"/>
        <w:right w:val="none" w:sz="0" w:space="0" w:color="auto"/>
      </w:divBdr>
    </w:div>
    <w:div w:id="1587766089">
      <w:bodyDiv w:val="1"/>
      <w:marLeft w:val="0"/>
      <w:marRight w:val="0"/>
      <w:marTop w:val="0"/>
      <w:marBottom w:val="0"/>
      <w:divBdr>
        <w:top w:val="none" w:sz="0" w:space="0" w:color="auto"/>
        <w:left w:val="none" w:sz="0" w:space="0" w:color="auto"/>
        <w:bottom w:val="none" w:sz="0" w:space="0" w:color="auto"/>
        <w:right w:val="none" w:sz="0" w:space="0" w:color="auto"/>
      </w:divBdr>
    </w:div>
    <w:div w:id="1656883962">
      <w:bodyDiv w:val="1"/>
      <w:marLeft w:val="0"/>
      <w:marRight w:val="0"/>
      <w:marTop w:val="0"/>
      <w:marBottom w:val="0"/>
      <w:divBdr>
        <w:top w:val="none" w:sz="0" w:space="0" w:color="auto"/>
        <w:left w:val="none" w:sz="0" w:space="0" w:color="auto"/>
        <w:bottom w:val="none" w:sz="0" w:space="0" w:color="auto"/>
        <w:right w:val="none" w:sz="0" w:space="0" w:color="auto"/>
      </w:divBdr>
    </w:div>
    <w:div w:id="1706980684">
      <w:bodyDiv w:val="1"/>
      <w:marLeft w:val="0"/>
      <w:marRight w:val="0"/>
      <w:marTop w:val="0"/>
      <w:marBottom w:val="0"/>
      <w:divBdr>
        <w:top w:val="none" w:sz="0" w:space="0" w:color="auto"/>
        <w:left w:val="none" w:sz="0" w:space="0" w:color="auto"/>
        <w:bottom w:val="none" w:sz="0" w:space="0" w:color="auto"/>
        <w:right w:val="none" w:sz="0" w:space="0" w:color="auto"/>
      </w:divBdr>
    </w:div>
    <w:div w:id="1821578187">
      <w:bodyDiv w:val="1"/>
      <w:marLeft w:val="0"/>
      <w:marRight w:val="0"/>
      <w:marTop w:val="0"/>
      <w:marBottom w:val="0"/>
      <w:divBdr>
        <w:top w:val="none" w:sz="0" w:space="0" w:color="auto"/>
        <w:left w:val="none" w:sz="0" w:space="0" w:color="auto"/>
        <w:bottom w:val="none" w:sz="0" w:space="0" w:color="auto"/>
        <w:right w:val="none" w:sz="0" w:space="0" w:color="auto"/>
      </w:divBdr>
    </w:div>
    <w:div w:id="1859543296">
      <w:bodyDiv w:val="1"/>
      <w:marLeft w:val="0"/>
      <w:marRight w:val="0"/>
      <w:marTop w:val="0"/>
      <w:marBottom w:val="0"/>
      <w:divBdr>
        <w:top w:val="none" w:sz="0" w:space="0" w:color="auto"/>
        <w:left w:val="none" w:sz="0" w:space="0" w:color="auto"/>
        <w:bottom w:val="none" w:sz="0" w:space="0" w:color="auto"/>
        <w:right w:val="none" w:sz="0" w:space="0" w:color="auto"/>
      </w:divBdr>
    </w:div>
    <w:div w:id="1940864609">
      <w:bodyDiv w:val="1"/>
      <w:marLeft w:val="0"/>
      <w:marRight w:val="0"/>
      <w:marTop w:val="0"/>
      <w:marBottom w:val="0"/>
      <w:divBdr>
        <w:top w:val="none" w:sz="0" w:space="0" w:color="auto"/>
        <w:left w:val="none" w:sz="0" w:space="0" w:color="auto"/>
        <w:bottom w:val="none" w:sz="0" w:space="0" w:color="auto"/>
        <w:right w:val="none" w:sz="0" w:space="0" w:color="auto"/>
      </w:divBdr>
    </w:div>
    <w:div w:id="2013801190">
      <w:bodyDiv w:val="1"/>
      <w:marLeft w:val="0"/>
      <w:marRight w:val="0"/>
      <w:marTop w:val="0"/>
      <w:marBottom w:val="0"/>
      <w:divBdr>
        <w:top w:val="none" w:sz="0" w:space="0" w:color="auto"/>
        <w:left w:val="none" w:sz="0" w:space="0" w:color="auto"/>
        <w:bottom w:val="none" w:sz="0" w:space="0" w:color="auto"/>
        <w:right w:val="none" w:sz="0" w:space="0" w:color="auto"/>
      </w:divBdr>
    </w:div>
    <w:div w:id="2029018220">
      <w:bodyDiv w:val="1"/>
      <w:marLeft w:val="0"/>
      <w:marRight w:val="0"/>
      <w:marTop w:val="0"/>
      <w:marBottom w:val="0"/>
      <w:divBdr>
        <w:top w:val="none" w:sz="0" w:space="0" w:color="auto"/>
        <w:left w:val="none" w:sz="0" w:space="0" w:color="auto"/>
        <w:bottom w:val="none" w:sz="0" w:space="0" w:color="auto"/>
        <w:right w:val="none" w:sz="0" w:space="0" w:color="auto"/>
      </w:divBdr>
    </w:div>
    <w:div w:id="2096196453">
      <w:bodyDiv w:val="1"/>
      <w:marLeft w:val="0"/>
      <w:marRight w:val="0"/>
      <w:marTop w:val="0"/>
      <w:marBottom w:val="0"/>
      <w:divBdr>
        <w:top w:val="none" w:sz="0" w:space="0" w:color="auto"/>
        <w:left w:val="none" w:sz="0" w:space="0" w:color="auto"/>
        <w:bottom w:val="none" w:sz="0" w:space="0" w:color="auto"/>
        <w:right w:val="none" w:sz="0" w:space="0" w:color="auto"/>
      </w:divBdr>
    </w:div>
    <w:div w:id="2099447644">
      <w:bodyDiv w:val="1"/>
      <w:marLeft w:val="0"/>
      <w:marRight w:val="0"/>
      <w:marTop w:val="0"/>
      <w:marBottom w:val="0"/>
      <w:divBdr>
        <w:top w:val="none" w:sz="0" w:space="0" w:color="auto"/>
        <w:left w:val="none" w:sz="0" w:space="0" w:color="auto"/>
        <w:bottom w:val="none" w:sz="0" w:space="0" w:color="auto"/>
        <w:right w:val="none" w:sz="0" w:space="0" w:color="auto"/>
      </w:divBdr>
      <w:divsChild>
        <w:div w:id="1507983830">
          <w:marLeft w:val="0"/>
          <w:marRight w:val="0"/>
          <w:marTop w:val="0"/>
          <w:marBottom w:val="0"/>
          <w:divBdr>
            <w:top w:val="none" w:sz="0" w:space="0" w:color="auto"/>
            <w:left w:val="none" w:sz="0" w:space="0" w:color="auto"/>
            <w:bottom w:val="none" w:sz="0" w:space="0" w:color="auto"/>
            <w:right w:val="none" w:sz="0" w:space="0" w:color="auto"/>
          </w:divBdr>
          <w:divsChild>
            <w:div w:id="318507515">
              <w:marLeft w:val="0"/>
              <w:marRight w:val="0"/>
              <w:marTop w:val="0"/>
              <w:marBottom w:val="0"/>
              <w:divBdr>
                <w:top w:val="none" w:sz="0" w:space="0" w:color="auto"/>
                <w:left w:val="none" w:sz="0" w:space="0" w:color="auto"/>
                <w:bottom w:val="none" w:sz="0" w:space="0" w:color="auto"/>
                <w:right w:val="none" w:sz="0" w:space="0" w:color="auto"/>
              </w:divBdr>
              <w:divsChild>
                <w:div w:id="1743137141">
                  <w:marLeft w:val="0"/>
                  <w:marRight w:val="0"/>
                  <w:marTop w:val="0"/>
                  <w:marBottom w:val="0"/>
                  <w:divBdr>
                    <w:top w:val="none" w:sz="0" w:space="0" w:color="auto"/>
                    <w:left w:val="none" w:sz="0" w:space="0" w:color="auto"/>
                    <w:bottom w:val="none" w:sz="0" w:space="0" w:color="auto"/>
                    <w:right w:val="none" w:sz="0" w:space="0" w:color="auto"/>
                  </w:divBdr>
                  <w:divsChild>
                    <w:div w:id="438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90F1-E8C8-4223-8529-636286EC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15882</Words>
  <Characters>98315</Characters>
  <Application>Microsoft Office Word</Application>
  <DocSecurity>0</DocSecurity>
  <Lines>1560</Lines>
  <Paragraphs>496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Sjaelland</Company>
  <LinksUpToDate>false</LinksUpToDate>
  <CharactersWithSpaces>113701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Emilie Kann</dc:creator>
  <cp:keywords/>
  <dc:description/>
  <cp:lastModifiedBy>Anna Emilie Kann</cp:lastModifiedBy>
  <cp:revision>4</cp:revision>
  <cp:lastPrinted>2021-05-31T12:48:00Z</cp:lastPrinted>
  <dcterms:created xsi:type="dcterms:W3CDTF">2021-11-10T13:06:00Z</dcterms:created>
  <dcterms:modified xsi:type="dcterms:W3CDTF">2021-11-10T14:16:00Z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fe998bbf-e4b6-330c-b2a6-25df49fbacca</vt:lpwstr>
  </property>
  <property fmtid="{D5CDD505-2E9C-101B-9397-08002B2CF9AE}" pid="4" name="Mendeley Citation Style_1">
    <vt:lpwstr>http://www.zotero.org/styles/american-medical-association-10th-edition</vt:lpwstr>
  </property>
  <property fmtid="{D5CDD505-2E9C-101B-9397-08002B2CF9AE}" pid="5" name="Mendeley Recent Style Id 0_1">
    <vt:lpwstr>http://www.zotero.org/styles/american-medical-association-10th-edition</vt:lpwstr>
  </property>
  <property fmtid="{D5CDD505-2E9C-101B-9397-08002B2CF9AE}" pid="6" name="Mendeley Recent Style Name 0_1">
    <vt:lpwstr>American Medical Association 10th edition</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