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C5E" w14:textId="77777777" w:rsidR="00ED7827" w:rsidRDefault="00ED7827" w:rsidP="00ED7827">
      <w:pPr>
        <w:spacing w:line="480" w:lineRule="auto"/>
        <w:jc w:val="both"/>
      </w:pPr>
      <w:r w:rsidRPr="38FCDE86">
        <w:rPr>
          <w:b/>
          <w:bCs/>
        </w:rPr>
        <w:t>Supplemental Table 1. C</w:t>
      </w:r>
      <w:r>
        <w:t>linical characteristics of 3 patients with negative antibody response at three months following two-dose SARS-CoV-2 vaccination 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D7827" w14:paraId="338DE08F" w14:textId="77777777" w:rsidTr="00F13188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B85A" w14:textId="77777777" w:rsidR="00ED7827" w:rsidRDefault="00ED7827" w:rsidP="00F13188">
            <w:r w:rsidRPr="7E11C50F">
              <w:rPr>
                <w:rFonts w:ascii="Calibri" w:eastAsia="Calibri" w:hAnsi="Calibri" w:cs="Calibri"/>
                <w:b/>
                <w:bCs/>
              </w:rPr>
              <w:t xml:space="preserve">Age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5C77" w14:textId="77777777" w:rsidR="00ED7827" w:rsidRDefault="00ED7827" w:rsidP="00F13188">
            <w:r w:rsidRPr="7E11C50F">
              <w:rPr>
                <w:rFonts w:ascii="Calibri" w:eastAsia="Calibri" w:hAnsi="Calibri" w:cs="Calibri"/>
                <w:b/>
                <w:bCs/>
              </w:rPr>
              <w:t xml:space="preserve">Sex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2029" w14:textId="77777777" w:rsidR="00ED7827" w:rsidRDefault="00ED7827" w:rsidP="00F13188">
            <w:r w:rsidRPr="7E11C50F">
              <w:rPr>
                <w:rFonts w:ascii="Calibri" w:eastAsia="Calibri" w:hAnsi="Calibri" w:cs="Calibri"/>
                <w:b/>
                <w:bCs/>
              </w:rPr>
              <w:t xml:space="preserve">Therapy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FCA6A" w14:textId="77777777" w:rsidR="00ED7827" w:rsidRDefault="00ED7827" w:rsidP="00F13188">
            <w:r w:rsidRPr="7E11C50F">
              <w:rPr>
                <w:rFonts w:ascii="Calibri" w:eastAsia="Calibri" w:hAnsi="Calibri" w:cs="Calibri"/>
                <w:b/>
                <w:bCs/>
              </w:rPr>
              <w:t xml:space="preserve">1 month titer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538B9" w14:textId="77777777" w:rsidR="00ED7827" w:rsidRDefault="00ED7827" w:rsidP="00F13188">
            <w:proofErr w:type="gramStart"/>
            <w:r w:rsidRPr="7E11C50F">
              <w:rPr>
                <w:rFonts w:ascii="Calibri" w:eastAsia="Calibri" w:hAnsi="Calibri" w:cs="Calibri"/>
                <w:b/>
                <w:bCs/>
              </w:rPr>
              <w:t>3 month</w:t>
            </w:r>
            <w:proofErr w:type="gramEnd"/>
            <w:r w:rsidRPr="7E11C50F">
              <w:rPr>
                <w:rFonts w:ascii="Calibri" w:eastAsia="Calibri" w:hAnsi="Calibri" w:cs="Calibri"/>
                <w:b/>
                <w:bCs/>
              </w:rPr>
              <w:t xml:space="preserve"> titer </w:t>
            </w:r>
          </w:p>
        </w:tc>
      </w:tr>
      <w:tr w:rsidR="00ED7827" w14:paraId="458A9828" w14:textId="77777777" w:rsidTr="00F13188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8F23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41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C0C9A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Male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5673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Adalimumab </w:t>
            </w:r>
          </w:p>
          <w:p w14:paraId="384D3FD6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Mycophenolate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C837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3.9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BA6CB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&lt;0.4 </w:t>
            </w:r>
          </w:p>
        </w:tc>
      </w:tr>
      <w:tr w:rsidR="00ED7827" w14:paraId="67265CF6" w14:textId="77777777" w:rsidTr="00F13188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0B46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52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66FB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Female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06A0C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Adalimumab </w:t>
            </w:r>
          </w:p>
          <w:p w14:paraId="09F1376A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Azathioprine </w:t>
            </w:r>
          </w:p>
          <w:p w14:paraId="05E7841A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Mycophenolate </w:t>
            </w:r>
          </w:p>
          <w:p w14:paraId="1DC37B77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>Glucocorticoid</w:t>
            </w:r>
            <w:r w:rsidRPr="7E11C50F">
              <w:rPr>
                <w:rFonts w:ascii="Calibri" w:eastAsia="Calibri" w:hAnsi="Calibri" w:cs="Calibri"/>
                <w:vertAlign w:val="superscript"/>
              </w:rPr>
              <w:t>1</w:t>
            </w:r>
            <w:r w:rsidRPr="7E11C50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44989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&lt;0.4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0DA5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&lt;0.4 </w:t>
            </w:r>
          </w:p>
        </w:tc>
      </w:tr>
      <w:tr w:rsidR="00ED7827" w14:paraId="0DD1FED2" w14:textId="77777777" w:rsidTr="00F13188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94A78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41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628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Female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1132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Certolizumab </w:t>
            </w:r>
          </w:p>
          <w:p w14:paraId="177F7DE3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Hydroxychloroquine </w:t>
            </w:r>
          </w:p>
          <w:p w14:paraId="110D3553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Methotrexate </w:t>
            </w:r>
          </w:p>
          <w:p w14:paraId="42C36C0C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>Glucocorticoid</w:t>
            </w:r>
            <w:r w:rsidRPr="7E11C50F">
              <w:rPr>
                <w:rFonts w:ascii="Calibri" w:eastAsia="Calibri" w:hAnsi="Calibri" w:cs="Calibri"/>
                <w:vertAlign w:val="superscript"/>
              </w:rPr>
              <w:t>1</w:t>
            </w:r>
            <w:r w:rsidRPr="7E11C50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4D95B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-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5F75" w14:textId="77777777" w:rsidR="00ED7827" w:rsidRDefault="00ED7827" w:rsidP="00F13188">
            <w:r w:rsidRPr="7E11C50F">
              <w:rPr>
                <w:rFonts w:ascii="Calibri" w:eastAsia="Calibri" w:hAnsi="Calibri" w:cs="Calibri"/>
              </w:rPr>
              <w:t xml:space="preserve">&lt;0.4 </w:t>
            </w:r>
          </w:p>
        </w:tc>
      </w:tr>
    </w:tbl>
    <w:p w14:paraId="4C2986AB" w14:textId="77777777" w:rsidR="00ED7827" w:rsidRDefault="00ED7827" w:rsidP="00ED7827">
      <w:pPr>
        <w:spacing w:line="480" w:lineRule="auto"/>
        <w:jc w:val="both"/>
      </w:pPr>
      <w:r>
        <w:t>1 Corticosteroid includes prednisone and prednisone equivalents.  </w:t>
      </w:r>
    </w:p>
    <w:p w14:paraId="702039CA" w14:textId="77777777" w:rsidR="00E27844" w:rsidRDefault="00E27844"/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27"/>
    <w:rsid w:val="006C4B08"/>
    <w:rsid w:val="00E27844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EA69"/>
  <w15:chartTrackingRefBased/>
  <w15:docId w15:val="{FD986148-9F04-4D5B-95D5-FF2D896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2022-01-26T20:01:00Z</dcterms:created>
  <dcterms:modified xsi:type="dcterms:W3CDTF">2022-01-26T20:02:00Z</dcterms:modified>
</cp:coreProperties>
</file>