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64B9" w14:textId="77777777" w:rsidR="0083061B" w:rsidRPr="004F59E6" w:rsidRDefault="0083061B" w:rsidP="0083061B">
      <w:pPr>
        <w:spacing w:line="480" w:lineRule="auto"/>
        <w:rPr>
          <w:rFonts w:cs="Times New Roman"/>
          <w:b/>
          <w:bCs/>
          <w:szCs w:val="24"/>
        </w:rPr>
      </w:pPr>
      <w:r w:rsidRPr="004F59E6">
        <w:rPr>
          <w:rFonts w:cs="Times New Roman"/>
          <w:b/>
          <w:bCs/>
          <w:szCs w:val="24"/>
        </w:rPr>
        <w:t>Supplementary files</w:t>
      </w:r>
    </w:p>
    <w:p w14:paraId="3210F116" w14:textId="77777777" w:rsidR="0083061B" w:rsidRDefault="0083061B" w:rsidP="0083061B">
      <w:pPr>
        <w:rPr>
          <w:b/>
          <w:bCs/>
        </w:rPr>
      </w:pPr>
      <w:r w:rsidRPr="00D0380F">
        <w:rPr>
          <w:b/>
          <w:bCs/>
        </w:rPr>
        <w:t>Effect of chronic comorbidities on follow-up colonoscopy after positive colorectal cancer screening results: a population-based cohort study</w:t>
      </w:r>
    </w:p>
    <w:p w14:paraId="4EFDB7B3" w14:textId="77777777" w:rsidR="0083061B" w:rsidRDefault="0083061B" w:rsidP="0083061B">
      <w:pPr>
        <w:spacing w:line="480" w:lineRule="auto"/>
        <w:rPr>
          <w:rFonts w:ascii="Cambria" w:hAnsi="Cambria"/>
          <w:b/>
          <w:bCs/>
          <w:szCs w:val="24"/>
        </w:rPr>
      </w:pPr>
    </w:p>
    <w:p w14:paraId="767D3EA4" w14:textId="2AFA7B9B" w:rsidR="0083061B" w:rsidRPr="005F7CEE" w:rsidRDefault="0083061B" w:rsidP="0083061B">
      <w:pPr>
        <w:spacing w:line="480" w:lineRule="auto"/>
        <w:rPr>
          <w:rFonts w:cs="Times New Roman"/>
          <w:szCs w:val="24"/>
        </w:rPr>
      </w:pPr>
      <w:r w:rsidRPr="00D0380F">
        <w:rPr>
          <w:rFonts w:cs="Times New Roman"/>
          <w:b/>
          <w:bCs/>
          <w:szCs w:val="24"/>
        </w:rPr>
        <w:t xml:space="preserve">Supplementary </w:t>
      </w:r>
      <w:r w:rsidR="00BF5FA3">
        <w:rPr>
          <w:rFonts w:cs="Times New Roman"/>
          <w:b/>
          <w:bCs/>
          <w:szCs w:val="24"/>
        </w:rPr>
        <w:t>Table</w:t>
      </w:r>
      <w:r w:rsidRPr="00D0380F">
        <w:rPr>
          <w:rFonts w:cs="Times New Roman"/>
          <w:b/>
          <w:bCs/>
          <w:szCs w:val="24"/>
        </w:rPr>
        <w:t xml:space="preserve"> 1</w:t>
      </w:r>
      <w:r>
        <w:rPr>
          <w:rFonts w:cs="Times New Roman"/>
          <w:b/>
          <w:bCs/>
          <w:szCs w:val="24"/>
        </w:rPr>
        <w:t>.</w:t>
      </w:r>
      <w:r w:rsidRPr="00D0380F">
        <w:rPr>
          <w:rFonts w:cs="Times New Roman"/>
          <w:b/>
          <w:bCs/>
          <w:szCs w:val="24"/>
        </w:rPr>
        <w:t xml:space="preserve"> </w:t>
      </w:r>
      <w:r w:rsidRPr="00D0380F">
        <w:rPr>
          <w:rFonts w:cs="Times New Roman"/>
          <w:szCs w:val="24"/>
        </w:rPr>
        <w:t>Description</w:t>
      </w:r>
      <w:r w:rsidRPr="008508B9">
        <w:rPr>
          <w:rFonts w:cs="Times New Roman"/>
          <w:szCs w:val="24"/>
        </w:rPr>
        <w:t xml:space="preserve"> of administrative data sources</w:t>
      </w:r>
    </w:p>
    <w:p w14:paraId="3DD91A01" w14:textId="451E5FF8" w:rsidR="0083061B" w:rsidRDefault="0083061B" w:rsidP="0083061B">
      <w:pPr>
        <w:spacing w:line="480" w:lineRule="auto"/>
        <w:rPr>
          <w:rFonts w:cs="Times New Roman"/>
          <w:szCs w:val="24"/>
        </w:rPr>
      </w:pPr>
      <w:r w:rsidRPr="00D0380F">
        <w:rPr>
          <w:rFonts w:cs="Times New Roman"/>
          <w:b/>
          <w:bCs/>
          <w:szCs w:val="24"/>
        </w:rPr>
        <w:t xml:space="preserve">Supplementary </w:t>
      </w:r>
      <w:r w:rsidR="00BF5FA3">
        <w:rPr>
          <w:rFonts w:cs="Times New Roman"/>
          <w:b/>
          <w:bCs/>
          <w:szCs w:val="24"/>
        </w:rPr>
        <w:t>Table</w:t>
      </w:r>
      <w:r w:rsidRPr="00D0380F">
        <w:rPr>
          <w:rFonts w:cs="Times New Roman"/>
          <w:b/>
          <w:bCs/>
          <w:szCs w:val="24"/>
        </w:rPr>
        <w:t xml:space="preserve"> 2</w:t>
      </w:r>
      <w:r>
        <w:rPr>
          <w:rFonts w:cs="Times New Roman"/>
          <w:b/>
          <w:bCs/>
          <w:szCs w:val="24"/>
        </w:rPr>
        <w:t>.</w:t>
      </w:r>
      <w:r w:rsidRPr="008508B9">
        <w:rPr>
          <w:rFonts w:cs="Times New Roman"/>
          <w:szCs w:val="24"/>
        </w:rPr>
        <w:t xml:space="preserve"> Chronic disease definitions in administrative data</w:t>
      </w:r>
    </w:p>
    <w:p w14:paraId="1C637052" w14:textId="341FCD9C" w:rsidR="0083061B" w:rsidRDefault="0083061B" w:rsidP="0083061B">
      <w:pPr>
        <w:spacing w:line="480" w:lineRule="auto"/>
        <w:rPr>
          <w:rFonts w:cs="Times New Roman"/>
          <w:szCs w:val="24"/>
          <w:lang w:val="en-GB"/>
        </w:rPr>
      </w:pPr>
      <w:r w:rsidRPr="005F7CEE">
        <w:rPr>
          <w:rFonts w:cs="Times New Roman"/>
          <w:b/>
          <w:bCs/>
          <w:szCs w:val="24"/>
          <w:lang w:val="en-GB"/>
        </w:rPr>
        <w:t xml:space="preserve">Supplementary </w:t>
      </w:r>
      <w:r w:rsidR="00BF5FA3">
        <w:rPr>
          <w:rFonts w:cs="Times New Roman"/>
          <w:b/>
          <w:bCs/>
          <w:szCs w:val="24"/>
          <w:lang w:val="en-GB"/>
        </w:rPr>
        <w:t>Table 3</w:t>
      </w:r>
      <w:r w:rsidRPr="005F7CEE">
        <w:rPr>
          <w:rFonts w:cs="Times New Roman"/>
          <w:b/>
          <w:bCs/>
          <w:szCs w:val="24"/>
          <w:lang w:val="en-GB"/>
        </w:rPr>
        <w:t>.</w:t>
      </w:r>
      <w:r w:rsidRPr="005F7CEE">
        <w:rPr>
          <w:rFonts w:cs="Times New Roman"/>
          <w:szCs w:val="24"/>
          <w:lang w:val="en-GB"/>
        </w:rPr>
        <w:t xml:space="preserve"> Full cause-specific hazard regression models for the association between comorbidity and first follow-up colonoscopy within 12 months of the positive FOBT result</w:t>
      </w:r>
    </w:p>
    <w:p w14:paraId="1ADDC5B5" w14:textId="0AC7B3C4" w:rsidR="00F37B70" w:rsidRPr="00A0643C" w:rsidRDefault="00F37B70" w:rsidP="00F37B70">
      <w:pPr>
        <w:spacing w:line="480" w:lineRule="auto"/>
        <w:rPr>
          <w:rFonts w:cs="Times New Roman"/>
          <w:szCs w:val="24"/>
          <w:highlight w:val="yellow"/>
          <w:lang w:val="en-GB"/>
        </w:rPr>
      </w:pPr>
      <w:r w:rsidRPr="005F7CEE">
        <w:rPr>
          <w:rFonts w:cs="Times New Roman"/>
          <w:b/>
          <w:bCs/>
          <w:szCs w:val="24"/>
          <w:lang w:val="en-GB"/>
        </w:rPr>
        <w:t xml:space="preserve">Supplementary </w:t>
      </w:r>
      <w:r w:rsidR="00BF5FA3">
        <w:rPr>
          <w:rFonts w:cs="Times New Roman"/>
          <w:b/>
          <w:bCs/>
          <w:szCs w:val="24"/>
          <w:lang w:val="en-GB"/>
        </w:rPr>
        <w:t>Table 4</w:t>
      </w:r>
      <w:r w:rsidRPr="005F7CEE">
        <w:rPr>
          <w:rFonts w:cs="Times New Roman"/>
          <w:b/>
          <w:bCs/>
          <w:szCs w:val="24"/>
          <w:lang w:val="en-GB"/>
        </w:rPr>
        <w:t>.</w:t>
      </w:r>
      <w:r w:rsidRPr="005F7CEE">
        <w:rPr>
          <w:rFonts w:cs="Times New Roman"/>
          <w:szCs w:val="24"/>
          <w:lang w:val="en-GB"/>
        </w:rPr>
        <w:t xml:space="preserve"> Full cause-specific hazard regression models for the association between comorbidity and first follow-up colonoscopy within 2 months of the positive FOBT result</w:t>
      </w:r>
    </w:p>
    <w:p w14:paraId="30824D8D" w14:textId="1CC778D8" w:rsidR="00F37B70" w:rsidRPr="00F37B70" w:rsidRDefault="00F37B70" w:rsidP="0083061B">
      <w:pPr>
        <w:spacing w:line="480" w:lineRule="auto"/>
        <w:rPr>
          <w:rFonts w:cs="Times New Roman"/>
          <w:szCs w:val="24"/>
          <w:highlight w:val="yellow"/>
          <w:lang w:val="en-GB"/>
        </w:rPr>
      </w:pPr>
      <w:r w:rsidRPr="005F7CEE">
        <w:rPr>
          <w:rFonts w:cs="Times New Roman"/>
          <w:b/>
          <w:bCs/>
          <w:szCs w:val="24"/>
          <w:lang w:val="en-GB"/>
        </w:rPr>
        <w:t xml:space="preserve">Supplementary </w:t>
      </w:r>
      <w:r w:rsidR="00BF5FA3">
        <w:rPr>
          <w:rFonts w:cs="Times New Roman"/>
          <w:b/>
          <w:bCs/>
          <w:szCs w:val="24"/>
          <w:lang w:val="en-GB"/>
        </w:rPr>
        <w:t>Table 5</w:t>
      </w:r>
      <w:r w:rsidRPr="005F7CEE">
        <w:rPr>
          <w:rFonts w:cs="Times New Roman"/>
          <w:b/>
          <w:bCs/>
          <w:szCs w:val="24"/>
          <w:lang w:val="en-GB"/>
        </w:rPr>
        <w:t>.</w:t>
      </w:r>
      <w:r w:rsidRPr="005F7CEE">
        <w:rPr>
          <w:rFonts w:cs="Times New Roman"/>
          <w:szCs w:val="24"/>
          <w:lang w:val="en-GB"/>
        </w:rPr>
        <w:t xml:space="preserve"> Full cause-specific hazard regression models for the association between comorbidity and first follow-up colonoscopy within </w:t>
      </w:r>
      <w:r>
        <w:rPr>
          <w:rFonts w:cs="Times New Roman"/>
          <w:szCs w:val="24"/>
          <w:lang w:val="en-GB"/>
        </w:rPr>
        <w:t>6</w:t>
      </w:r>
      <w:r w:rsidRPr="005F7CEE">
        <w:rPr>
          <w:rFonts w:cs="Times New Roman"/>
          <w:szCs w:val="24"/>
          <w:lang w:val="en-GB"/>
        </w:rPr>
        <w:t xml:space="preserve"> months of the positive FOBT result</w:t>
      </w:r>
    </w:p>
    <w:p w14:paraId="2DD8C0E6" w14:textId="172CA040" w:rsidR="0083061B" w:rsidRDefault="0083061B" w:rsidP="0083061B">
      <w:pPr>
        <w:spacing w:line="480" w:lineRule="auto"/>
        <w:rPr>
          <w:rFonts w:cs="Times New Roman"/>
          <w:szCs w:val="24"/>
          <w:lang w:val="en-GB"/>
        </w:rPr>
      </w:pPr>
      <w:r w:rsidRPr="005F7CEE">
        <w:rPr>
          <w:rFonts w:cs="Times New Roman"/>
          <w:b/>
          <w:bCs/>
          <w:szCs w:val="24"/>
          <w:lang w:val="en-GB"/>
        </w:rPr>
        <w:t xml:space="preserve">Supplementary </w:t>
      </w:r>
      <w:r w:rsidR="00BF5FA3">
        <w:rPr>
          <w:rFonts w:cs="Times New Roman"/>
          <w:b/>
          <w:bCs/>
          <w:szCs w:val="24"/>
          <w:lang w:val="en-GB"/>
        </w:rPr>
        <w:t>Table 6</w:t>
      </w:r>
      <w:r w:rsidRPr="005F7CEE">
        <w:rPr>
          <w:rFonts w:cs="Times New Roman"/>
          <w:b/>
          <w:bCs/>
          <w:szCs w:val="24"/>
          <w:lang w:val="en-GB"/>
        </w:rPr>
        <w:t>.</w:t>
      </w:r>
      <w:r w:rsidRPr="005F7CEE">
        <w:rPr>
          <w:rFonts w:cs="Times New Roman"/>
          <w:szCs w:val="24"/>
          <w:lang w:val="en-GB"/>
        </w:rPr>
        <w:t xml:space="preserve"> Full cause-specific hazard regression models for the association between comorbidity and first complete follow-up colonoscopy within 12 months of the positive FOBT result</w:t>
      </w:r>
    </w:p>
    <w:p w14:paraId="4C7C541B" w14:textId="77777777" w:rsidR="001A0354" w:rsidRPr="00A0643C" w:rsidRDefault="001A0354" w:rsidP="0083061B">
      <w:pPr>
        <w:spacing w:line="480" w:lineRule="auto"/>
        <w:rPr>
          <w:rFonts w:cs="Times New Roman"/>
          <w:szCs w:val="24"/>
          <w:highlight w:val="yellow"/>
          <w:lang w:val="en-GB"/>
        </w:rPr>
      </w:pPr>
    </w:p>
    <w:p w14:paraId="78C3E7C6" w14:textId="7CFB618D" w:rsidR="00BF5FA3" w:rsidRDefault="00BF5FA3" w:rsidP="00BF5FA3">
      <w:pPr>
        <w:spacing w:line="480" w:lineRule="auto"/>
        <w:rPr>
          <w:rFonts w:cs="Times New Roman"/>
          <w:szCs w:val="24"/>
          <w:lang w:val="en-GB"/>
        </w:rPr>
      </w:pPr>
      <w:r w:rsidRPr="00276927">
        <w:rPr>
          <w:b/>
          <w:bCs/>
        </w:rPr>
        <w:t xml:space="preserve">Supplementary </w:t>
      </w:r>
      <w:r>
        <w:rPr>
          <w:b/>
          <w:bCs/>
        </w:rPr>
        <w:t>Figures 1.a-g</w:t>
      </w:r>
      <w:r w:rsidRPr="00276927">
        <w:rPr>
          <w:b/>
          <w:bCs/>
        </w:rPr>
        <w:t>.</w:t>
      </w:r>
      <w:r>
        <w:t xml:space="preserve"> </w:t>
      </w:r>
      <w:r w:rsidRPr="00A0643C">
        <w:rPr>
          <w:rFonts w:cs="Times New Roman"/>
          <w:szCs w:val="24"/>
          <w:lang w:val="en-GB"/>
        </w:rPr>
        <w:t xml:space="preserve">Cumulative incidence </w:t>
      </w:r>
      <w:r>
        <w:rPr>
          <w:rFonts w:cs="Times New Roman"/>
          <w:szCs w:val="24"/>
          <w:lang w:val="en-GB"/>
        </w:rPr>
        <w:t>of</w:t>
      </w:r>
      <w:r w:rsidRPr="00A0643C">
        <w:rPr>
          <w:rFonts w:cs="Times New Roman"/>
          <w:szCs w:val="24"/>
          <w:lang w:val="en-GB"/>
        </w:rPr>
        <w:t xml:space="preserve"> follow-up colonoscopy</w:t>
      </w:r>
      <w:r>
        <w:rPr>
          <w:rFonts w:cs="Times New Roman"/>
          <w:szCs w:val="24"/>
          <w:lang w:val="en-GB"/>
        </w:rPr>
        <w:t xml:space="preserve"> by exposure groups</w:t>
      </w:r>
    </w:p>
    <w:p w14:paraId="6F6CF97D" w14:textId="09F40770" w:rsidR="0083061B" w:rsidRDefault="0083061B" w:rsidP="0083061B">
      <w:pPr>
        <w:spacing w:line="240" w:lineRule="auto"/>
        <w:rPr>
          <w:rFonts w:cs="Times New Roman"/>
          <w:szCs w:val="24"/>
        </w:rPr>
      </w:pPr>
    </w:p>
    <w:p w14:paraId="42AC2A9E" w14:textId="499E72E2" w:rsidR="0083061B" w:rsidRDefault="0083061B" w:rsidP="0083061B">
      <w:pPr>
        <w:spacing w:line="240" w:lineRule="auto"/>
        <w:rPr>
          <w:rFonts w:cs="Times New Roman"/>
          <w:b/>
          <w:bCs/>
          <w:szCs w:val="24"/>
        </w:rPr>
      </w:pPr>
    </w:p>
    <w:p w14:paraId="5EAA35CC" w14:textId="77777777" w:rsidR="00BF5FA3" w:rsidRDefault="00BF5FA3" w:rsidP="0083061B">
      <w:pPr>
        <w:spacing w:line="240" w:lineRule="auto"/>
        <w:rPr>
          <w:rFonts w:ascii="Cambria" w:hAnsi="Cambria"/>
          <w:b/>
          <w:bCs/>
          <w:szCs w:val="24"/>
        </w:rPr>
      </w:pPr>
    </w:p>
    <w:p w14:paraId="61EBD320" w14:textId="77777777" w:rsidR="0083061B" w:rsidRDefault="0083061B" w:rsidP="0083061B">
      <w:pPr>
        <w:spacing w:line="240" w:lineRule="auto"/>
        <w:rPr>
          <w:rFonts w:ascii="Cambria" w:hAnsi="Cambria"/>
          <w:b/>
          <w:bCs/>
          <w:szCs w:val="24"/>
        </w:rPr>
      </w:pPr>
    </w:p>
    <w:p w14:paraId="2F0F69C3" w14:textId="77777777" w:rsidR="0083061B" w:rsidRDefault="0083061B" w:rsidP="0083061B">
      <w:pPr>
        <w:spacing w:line="240" w:lineRule="auto"/>
        <w:rPr>
          <w:rFonts w:ascii="Cambria" w:hAnsi="Cambria"/>
          <w:b/>
          <w:bCs/>
          <w:szCs w:val="24"/>
        </w:rPr>
      </w:pPr>
    </w:p>
    <w:p w14:paraId="1C164B2B" w14:textId="4E7737B3" w:rsidR="0083061B" w:rsidRDefault="0083061B" w:rsidP="0083061B">
      <w:pPr>
        <w:spacing w:line="240" w:lineRule="auto"/>
        <w:rPr>
          <w:rFonts w:cs="Times New Roman"/>
          <w:szCs w:val="24"/>
        </w:rPr>
      </w:pPr>
      <w:r w:rsidRPr="00D0380F">
        <w:rPr>
          <w:rFonts w:cs="Times New Roman"/>
          <w:b/>
          <w:bCs/>
          <w:szCs w:val="24"/>
        </w:rPr>
        <w:lastRenderedPageBreak/>
        <w:t xml:space="preserve">Supplementary </w:t>
      </w:r>
      <w:r w:rsidR="007C2CDE">
        <w:rPr>
          <w:rFonts w:cs="Times New Roman"/>
          <w:b/>
          <w:bCs/>
          <w:szCs w:val="24"/>
        </w:rPr>
        <w:t>Table</w:t>
      </w:r>
      <w:r w:rsidRPr="00D0380F">
        <w:rPr>
          <w:rFonts w:cs="Times New Roman"/>
          <w:b/>
          <w:bCs/>
          <w:szCs w:val="24"/>
        </w:rPr>
        <w:t xml:space="preserve"> 1</w:t>
      </w:r>
      <w:r>
        <w:rPr>
          <w:rFonts w:cs="Times New Roman"/>
          <w:b/>
          <w:bCs/>
          <w:szCs w:val="24"/>
        </w:rPr>
        <w:t>.</w:t>
      </w:r>
      <w:r w:rsidRPr="00D0380F">
        <w:rPr>
          <w:rFonts w:cs="Times New Roman"/>
          <w:b/>
          <w:bCs/>
          <w:szCs w:val="24"/>
        </w:rPr>
        <w:t xml:space="preserve"> </w:t>
      </w:r>
      <w:r w:rsidRPr="00D0380F">
        <w:rPr>
          <w:rFonts w:cs="Times New Roman"/>
          <w:szCs w:val="24"/>
        </w:rPr>
        <w:t>Description</w:t>
      </w:r>
      <w:r w:rsidRPr="008508B9">
        <w:rPr>
          <w:rFonts w:cs="Times New Roman"/>
          <w:szCs w:val="24"/>
        </w:rPr>
        <w:t xml:space="preserve"> of administrative data sources</w:t>
      </w:r>
    </w:p>
    <w:p w14:paraId="1E4E6333" w14:textId="77777777" w:rsidR="0083061B" w:rsidRPr="008508B9" w:rsidRDefault="0083061B" w:rsidP="0083061B">
      <w:pPr>
        <w:spacing w:line="240" w:lineRule="auto"/>
        <w:rPr>
          <w:rFonts w:cs="Times New Roman"/>
          <w:szCs w:val="24"/>
        </w:rPr>
      </w:pPr>
    </w:p>
    <w:tbl>
      <w:tblPr>
        <w:tblStyle w:val="PlainTable2"/>
        <w:tblW w:w="9627" w:type="dxa"/>
        <w:tblLook w:val="04A0" w:firstRow="1" w:lastRow="0" w:firstColumn="1" w:lastColumn="0" w:noHBand="0" w:noVBand="1"/>
      </w:tblPr>
      <w:tblGrid>
        <w:gridCol w:w="2970"/>
        <w:gridCol w:w="6657"/>
      </w:tblGrid>
      <w:tr w:rsidR="0083061B" w:rsidRPr="008508B9" w14:paraId="30EFF5A8" w14:textId="77777777" w:rsidTr="00613316">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4040664E" w14:textId="77777777" w:rsidR="0083061B" w:rsidRPr="008508B9" w:rsidRDefault="0083061B" w:rsidP="00613316">
            <w:pPr>
              <w:spacing w:line="240" w:lineRule="auto"/>
              <w:jc w:val="center"/>
              <w:rPr>
                <w:rFonts w:cs="Times New Roman"/>
                <w:b w:val="0"/>
                <w:sz w:val="20"/>
                <w:szCs w:val="20"/>
              </w:rPr>
            </w:pPr>
            <w:r w:rsidRPr="008508B9">
              <w:rPr>
                <w:rFonts w:cs="Times New Roman"/>
                <w:sz w:val="20"/>
                <w:szCs w:val="20"/>
              </w:rPr>
              <w:t>Database</w:t>
            </w:r>
          </w:p>
        </w:tc>
        <w:tc>
          <w:tcPr>
            <w:tcW w:w="6657" w:type="dxa"/>
            <w:vAlign w:val="center"/>
          </w:tcPr>
          <w:p w14:paraId="01A1A2D2" w14:textId="77777777" w:rsidR="0083061B" w:rsidRPr="008508B9" w:rsidRDefault="0083061B" w:rsidP="0061331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8508B9">
              <w:rPr>
                <w:rFonts w:cs="Times New Roman"/>
                <w:sz w:val="20"/>
                <w:szCs w:val="20"/>
              </w:rPr>
              <w:t>Description</w:t>
            </w:r>
          </w:p>
        </w:tc>
      </w:tr>
      <w:tr w:rsidR="0083061B" w:rsidRPr="008508B9" w14:paraId="7C8C58FB" w14:textId="77777777" w:rsidTr="00613316">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970" w:type="dxa"/>
          </w:tcPr>
          <w:p w14:paraId="00AFFDAF"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Laboratory Reporting Tool (LRT)</w:t>
            </w:r>
          </w:p>
        </w:tc>
        <w:tc>
          <w:tcPr>
            <w:tcW w:w="6657" w:type="dxa"/>
          </w:tcPr>
          <w:p w14:paraId="7AA3E4C5" w14:textId="77777777" w:rsidR="0083061B" w:rsidRPr="008508B9" w:rsidRDefault="0083061B" w:rsidP="00613316">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508B9">
              <w:rPr>
                <w:rFonts w:cs="Times New Roman"/>
                <w:sz w:val="20"/>
                <w:szCs w:val="20"/>
              </w:rPr>
              <w:t>Captures information on FOBT kits administered as part of the Colon Cancer Check program since the program’s launch in April 2008. In contrast to the OHIP database, which captures the provision of laboratory tests, the LRT contains data on FOBT results.</w:t>
            </w:r>
          </w:p>
        </w:tc>
      </w:tr>
      <w:tr w:rsidR="0083061B" w:rsidRPr="008508B9" w14:paraId="6105F868" w14:textId="77777777" w:rsidTr="00613316">
        <w:trPr>
          <w:trHeight w:val="474"/>
        </w:trPr>
        <w:tc>
          <w:tcPr>
            <w:cnfStyle w:val="001000000000" w:firstRow="0" w:lastRow="0" w:firstColumn="1" w:lastColumn="0" w:oddVBand="0" w:evenVBand="0" w:oddHBand="0" w:evenHBand="0" w:firstRowFirstColumn="0" w:firstRowLastColumn="0" w:lastRowFirstColumn="0" w:lastRowLastColumn="0"/>
            <w:tcW w:w="2970" w:type="dxa"/>
          </w:tcPr>
          <w:p w14:paraId="2F3E8919"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Registered Persons Database (RPDB)</w:t>
            </w:r>
          </w:p>
        </w:tc>
        <w:tc>
          <w:tcPr>
            <w:tcW w:w="6657" w:type="dxa"/>
          </w:tcPr>
          <w:p w14:paraId="0D1E5DED" w14:textId="77777777" w:rsidR="0083061B" w:rsidRPr="008508B9" w:rsidRDefault="0083061B" w:rsidP="00613316">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508B9">
              <w:rPr>
                <w:rFonts w:cs="Times New Roman"/>
                <w:sz w:val="20"/>
                <w:szCs w:val="20"/>
              </w:rPr>
              <w:t>Contains basic demographic and vital information about anyone who has ever received an Ontario health card number.</w:t>
            </w:r>
          </w:p>
        </w:tc>
      </w:tr>
      <w:tr w:rsidR="0083061B" w:rsidRPr="008508B9" w14:paraId="6168F05E" w14:textId="77777777" w:rsidTr="00613316">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970" w:type="dxa"/>
          </w:tcPr>
          <w:p w14:paraId="3D17872C"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Statistics Canada Census (CENSUS)</w:t>
            </w:r>
          </w:p>
        </w:tc>
        <w:tc>
          <w:tcPr>
            <w:tcW w:w="6657" w:type="dxa"/>
          </w:tcPr>
          <w:p w14:paraId="4AA97136" w14:textId="77777777" w:rsidR="0083061B" w:rsidRPr="008508B9" w:rsidRDefault="0083061B" w:rsidP="00613316">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508B9">
              <w:rPr>
                <w:rFonts w:cs="Times New Roman"/>
                <w:sz w:val="20"/>
                <w:szCs w:val="20"/>
              </w:rPr>
              <w:t>Contains information on rurality and neighbourhood income estimates.</w:t>
            </w:r>
          </w:p>
        </w:tc>
      </w:tr>
      <w:tr w:rsidR="0083061B" w:rsidRPr="008508B9" w14:paraId="0E69B5C5" w14:textId="77777777" w:rsidTr="00613316">
        <w:trPr>
          <w:trHeight w:val="521"/>
        </w:trPr>
        <w:tc>
          <w:tcPr>
            <w:cnfStyle w:val="001000000000" w:firstRow="0" w:lastRow="0" w:firstColumn="1" w:lastColumn="0" w:oddVBand="0" w:evenVBand="0" w:oddHBand="0" w:evenHBand="0" w:firstRowFirstColumn="0" w:firstRowLastColumn="0" w:lastRowFirstColumn="0" w:lastRowLastColumn="0"/>
            <w:tcW w:w="2970" w:type="dxa"/>
          </w:tcPr>
          <w:p w14:paraId="11DA387E"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Ontario Health Insurance Plan (OHIP)</w:t>
            </w:r>
          </w:p>
        </w:tc>
        <w:tc>
          <w:tcPr>
            <w:tcW w:w="6657" w:type="dxa"/>
          </w:tcPr>
          <w:p w14:paraId="7BB5F44A" w14:textId="77777777" w:rsidR="0083061B" w:rsidRPr="008508B9" w:rsidRDefault="0083061B" w:rsidP="00613316">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508B9">
              <w:rPr>
                <w:rFonts w:cs="Times New Roman"/>
                <w:sz w:val="20"/>
                <w:szCs w:val="20"/>
              </w:rPr>
              <w:t>Contains all physician services claimed under OHIP, including fee-for-service and shadow billings for physicians remunerated via capitation, since 1991.</w:t>
            </w:r>
          </w:p>
        </w:tc>
      </w:tr>
      <w:tr w:rsidR="0083061B" w:rsidRPr="008508B9" w14:paraId="095ED4A3" w14:textId="77777777" w:rsidTr="00613316">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970" w:type="dxa"/>
          </w:tcPr>
          <w:p w14:paraId="086EF5DA"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Canadian Institute for Health Information – Discharge Abstract Database (CIHI-DAD)</w:t>
            </w:r>
          </w:p>
        </w:tc>
        <w:tc>
          <w:tcPr>
            <w:tcW w:w="6657" w:type="dxa"/>
          </w:tcPr>
          <w:p w14:paraId="23DA50EA" w14:textId="77777777" w:rsidR="0083061B" w:rsidRPr="008508B9" w:rsidRDefault="0083061B" w:rsidP="00613316">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508B9">
              <w:rPr>
                <w:rFonts w:cs="Times New Roman"/>
                <w:sz w:val="20"/>
                <w:szCs w:val="20"/>
              </w:rPr>
              <w:t>Collects diagnostic and health service information on patient discharges from hospitals since 1988. Submission of these records to CIHI is mandated by provincial and territorial ministries of health across Canada (except Quebec).</w:t>
            </w:r>
          </w:p>
        </w:tc>
      </w:tr>
      <w:tr w:rsidR="0083061B" w:rsidRPr="008508B9" w14:paraId="13D4E26E" w14:textId="77777777" w:rsidTr="00613316">
        <w:trPr>
          <w:trHeight w:val="737"/>
        </w:trPr>
        <w:tc>
          <w:tcPr>
            <w:cnfStyle w:val="001000000000" w:firstRow="0" w:lastRow="0" w:firstColumn="1" w:lastColumn="0" w:oddVBand="0" w:evenVBand="0" w:oddHBand="0" w:evenHBand="0" w:firstRowFirstColumn="0" w:firstRowLastColumn="0" w:lastRowFirstColumn="0" w:lastRowLastColumn="0"/>
            <w:tcW w:w="2970" w:type="dxa"/>
          </w:tcPr>
          <w:p w14:paraId="16102A77"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Canadian Institute for Health Information – Same-Day Surgery (CIHI-SDS)</w:t>
            </w:r>
          </w:p>
        </w:tc>
        <w:tc>
          <w:tcPr>
            <w:tcW w:w="6657" w:type="dxa"/>
          </w:tcPr>
          <w:p w14:paraId="0539C205" w14:textId="77777777" w:rsidR="0083061B" w:rsidRPr="008508B9" w:rsidRDefault="0083061B" w:rsidP="00613316">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508B9">
              <w:rPr>
                <w:rFonts w:cs="Times New Roman"/>
                <w:sz w:val="20"/>
                <w:szCs w:val="20"/>
              </w:rPr>
              <w:t>Collects data  for  day surgery institutions in Ontario since 1988; every record corresponds to one same-day surgery or procedure stay. Submission of these records to CIHI is mandated by provincial and territorial ministries of health across Canada (except Quebec).</w:t>
            </w:r>
          </w:p>
        </w:tc>
      </w:tr>
      <w:tr w:rsidR="0083061B" w:rsidRPr="008508B9" w14:paraId="4D5008AA" w14:textId="77777777" w:rsidTr="00613316">
        <w:trPr>
          <w:cnfStyle w:val="000000100000" w:firstRow="0" w:lastRow="0" w:firstColumn="0" w:lastColumn="0" w:oddVBand="0" w:evenVBand="0" w:oddHBand="1" w:evenHBand="0"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2970" w:type="dxa"/>
          </w:tcPr>
          <w:p w14:paraId="68FF5AAB"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Canadian Institute for Health Information – National Ambulatory Care Reporting System (CIHI-NACRS)</w:t>
            </w:r>
          </w:p>
        </w:tc>
        <w:tc>
          <w:tcPr>
            <w:tcW w:w="6657" w:type="dxa"/>
          </w:tcPr>
          <w:p w14:paraId="2746419E" w14:textId="77777777" w:rsidR="0083061B" w:rsidRPr="008508B9" w:rsidRDefault="0083061B" w:rsidP="00613316">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508B9">
              <w:rPr>
                <w:rFonts w:cs="Times New Roman"/>
                <w:sz w:val="20"/>
                <w:szCs w:val="20"/>
              </w:rPr>
              <w:t>Collects information on patient visits to hospital and community based ambulatory care since 1988: day surgery, outpatient clinics and emergency departments. Submission of these records to CIHI is mandated by provincial and territorial ministries of health across Canada (except Quebec).</w:t>
            </w:r>
          </w:p>
        </w:tc>
      </w:tr>
      <w:tr w:rsidR="0083061B" w:rsidRPr="008508B9" w14:paraId="71A14E2C" w14:textId="77777777" w:rsidTr="00613316">
        <w:trPr>
          <w:trHeight w:val="694"/>
        </w:trPr>
        <w:tc>
          <w:tcPr>
            <w:cnfStyle w:val="001000000000" w:firstRow="0" w:lastRow="0" w:firstColumn="1" w:lastColumn="0" w:oddVBand="0" w:evenVBand="0" w:oddHBand="0" w:evenHBand="0" w:firstRowFirstColumn="0" w:firstRowLastColumn="0" w:lastRowFirstColumn="0" w:lastRowLastColumn="0"/>
            <w:tcW w:w="2970" w:type="dxa"/>
          </w:tcPr>
          <w:p w14:paraId="1269396D"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Ontario Mental Health Reporting System (OMHRS)</w:t>
            </w:r>
          </w:p>
        </w:tc>
        <w:tc>
          <w:tcPr>
            <w:tcW w:w="6657" w:type="dxa"/>
          </w:tcPr>
          <w:p w14:paraId="69CCD201" w14:textId="77777777" w:rsidR="0083061B" w:rsidRPr="008508B9" w:rsidRDefault="0083061B" w:rsidP="00613316">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508B9">
              <w:rPr>
                <w:rFonts w:cs="Times New Roman"/>
                <w:sz w:val="20"/>
                <w:szCs w:val="20"/>
              </w:rPr>
              <w:t>Mandated by provincial and territorial ministries of health across Canada to collect data on adult designated inpatient mental health beds since 2005. This includes beds in general, psychiatric, and specialty psychiatric facilities (except Quebec).</w:t>
            </w:r>
          </w:p>
        </w:tc>
      </w:tr>
      <w:tr w:rsidR="0083061B" w:rsidRPr="008508B9" w14:paraId="57F7C93B" w14:textId="77777777" w:rsidTr="0061331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970" w:type="dxa"/>
          </w:tcPr>
          <w:p w14:paraId="5440D7B5"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Client Agency Program Enrolment (CAPE)</w:t>
            </w:r>
          </w:p>
        </w:tc>
        <w:tc>
          <w:tcPr>
            <w:tcW w:w="6657" w:type="dxa"/>
          </w:tcPr>
          <w:p w14:paraId="56A01FFB" w14:textId="77777777" w:rsidR="0083061B" w:rsidRPr="008508B9" w:rsidRDefault="0083061B" w:rsidP="00613316">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508B9">
              <w:rPr>
                <w:rFonts w:cs="Times New Roman"/>
                <w:sz w:val="20"/>
                <w:szCs w:val="20"/>
              </w:rPr>
              <w:t>Record of all patients that have been rostered to a primary care provider in a patient enrollment model practice.</w:t>
            </w:r>
          </w:p>
        </w:tc>
      </w:tr>
      <w:tr w:rsidR="0083061B" w:rsidRPr="008508B9" w14:paraId="4FCE26E1" w14:textId="77777777" w:rsidTr="00613316">
        <w:trPr>
          <w:trHeight w:val="474"/>
        </w:trPr>
        <w:tc>
          <w:tcPr>
            <w:cnfStyle w:val="001000000000" w:firstRow="0" w:lastRow="0" w:firstColumn="1" w:lastColumn="0" w:oddVBand="0" w:evenVBand="0" w:oddHBand="0" w:evenHBand="0" w:firstRowFirstColumn="0" w:firstRowLastColumn="0" w:lastRowFirstColumn="0" w:lastRowLastColumn="0"/>
            <w:tcW w:w="2970" w:type="dxa"/>
          </w:tcPr>
          <w:p w14:paraId="57EFCF99"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Ontario Drug Benefit Claims (ODB)</w:t>
            </w:r>
          </w:p>
        </w:tc>
        <w:tc>
          <w:tcPr>
            <w:tcW w:w="6657" w:type="dxa"/>
          </w:tcPr>
          <w:p w14:paraId="25FC0164" w14:textId="77777777" w:rsidR="0083061B" w:rsidRPr="008508B9" w:rsidRDefault="0083061B" w:rsidP="00613316">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508B9">
              <w:rPr>
                <w:rFonts w:cs="Times New Roman"/>
                <w:sz w:val="20"/>
                <w:szCs w:val="20"/>
              </w:rPr>
              <w:t>Prescription drugs reimbursed under the Ontario Drug Benefit program (covers provincial residents ≥65 years or on welfare).</w:t>
            </w:r>
          </w:p>
        </w:tc>
      </w:tr>
      <w:tr w:rsidR="0083061B" w:rsidRPr="008508B9" w14:paraId="10BB7231" w14:textId="77777777" w:rsidTr="0061331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970" w:type="dxa"/>
          </w:tcPr>
          <w:p w14:paraId="32B65F81"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Canadian Organ Replacement Registry (CORR)</w:t>
            </w:r>
          </w:p>
        </w:tc>
        <w:tc>
          <w:tcPr>
            <w:tcW w:w="6657" w:type="dxa"/>
          </w:tcPr>
          <w:p w14:paraId="197AA292" w14:textId="77777777" w:rsidR="0083061B" w:rsidRPr="008508B9" w:rsidRDefault="0083061B" w:rsidP="00613316">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508B9">
              <w:rPr>
                <w:rFonts w:cs="Times New Roman"/>
                <w:sz w:val="20"/>
                <w:szCs w:val="20"/>
              </w:rPr>
              <w:t>Mandated to collect information on donors and recipients of vital organ transplantation and renal replacement therapy (hemodialysis or peritoneal dialysis) since 1988.</w:t>
            </w:r>
          </w:p>
        </w:tc>
      </w:tr>
      <w:tr w:rsidR="0083061B" w:rsidRPr="008508B9" w14:paraId="0094DE1F" w14:textId="77777777" w:rsidTr="00613316">
        <w:trPr>
          <w:trHeight w:val="694"/>
        </w:trPr>
        <w:tc>
          <w:tcPr>
            <w:cnfStyle w:val="001000000000" w:firstRow="0" w:lastRow="0" w:firstColumn="1" w:lastColumn="0" w:oddVBand="0" w:evenVBand="0" w:oddHBand="0" w:evenHBand="0" w:firstRowFirstColumn="0" w:firstRowLastColumn="0" w:lastRowFirstColumn="0" w:lastRowLastColumn="0"/>
            <w:tcW w:w="2970" w:type="dxa"/>
          </w:tcPr>
          <w:p w14:paraId="0218694B"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Ontario Myocardial Infarction Database (OMID)</w:t>
            </w:r>
          </w:p>
        </w:tc>
        <w:tc>
          <w:tcPr>
            <w:tcW w:w="6657" w:type="dxa"/>
          </w:tcPr>
          <w:p w14:paraId="7D8C0B27" w14:textId="77777777" w:rsidR="0083061B" w:rsidRPr="008508B9" w:rsidRDefault="0083061B" w:rsidP="00613316">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508B9">
              <w:rPr>
                <w:rFonts w:cs="Times New Roman"/>
                <w:sz w:val="20"/>
                <w:szCs w:val="20"/>
              </w:rPr>
              <w:t>Captures acute myocardial infarction (AMI) hospitalizations using validated codes in the most responsible diagnosis field. This database was created to facilitate comparisons of AMI care and outcomes across institutions and hospitals of a relatively homogenous group of AMI patients.</w:t>
            </w:r>
          </w:p>
        </w:tc>
      </w:tr>
      <w:tr w:rsidR="0083061B" w:rsidRPr="008508B9" w14:paraId="7FE9E299" w14:textId="77777777" w:rsidTr="00613316">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970" w:type="dxa"/>
          </w:tcPr>
          <w:p w14:paraId="6A19F48C"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Ontario Cancer Registry (OCR)</w:t>
            </w:r>
          </w:p>
        </w:tc>
        <w:tc>
          <w:tcPr>
            <w:tcW w:w="6657" w:type="dxa"/>
          </w:tcPr>
          <w:p w14:paraId="00C77BED" w14:textId="77777777" w:rsidR="0083061B" w:rsidRPr="008508B9" w:rsidRDefault="0083061B" w:rsidP="00613316">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508B9">
              <w:rPr>
                <w:rFonts w:cs="Times New Roman"/>
                <w:sz w:val="20"/>
                <w:szCs w:val="20"/>
              </w:rPr>
              <w:t>Mandated by the Cancer Act to collect information on all incident cancers (except for non-melanoma skin cancer) in Ontario since 1964</w:t>
            </w:r>
            <w:r w:rsidRPr="0028259E">
              <w:rPr>
                <w:rFonts w:cs="Times New Roman"/>
                <w:sz w:val="20"/>
                <w:szCs w:val="20"/>
              </w:rPr>
              <w:t xml:space="preserve"> from hospital discharge abstracts, pathology reports, health records of regional cancer centers, and death certificates</w:t>
            </w:r>
            <w:r>
              <w:rPr>
                <w:rFonts w:cs="Times New Roman"/>
                <w:sz w:val="20"/>
                <w:szCs w:val="20"/>
              </w:rPr>
              <w:t>.</w:t>
            </w:r>
          </w:p>
        </w:tc>
      </w:tr>
      <w:tr w:rsidR="0083061B" w:rsidRPr="008508B9" w14:paraId="53FB85AE" w14:textId="77777777" w:rsidTr="00613316">
        <w:trPr>
          <w:trHeight w:val="457"/>
        </w:trPr>
        <w:tc>
          <w:tcPr>
            <w:cnfStyle w:val="001000000000" w:firstRow="0" w:lastRow="0" w:firstColumn="1" w:lastColumn="0" w:oddVBand="0" w:evenVBand="0" w:oddHBand="0" w:evenHBand="0" w:firstRowFirstColumn="0" w:firstRowLastColumn="0" w:lastRowFirstColumn="0" w:lastRowLastColumn="0"/>
            <w:tcW w:w="2970" w:type="dxa"/>
          </w:tcPr>
          <w:p w14:paraId="4AA70DEE" w14:textId="77777777" w:rsidR="0083061B" w:rsidRPr="008508B9" w:rsidRDefault="0083061B" w:rsidP="00613316">
            <w:pPr>
              <w:spacing w:line="240" w:lineRule="auto"/>
              <w:rPr>
                <w:rFonts w:cs="Times New Roman"/>
                <w:b w:val="0"/>
                <w:bCs w:val="0"/>
                <w:sz w:val="20"/>
                <w:szCs w:val="20"/>
                <w:vertAlign w:val="superscript"/>
              </w:rPr>
            </w:pPr>
            <w:r w:rsidRPr="008508B9">
              <w:rPr>
                <w:rFonts w:cs="Times New Roman"/>
                <w:b w:val="0"/>
                <w:bCs w:val="0"/>
                <w:sz w:val="20"/>
                <w:szCs w:val="20"/>
              </w:rPr>
              <w:t>Ontario Crohn’s and Colitis Cohort (OCCC)</w:t>
            </w:r>
          </w:p>
        </w:tc>
        <w:tc>
          <w:tcPr>
            <w:tcW w:w="6657" w:type="dxa"/>
          </w:tcPr>
          <w:p w14:paraId="05CE3CB4" w14:textId="77777777" w:rsidR="0083061B" w:rsidRPr="008508B9" w:rsidRDefault="0083061B" w:rsidP="00613316">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508B9">
              <w:rPr>
                <w:rFonts w:cs="Times New Roman"/>
                <w:sz w:val="20"/>
                <w:szCs w:val="20"/>
              </w:rPr>
              <w:t xml:space="preserve">Service claims and diagnostic codes-based </w:t>
            </w:r>
            <w:r>
              <w:rPr>
                <w:rFonts w:cs="Times New Roman"/>
                <w:sz w:val="20"/>
                <w:szCs w:val="20"/>
              </w:rPr>
              <w:t xml:space="preserve">validated </w:t>
            </w:r>
            <w:r w:rsidRPr="008508B9">
              <w:rPr>
                <w:rFonts w:cs="Times New Roman"/>
                <w:sz w:val="20"/>
                <w:szCs w:val="20"/>
              </w:rPr>
              <w:t xml:space="preserve">algorithm capturing Ontario patients with Crohn’s disease or ulcerative colitis. </w:t>
            </w:r>
          </w:p>
        </w:tc>
      </w:tr>
      <w:tr w:rsidR="0083061B" w:rsidRPr="008508B9" w14:paraId="2B779A9C" w14:textId="77777777" w:rsidTr="00613316">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2970" w:type="dxa"/>
          </w:tcPr>
          <w:p w14:paraId="73443834" w14:textId="77777777" w:rsidR="0083061B" w:rsidRPr="008508B9" w:rsidRDefault="0083061B" w:rsidP="00613316">
            <w:pPr>
              <w:spacing w:line="240" w:lineRule="auto"/>
              <w:rPr>
                <w:rFonts w:cs="Times New Roman"/>
                <w:b w:val="0"/>
                <w:bCs w:val="0"/>
                <w:sz w:val="20"/>
                <w:szCs w:val="20"/>
                <w:highlight w:val="yellow"/>
                <w:vertAlign w:val="superscript"/>
              </w:rPr>
            </w:pPr>
            <w:r w:rsidRPr="008508B9">
              <w:rPr>
                <w:rFonts w:cs="Times New Roman"/>
                <w:b w:val="0"/>
                <w:bCs w:val="0"/>
                <w:sz w:val="20"/>
                <w:szCs w:val="20"/>
              </w:rPr>
              <w:t>Ontario Diabetes Database (ODD)</w:t>
            </w:r>
          </w:p>
        </w:tc>
        <w:tc>
          <w:tcPr>
            <w:tcW w:w="6657" w:type="dxa"/>
          </w:tcPr>
          <w:p w14:paraId="1B2D147C" w14:textId="77777777" w:rsidR="0083061B" w:rsidRPr="008508B9" w:rsidRDefault="0083061B" w:rsidP="00613316">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508B9">
              <w:rPr>
                <w:rFonts w:cs="Times New Roman"/>
                <w:sz w:val="20"/>
                <w:szCs w:val="20"/>
              </w:rPr>
              <w:t>Service claims and diagnostic codes-based algorithm capturing Ontario persons with non-gestational diabetes.</w:t>
            </w:r>
          </w:p>
        </w:tc>
      </w:tr>
      <w:tr w:rsidR="0083061B" w:rsidRPr="008508B9" w14:paraId="1BC89057" w14:textId="77777777" w:rsidTr="00613316">
        <w:trPr>
          <w:trHeight w:val="711"/>
        </w:trPr>
        <w:tc>
          <w:tcPr>
            <w:cnfStyle w:val="001000000000" w:firstRow="0" w:lastRow="0" w:firstColumn="1" w:lastColumn="0" w:oddVBand="0" w:evenVBand="0" w:oddHBand="0" w:evenHBand="0" w:firstRowFirstColumn="0" w:firstRowLastColumn="0" w:lastRowFirstColumn="0" w:lastRowLastColumn="0"/>
            <w:tcW w:w="2970" w:type="dxa"/>
          </w:tcPr>
          <w:p w14:paraId="26732A0A" w14:textId="77777777" w:rsidR="0083061B" w:rsidRPr="008508B9" w:rsidRDefault="0083061B" w:rsidP="00613316">
            <w:pPr>
              <w:spacing w:line="240" w:lineRule="auto"/>
              <w:rPr>
                <w:rFonts w:cs="Times New Roman"/>
                <w:b w:val="0"/>
                <w:bCs w:val="0"/>
                <w:sz w:val="20"/>
                <w:szCs w:val="20"/>
                <w:highlight w:val="yellow"/>
                <w:vertAlign w:val="superscript"/>
              </w:rPr>
            </w:pPr>
            <w:r w:rsidRPr="008508B9">
              <w:rPr>
                <w:rFonts w:cs="Times New Roman"/>
                <w:b w:val="0"/>
                <w:bCs w:val="0"/>
                <w:sz w:val="20"/>
                <w:szCs w:val="20"/>
              </w:rPr>
              <w:t>Ontario Congestive Heart Failure Dataset (CHF)</w:t>
            </w:r>
          </w:p>
        </w:tc>
        <w:tc>
          <w:tcPr>
            <w:tcW w:w="6657" w:type="dxa"/>
          </w:tcPr>
          <w:p w14:paraId="2B209388" w14:textId="77777777" w:rsidR="0083061B" w:rsidRPr="008508B9" w:rsidRDefault="0083061B" w:rsidP="00613316">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508B9">
              <w:rPr>
                <w:rFonts w:cs="Times New Roman"/>
                <w:sz w:val="20"/>
                <w:szCs w:val="20"/>
              </w:rPr>
              <w:t>Service claims and diagnostic codes-based algorithm capturing Ontario individuals with congestive heart failure.</w:t>
            </w:r>
          </w:p>
        </w:tc>
      </w:tr>
      <w:tr w:rsidR="0083061B" w:rsidRPr="008508B9" w14:paraId="3987BE85" w14:textId="77777777" w:rsidTr="00613316">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2970" w:type="dxa"/>
          </w:tcPr>
          <w:p w14:paraId="78561B77" w14:textId="77777777" w:rsidR="0083061B" w:rsidRPr="008508B9" w:rsidRDefault="0083061B" w:rsidP="00613316">
            <w:pPr>
              <w:spacing w:line="240" w:lineRule="auto"/>
              <w:rPr>
                <w:rFonts w:cs="Times New Roman"/>
                <w:b w:val="0"/>
                <w:bCs w:val="0"/>
                <w:sz w:val="20"/>
                <w:szCs w:val="20"/>
                <w:highlight w:val="yellow"/>
                <w:vertAlign w:val="superscript"/>
              </w:rPr>
            </w:pPr>
            <w:r w:rsidRPr="008508B9">
              <w:rPr>
                <w:rFonts w:cs="Times New Roman"/>
                <w:b w:val="0"/>
                <w:bCs w:val="0"/>
                <w:sz w:val="20"/>
                <w:szCs w:val="20"/>
              </w:rPr>
              <w:lastRenderedPageBreak/>
              <w:t>Ontario Chronic Obstructive Pulmonary Disease Dataset (COPD)</w:t>
            </w:r>
          </w:p>
        </w:tc>
        <w:tc>
          <w:tcPr>
            <w:tcW w:w="6657" w:type="dxa"/>
          </w:tcPr>
          <w:p w14:paraId="1A689779" w14:textId="77777777" w:rsidR="0083061B" w:rsidRPr="008508B9" w:rsidRDefault="0083061B" w:rsidP="00613316">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8508B9">
              <w:rPr>
                <w:rFonts w:cs="Times New Roman"/>
                <w:sz w:val="20"/>
                <w:szCs w:val="20"/>
              </w:rPr>
              <w:t>Service claims and diagnostic codes-based algorithm capturing Ontario individuals with chronic obstructive pulmonary disease.</w:t>
            </w:r>
          </w:p>
        </w:tc>
      </w:tr>
      <w:tr w:rsidR="0083061B" w:rsidRPr="008508B9" w14:paraId="03324BE4" w14:textId="77777777" w:rsidTr="00613316">
        <w:trPr>
          <w:trHeight w:val="694"/>
        </w:trPr>
        <w:tc>
          <w:tcPr>
            <w:cnfStyle w:val="001000000000" w:firstRow="0" w:lastRow="0" w:firstColumn="1" w:lastColumn="0" w:oddVBand="0" w:evenVBand="0" w:oddHBand="0" w:evenHBand="0" w:firstRowFirstColumn="0" w:firstRowLastColumn="0" w:lastRowFirstColumn="0" w:lastRowLastColumn="0"/>
            <w:tcW w:w="2970" w:type="dxa"/>
          </w:tcPr>
          <w:p w14:paraId="27A4CBAF" w14:textId="77777777" w:rsidR="0083061B" w:rsidRPr="008508B9" w:rsidRDefault="0083061B" w:rsidP="00613316">
            <w:pPr>
              <w:spacing w:line="240" w:lineRule="auto"/>
              <w:rPr>
                <w:rFonts w:cs="Times New Roman"/>
                <w:b w:val="0"/>
                <w:bCs w:val="0"/>
                <w:sz w:val="20"/>
                <w:szCs w:val="20"/>
              </w:rPr>
            </w:pPr>
            <w:r w:rsidRPr="008508B9">
              <w:rPr>
                <w:rFonts w:cs="Times New Roman"/>
                <w:b w:val="0"/>
                <w:bCs w:val="0"/>
                <w:sz w:val="20"/>
                <w:szCs w:val="20"/>
              </w:rPr>
              <w:t>Ontario Dementia Dataset (DEMENTIA)</w:t>
            </w:r>
          </w:p>
        </w:tc>
        <w:tc>
          <w:tcPr>
            <w:tcW w:w="6657" w:type="dxa"/>
          </w:tcPr>
          <w:p w14:paraId="7826CA78" w14:textId="77777777" w:rsidR="0083061B" w:rsidRPr="008508B9" w:rsidRDefault="0083061B" w:rsidP="00613316">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8508B9">
              <w:rPr>
                <w:rFonts w:cs="Times New Roman"/>
                <w:sz w:val="20"/>
                <w:szCs w:val="20"/>
              </w:rPr>
              <w:t xml:space="preserve">Service claims and diagnostic codes-based </w:t>
            </w:r>
            <w:r>
              <w:rPr>
                <w:rFonts w:cs="Times New Roman"/>
                <w:sz w:val="20"/>
                <w:szCs w:val="20"/>
              </w:rPr>
              <w:t xml:space="preserve">validated </w:t>
            </w:r>
            <w:r w:rsidRPr="008508B9">
              <w:rPr>
                <w:rFonts w:cs="Times New Roman"/>
                <w:sz w:val="20"/>
                <w:szCs w:val="20"/>
              </w:rPr>
              <w:t>algorithm capturing Ontario individuals with Alzheimer’s and related dementias between the ages of 40 to 110 years.</w:t>
            </w:r>
          </w:p>
        </w:tc>
      </w:tr>
    </w:tbl>
    <w:p w14:paraId="3B962BB1" w14:textId="77777777" w:rsidR="0083061B" w:rsidRPr="008508B9" w:rsidRDefault="0083061B" w:rsidP="0083061B">
      <w:pPr>
        <w:spacing w:line="240" w:lineRule="auto"/>
        <w:rPr>
          <w:rFonts w:cs="Times New Roman"/>
          <w:b/>
          <w:bCs/>
          <w:szCs w:val="24"/>
        </w:rPr>
      </w:pPr>
    </w:p>
    <w:p w14:paraId="0B16F22F" w14:textId="77777777" w:rsidR="0083061B" w:rsidRDefault="0083061B" w:rsidP="0083061B">
      <w:pPr>
        <w:spacing w:line="240" w:lineRule="auto"/>
        <w:rPr>
          <w:rFonts w:cs="Times New Roman"/>
          <w:b/>
          <w:bCs/>
          <w:szCs w:val="24"/>
        </w:rPr>
      </w:pPr>
    </w:p>
    <w:p w14:paraId="0A55A721" w14:textId="77777777" w:rsidR="0083061B" w:rsidRDefault="0083061B" w:rsidP="0083061B">
      <w:pPr>
        <w:spacing w:line="240" w:lineRule="auto"/>
        <w:rPr>
          <w:rFonts w:cs="Times New Roman"/>
          <w:b/>
          <w:bCs/>
          <w:szCs w:val="24"/>
        </w:rPr>
      </w:pPr>
    </w:p>
    <w:p w14:paraId="12F95D5B" w14:textId="77777777" w:rsidR="0083061B" w:rsidRPr="004732A2" w:rsidRDefault="0083061B" w:rsidP="0083061B">
      <w:pPr>
        <w:spacing w:line="240" w:lineRule="auto"/>
        <w:rPr>
          <w:rFonts w:cs="Times New Roman"/>
          <w:szCs w:val="24"/>
        </w:rPr>
      </w:pPr>
    </w:p>
    <w:p w14:paraId="037F20AA" w14:textId="77777777" w:rsidR="0083061B" w:rsidRDefault="0083061B" w:rsidP="0083061B">
      <w:pPr>
        <w:sectPr w:rsidR="0083061B" w:rsidSect="000A25D2">
          <w:footerReference w:type="default" r:id="rId7"/>
          <w:pgSz w:w="12240" w:h="15840"/>
          <w:pgMar w:top="1440" w:right="1440" w:bottom="1440" w:left="1440" w:header="720" w:footer="720" w:gutter="0"/>
          <w:cols w:space="720"/>
          <w:docGrid w:linePitch="360"/>
        </w:sectPr>
      </w:pPr>
    </w:p>
    <w:p w14:paraId="3F14BA80" w14:textId="37A44331" w:rsidR="0083061B" w:rsidRDefault="0083061B" w:rsidP="0083061B">
      <w:pPr>
        <w:spacing w:line="240" w:lineRule="auto"/>
        <w:rPr>
          <w:rFonts w:cs="Times New Roman"/>
          <w:szCs w:val="24"/>
        </w:rPr>
      </w:pPr>
      <w:r w:rsidRPr="00D0380F">
        <w:rPr>
          <w:rFonts w:cs="Times New Roman"/>
          <w:b/>
          <w:bCs/>
          <w:szCs w:val="24"/>
        </w:rPr>
        <w:lastRenderedPageBreak/>
        <w:t xml:space="preserve">Supplementary </w:t>
      </w:r>
      <w:r w:rsidR="007C2CDE">
        <w:rPr>
          <w:rFonts w:cs="Times New Roman"/>
          <w:b/>
          <w:bCs/>
          <w:szCs w:val="24"/>
        </w:rPr>
        <w:t>Table</w:t>
      </w:r>
      <w:r w:rsidRPr="00D0380F">
        <w:rPr>
          <w:rFonts w:cs="Times New Roman"/>
          <w:b/>
          <w:bCs/>
          <w:szCs w:val="24"/>
        </w:rPr>
        <w:t xml:space="preserve"> 2</w:t>
      </w:r>
      <w:r>
        <w:rPr>
          <w:rFonts w:cs="Times New Roman"/>
          <w:b/>
          <w:bCs/>
          <w:szCs w:val="24"/>
        </w:rPr>
        <w:t>.</w:t>
      </w:r>
      <w:r w:rsidRPr="008508B9">
        <w:rPr>
          <w:rFonts w:cs="Times New Roman"/>
          <w:szCs w:val="24"/>
        </w:rPr>
        <w:t xml:space="preserve"> Chronic disease definitions in administrative data</w:t>
      </w:r>
    </w:p>
    <w:p w14:paraId="1943A8CE" w14:textId="77777777" w:rsidR="0083061B" w:rsidRPr="008508B9" w:rsidRDefault="0083061B" w:rsidP="0083061B">
      <w:pPr>
        <w:spacing w:line="240" w:lineRule="auto"/>
        <w:rPr>
          <w:rFonts w:cs="Times New Roman"/>
          <w:szCs w:val="24"/>
        </w:rPr>
      </w:pPr>
    </w:p>
    <w:tbl>
      <w:tblPr>
        <w:tblStyle w:val="TableGrid"/>
        <w:tblW w:w="9434" w:type="dxa"/>
        <w:tblBorders>
          <w:left w:val="none" w:sz="0" w:space="0" w:color="auto"/>
          <w:right w:val="none" w:sz="0" w:space="0" w:color="auto"/>
          <w:insideV w:val="none" w:sz="0" w:space="0" w:color="auto"/>
        </w:tblBorders>
        <w:tblLook w:val="04A0" w:firstRow="1" w:lastRow="0" w:firstColumn="1" w:lastColumn="0" w:noHBand="0" w:noVBand="1"/>
      </w:tblPr>
      <w:tblGrid>
        <w:gridCol w:w="1530"/>
        <w:gridCol w:w="6210"/>
        <w:gridCol w:w="1694"/>
      </w:tblGrid>
      <w:tr w:rsidR="0083061B" w:rsidRPr="008508B9" w14:paraId="1140AEF2" w14:textId="77777777" w:rsidTr="00613316">
        <w:trPr>
          <w:trHeight w:val="393"/>
        </w:trPr>
        <w:tc>
          <w:tcPr>
            <w:tcW w:w="1530" w:type="dxa"/>
            <w:vAlign w:val="center"/>
          </w:tcPr>
          <w:p w14:paraId="53AF9451" w14:textId="77777777" w:rsidR="0083061B" w:rsidRPr="008508B9" w:rsidRDefault="0083061B" w:rsidP="00613316">
            <w:pPr>
              <w:spacing w:line="240" w:lineRule="auto"/>
              <w:jc w:val="center"/>
              <w:rPr>
                <w:rFonts w:cs="Times New Roman"/>
                <w:b/>
                <w:bCs/>
                <w:sz w:val="20"/>
                <w:szCs w:val="20"/>
              </w:rPr>
            </w:pPr>
            <w:r w:rsidRPr="008508B9">
              <w:rPr>
                <w:rFonts w:cs="Times New Roman"/>
                <w:b/>
                <w:bCs/>
                <w:sz w:val="20"/>
                <w:szCs w:val="20"/>
              </w:rPr>
              <w:t>Exposure</w:t>
            </w:r>
          </w:p>
        </w:tc>
        <w:tc>
          <w:tcPr>
            <w:tcW w:w="6210" w:type="dxa"/>
            <w:vAlign w:val="center"/>
          </w:tcPr>
          <w:p w14:paraId="11D9CB15" w14:textId="77777777" w:rsidR="0083061B" w:rsidRPr="008508B9" w:rsidRDefault="0083061B" w:rsidP="00613316">
            <w:pPr>
              <w:spacing w:line="240" w:lineRule="auto"/>
              <w:jc w:val="center"/>
              <w:rPr>
                <w:rFonts w:cs="Times New Roman"/>
                <w:b/>
                <w:bCs/>
                <w:sz w:val="20"/>
                <w:szCs w:val="20"/>
              </w:rPr>
            </w:pPr>
            <w:r w:rsidRPr="008508B9">
              <w:rPr>
                <w:rFonts w:cs="Times New Roman"/>
                <w:b/>
                <w:bCs/>
                <w:sz w:val="20"/>
                <w:szCs w:val="20"/>
              </w:rPr>
              <w:t>Definition</w:t>
            </w:r>
          </w:p>
        </w:tc>
        <w:tc>
          <w:tcPr>
            <w:tcW w:w="1694" w:type="dxa"/>
            <w:vAlign w:val="center"/>
          </w:tcPr>
          <w:p w14:paraId="6B50AE6E" w14:textId="77777777" w:rsidR="0083061B" w:rsidRPr="008508B9" w:rsidRDefault="0083061B" w:rsidP="00613316">
            <w:pPr>
              <w:spacing w:line="240" w:lineRule="auto"/>
              <w:jc w:val="center"/>
              <w:rPr>
                <w:rFonts w:cs="Times New Roman"/>
                <w:b/>
                <w:bCs/>
                <w:sz w:val="20"/>
                <w:szCs w:val="20"/>
              </w:rPr>
            </w:pPr>
            <w:r w:rsidRPr="008508B9">
              <w:rPr>
                <w:rFonts w:cs="Times New Roman"/>
                <w:b/>
                <w:bCs/>
                <w:sz w:val="20"/>
                <w:szCs w:val="20"/>
              </w:rPr>
              <w:t>Validity</w:t>
            </w:r>
          </w:p>
        </w:tc>
      </w:tr>
      <w:tr w:rsidR="0083061B" w:rsidRPr="008508B9" w14:paraId="5D766118" w14:textId="77777777" w:rsidTr="00613316">
        <w:trPr>
          <w:trHeight w:val="776"/>
        </w:trPr>
        <w:tc>
          <w:tcPr>
            <w:tcW w:w="1530" w:type="dxa"/>
          </w:tcPr>
          <w:p w14:paraId="79842C7D" w14:textId="77777777" w:rsidR="0083061B" w:rsidRPr="008508B9" w:rsidRDefault="0083061B" w:rsidP="00613316">
            <w:pPr>
              <w:spacing w:line="240" w:lineRule="auto"/>
              <w:rPr>
                <w:rFonts w:cs="Times New Roman"/>
                <w:sz w:val="20"/>
                <w:szCs w:val="20"/>
              </w:rPr>
            </w:pPr>
            <w:r w:rsidRPr="008508B9">
              <w:rPr>
                <w:rFonts w:cs="Times New Roman"/>
                <w:sz w:val="20"/>
                <w:szCs w:val="20"/>
              </w:rPr>
              <w:t>Cardiovascular disease (CVD)</w:t>
            </w:r>
            <w:r w:rsidRPr="004732A2">
              <w:rPr>
                <w:rFonts w:cs="Times New Roman"/>
                <w:szCs w:val="24"/>
              </w:rPr>
              <w:t xml:space="preserve"> </w:t>
            </w:r>
            <w:r w:rsidRPr="0059093A">
              <w:rPr>
                <w:rFonts w:cs="Times New Roman"/>
                <w:szCs w:val="24"/>
                <w:vertAlign w:val="superscript"/>
              </w:rPr>
              <w:t>1,2</w:t>
            </w:r>
          </w:p>
        </w:tc>
        <w:tc>
          <w:tcPr>
            <w:tcW w:w="6210" w:type="dxa"/>
          </w:tcPr>
          <w:p w14:paraId="5EABA88D" w14:textId="77777777" w:rsidR="0083061B" w:rsidRPr="008508B9" w:rsidRDefault="0083061B" w:rsidP="00613316">
            <w:pPr>
              <w:spacing w:line="240" w:lineRule="auto"/>
              <w:rPr>
                <w:rFonts w:cs="Times New Roman"/>
                <w:sz w:val="20"/>
                <w:szCs w:val="20"/>
                <w:u w:val="single"/>
              </w:rPr>
            </w:pPr>
            <w:r w:rsidRPr="008508B9">
              <w:rPr>
                <w:rFonts w:cs="Times New Roman"/>
                <w:sz w:val="20"/>
                <w:szCs w:val="20"/>
                <w:u w:val="single"/>
              </w:rPr>
              <w:t>Ischemic heart disease (IHD):</w:t>
            </w:r>
          </w:p>
          <w:p w14:paraId="7A6E0DD9"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OHIP</w:t>
            </w:r>
          </w:p>
          <w:p w14:paraId="6B163BDC" w14:textId="77777777" w:rsidR="0083061B" w:rsidRPr="008508B9" w:rsidRDefault="0083061B" w:rsidP="00613316">
            <w:pPr>
              <w:spacing w:line="240" w:lineRule="auto"/>
              <w:rPr>
                <w:rFonts w:cs="Times New Roman"/>
                <w:sz w:val="20"/>
                <w:szCs w:val="20"/>
              </w:rPr>
            </w:pPr>
            <w:r w:rsidRPr="008508B9">
              <w:rPr>
                <w:rFonts w:cs="Times New Roman"/>
                <w:sz w:val="20"/>
                <w:szCs w:val="20"/>
              </w:rPr>
              <w:t>OHIP diagnostic codes: 410, 412, 413</w:t>
            </w:r>
          </w:p>
          <w:p w14:paraId="4F0354D7" w14:textId="77777777" w:rsidR="0083061B" w:rsidRPr="008508B9" w:rsidRDefault="0083061B" w:rsidP="00613316">
            <w:pPr>
              <w:spacing w:line="240" w:lineRule="auto"/>
              <w:rPr>
                <w:rFonts w:cs="Times New Roman"/>
                <w:sz w:val="20"/>
                <w:szCs w:val="20"/>
              </w:rPr>
            </w:pPr>
            <w:r w:rsidRPr="008508B9">
              <w:rPr>
                <w:rFonts w:cs="Times New Roman"/>
                <w:sz w:val="20"/>
                <w:szCs w:val="20"/>
              </w:rPr>
              <w:t>OHIP service codes: Z434, G298, R742, R743</w:t>
            </w:r>
          </w:p>
          <w:p w14:paraId="4DDAA7ED" w14:textId="77777777" w:rsidR="0083061B" w:rsidRPr="008508B9" w:rsidRDefault="0083061B" w:rsidP="00613316">
            <w:pPr>
              <w:spacing w:line="240" w:lineRule="auto"/>
              <w:rPr>
                <w:rFonts w:cs="Times New Roman"/>
                <w:sz w:val="20"/>
                <w:szCs w:val="20"/>
              </w:rPr>
            </w:pPr>
          </w:p>
          <w:p w14:paraId="5869178C"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CIHI</w:t>
            </w:r>
          </w:p>
          <w:p w14:paraId="52B937A4" w14:textId="77777777" w:rsidR="0083061B" w:rsidRPr="008508B9" w:rsidRDefault="0083061B" w:rsidP="00613316">
            <w:pPr>
              <w:spacing w:line="240" w:lineRule="auto"/>
              <w:rPr>
                <w:rFonts w:cs="Times New Roman"/>
                <w:sz w:val="20"/>
                <w:szCs w:val="20"/>
              </w:rPr>
            </w:pPr>
            <w:r w:rsidRPr="008508B9">
              <w:rPr>
                <w:rFonts w:cs="Times New Roman"/>
                <w:sz w:val="20"/>
                <w:szCs w:val="20"/>
              </w:rPr>
              <w:t>ICD-9 diagnostic codes: 410-414</w:t>
            </w:r>
          </w:p>
          <w:p w14:paraId="269869FE" w14:textId="77777777" w:rsidR="0083061B" w:rsidRPr="008508B9" w:rsidRDefault="0083061B" w:rsidP="00613316">
            <w:pPr>
              <w:spacing w:line="240" w:lineRule="auto"/>
              <w:rPr>
                <w:rFonts w:cs="Times New Roman"/>
                <w:sz w:val="20"/>
                <w:szCs w:val="20"/>
              </w:rPr>
            </w:pPr>
            <w:r w:rsidRPr="008508B9">
              <w:rPr>
                <w:rFonts w:cs="Times New Roman"/>
                <w:sz w:val="20"/>
                <w:szCs w:val="20"/>
              </w:rPr>
              <w:t>ICD-10 diagnostic codes: I20-I25</w:t>
            </w:r>
          </w:p>
          <w:p w14:paraId="4026FFD4" w14:textId="77777777" w:rsidR="0083061B" w:rsidRPr="008508B9" w:rsidRDefault="0083061B" w:rsidP="00613316">
            <w:pPr>
              <w:spacing w:line="240" w:lineRule="auto"/>
              <w:rPr>
                <w:rFonts w:cs="Times New Roman"/>
                <w:sz w:val="20"/>
                <w:szCs w:val="20"/>
              </w:rPr>
            </w:pPr>
            <w:r w:rsidRPr="008508B9">
              <w:rPr>
                <w:rFonts w:cs="Times New Roman"/>
                <w:sz w:val="20"/>
                <w:szCs w:val="20"/>
              </w:rPr>
              <w:t>CCP procedural codes: 48.02, 48.03, 48.09, 48.1, 48.2</w:t>
            </w:r>
          </w:p>
          <w:p w14:paraId="33313797" w14:textId="77777777" w:rsidR="0083061B" w:rsidRPr="008508B9" w:rsidRDefault="0083061B" w:rsidP="00613316">
            <w:pPr>
              <w:spacing w:line="240" w:lineRule="auto"/>
              <w:rPr>
                <w:rFonts w:cs="Times New Roman"/>
                <w:sz w:val="20"/>
                <w:szCs w:val="20"/>
              </w:rPr>
            </w:pPr>
            <w:r w:rsidRPr="008508B9">
              <w:rPr>
                <w:rFonts w:cs="Times New Roman"/>
                <w:sz w:val="20"/>
                <w:szCs w:val="20"/>
              </w:rPr>
              <w:t>CCI procedural codes: 1IJ50, 1IJ55, 1IJ57GQ, 1IJ26, 1IJ76, 1IJ80</w:t>
            </w:r>
          </w:p>
          <w:p w14:paraId="022E71F4" w14:textId="77777777" w:rsidR="0083061B" w:rsidRPr="008508B9" w:rsidRDefault="0083061B" w:rsidP="00613316">
            <w:pPr>
              <w:spacing w:line="240" w:lineRule="auto"/>
              <w:rPr>
                <w:rFonts w:cs="Times New Roman"/>
                <w:sz w:val="20"/>
                <w:szCs w:val="20"/>
              </w:rPr>
            </w:pPr>
          </w:p>
          <w:p w14:paraId="4AD645CD"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OMID</w:t>
            </w:r>
          </w:p>
          <w:p w14:paraId="1940B11A" w14:textId="77777777" w:rsidR="0083061B" w:rsidRPr="008508B9" w:rsidRDefault="0083061B" w:rsidP="00613316">
            <w:pPr>
              <w:spacing w:line="240" w:lineRule="auto"/>
              <w:rPr>
                <w:rFonts w:cs="Times New Roman"/>
                <w:sz w:val="20"/>
                <w:szCs w:val="20"/>
              </w:rPr>
            </w:pPr>
            <w:r w:rsidRPr="008508B9">
              <w:rPr>
                <w:rFonts w:cs="Times New Roman"/>
                <w:sz w:val="20"/>
                <w:szCs w:val="20"/>
              </w:rPr>
              <w:t>Hospitalized for an acute myocardial infarction, with ICD-9 code 410 or ICD-10 code I21 as most responsible hospitalization.</w:t>
            </w:r>
          </w:p>
          <w:p w14:paraId="61D704F1" w14:textId="77777777" w:rsidR="0083061B" w:rsidRPr="008508B9" w:rsidRDefault="0083061B" w:rsidP="00613316">
            <w:pPr>
              <w:spacing w:line="240" w:lineRule="auto"/>
              <w:rPr>
                <w:rFonts w:cs="Times New Roman"/>
                <w:sz w:val="20"/>
                <w:szCs w:val="20"/>
              </w:rPr>
            </w:pPr>
          </w:p>
          <w:p w14:paraId="10E56ADE" w14:textId="77777777" w:rsidR="0083061B" w:rsidRPr="008508B9" w:rsidRDefault="0083061B" w:rsidP="00613316">
            <w:pPr>
              <w:spacing w:line="240" w:lineRule="auto"/>
              <w:rPr>
                <w:rFonts w:cs="Times New Roman"/>
                <w:sz w:val="20"/>
                <w:szCs w:val="20"/>
                <w:u w:val="single"/>
              </w:rPr>
            </w:pPr>
            <w:r w:rsidRPr="008508B9">
              <w:rPr>
                <w:rFonts w:cs="Times New Roman"/>
                <w:sz w:val="20"/>
                <w:szCs w:val="20"/>
                <w:u w:val="single"/>
              </w:rPr>
              <w:t>Stroke or transient ischemic attack (TIA):</w:t>
            </w:r>
          </w:p>
          <w:p w14:paraId="4C418DE8"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OHIP</w:t>
            </w:r>
          </w:p>
          <w:p w14:paraId="09EDCD29" w14:textId="77777777" w:rsidR="0083061B" w:rsidRPr="008508B9" w:rsidRDefault="0083061B" w:rsidP="00613316">
            <w:pPr>
              <w:spacing w:line="240" w:lineRule="auto"/>
              <w:rPr>
                <w:rFonts w:cs="Times New Roman"/>
                <w:sz w:val="20"/>
                <w:szCs w:val="20"/>
              </w:rPr>
            </w:pPr>
            <w:r w:rsidRPr="008508B9">
              <w:rPr>
                <w:rFonts w:cs="Times New Roman"/>
                <w:sz w:val="20"/>
                <w:szCs w:val="20"/>
              </w:rPr>
              <w:t>OHIP diagnostic codes: 436, 432, 435</w:t>
            </w:r>
          </w:p>
          <w:p w14:paraId="02E44323" w14:textId="77777777" w:rsidR="0083061B" w:rsidRPr="008508B9" w:rsidRDefault="0083061B" w:rsidP="00613316">
            <w:pPr>
              <w:spacing w:line="240" w:lineRule="auto"/>
              <w:rPr>
                <w:rFonts w:cs="Times New Roman"/>
                <w:sz w:val="20"/>
                <w:szCs w:val="20"/>
              </w:rPr>
            </w:pPr>
          </w:p>
          <w:p w14:paraId="09F053C2"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CIHI</w:t>
            </w:r>
          </w:p>
          <w:p w14:paraId="63C9FC3D" w14:textId="77777777" w:rsidR="0083061B" w:rsidRPr="008508B9" w:rsidRDefault="0083061B" w:rsidP="00613316">
            <w:pPr>
              <w:spacing w:line="240" w:lineRule="auto"/>
              <w:rPr>
                <w:rFonts w:cs="Times New Roman"/>
                <w:sz w:val="20"/>
                <w:szCs w:val="20"/>
              </w:rPr>
            </w:pPr>
            <w:r w:rsidRPr="008508B9">
              <w:rPr>
                <w:rFonts w:cs="Times New Roman"/>
                <w:sz w:val="20"/>
                <w:szCs w:val="20"/>
              </w:rPr>
              <w:t xml:space="preserve">ICD-9 diagnostic codes: 362.3, 430, 431, 434.0, 434.1, 434.9, 436, 435.0-435.3, 435.8, 435.9 </w:t>
            </w:r>
          </w:p>
          <w:p w14:paraId="56DE9AEC" w14:textId="77777777" w:rsidR="0083061B" w:rsidRPr="008508B9" w:rsidRDefault="0083061B" w:rsidP="00613316">
            <w:pPr>
              <w:spacing w:line="240" w:lineRule="auto"/>
              <w:rPr>
                <w:rFonts w:cs="Times New Roman"/>
                <w:sz w:val="20"/>
                <w:szCs w:val="20"/>
              </w:rPr>
            </w:pPr>
            <w:r w:rsidRPr="008508B9">
              <w:rPr>
                <w:rFonts w:cs="Times New Roman"/>
                <w:sz w:val="20"/>
                <w:szCs w:val="20"/>
              </w:rPr>
              <w:t>ICD-10 diagnostic codes: I60.0-I60.9, I61.0-I61.6, I61.8, I61.9, I63.0-I63.5, I63.8, I63.9, I64, H34.1, G45.0-G45.3, G45.8, G45.9</w:t>
            </w:r>
          </w:p>
        </w:tc>
        <w:tc>
          <w:tcPr>
            <w:tcW w:w="1694" w:type="dxa"/>
          </w:tcPr>
          <w:p w14:paraId="34EA3A6F" w14:textId="77777777" w:rsidR="0083061B" w:rsidRPr="008508B9" w:rsidRDefault="0083061B" w:rsidP="00613316">
            <w:pPr>
              <w:spacing w:line="240" w:lineRule="auto"/>
              <w:rPr>
                <w:rFonts w:cs="Times New Roman"/>
                <w:sz w:val="20"/>
                <w:szCs w:val="20"/>
              </w:rPr>
            </w:pPr>
            <w:r w:rsidRPr="008508B9">
              <w:rPr>
                <w:rFonts w:cs="Times New Roman"/>
                <w:sz w:val="20"/>
                <w:szCs w:val="20"/>
              </w:rPr>
              <w:t>IHD: 77% sensitivity, 99% specificity</w:t>
            </w:r>
          </w:p>
          <w:p w14:paraId="18D080FB" w14:textId="77777777" w:rsidR="0083061B" w:rsidRPr="008508B9" w:rsidRDefault="0083061B" w:rsidP="00613316">
            <w:pPr>
              <w:spacing w:line="240" w:lineRule="auto"/>
              <w:rPr>
                <w:rFonts w:cs="Times New Roman"/>
                <w:sz w:val="20"/>
                <w:szCs w:val="20"/>
              </w:rPr>
            </w:pPr>
          </w:p>
          <w:p w14:paraId="11F0C9B2" w14:textId="77777777" w:rsidR="0083061B" w:rsidRPr="008508B9" w:rsidRDefault="0083061B" w:rsidP="00613316">
            <w:pPr>
              <w:spacing w:line="240" w:lineRule="auto"/>
              <w:rPr>
                <w:rFonts w:cs="Times New Roman"/>
                <w:sz w:val="20"/>
                <w:szCs w:val="20"/>
              </w:rPr>
            </w:pPr>
            <w:r w:rsidRPr="008508B9">
              <w:rPr>
                <w:rFonts w:cs="Times New Roman"/>
                <w:sz w:val="20"/>
                <w:szCs w:val="20"/>
              </w:rPr>
              <w:t>Stroke or TIA: 60% sensitivity, 99% specificity</w:t>
            </w:r>
          </w:p>
        </w:tc>
      </w:tr>
      <w:tr w:rsidR="0083061B" w:rsidRPr="008508B9" w14:paraId="120093F6" w14:textId="77777777" w:rsidTr="00613316">
        <w:trPr>
          <w:trHeight w:val="393"/>
        </w:trPr>
        <w:tc>
          <w:tcPr>
            <w:tcW w:w="1530" w:type="dxa"/>
          </w:tcPr>
          <w:p w14:paraId="2177AEBC" w14:textId="77777777" w:rsidR="0083061B" w:rsidRPr="008508B9" w:rsidRDefault="0083061B" w:rsidP="00613316">
            <w:pPr>
              <w:spacing w:line="240" w:lineRule="auto"/>
              <w:rPr>
                <w:rFonts w:cs="Times New Roman"/>
                <w:sz w:val="20"/>
                <w:szCs w:val="20"/>
                <w:highlight w:val="yellow"/>
              </w:rPr>
            </w:pPr>
            <w:r w:rsidRPr="008508B9">
              <w:rPr>
                <w:rFonts w:cs="Times New Roman"/>
                <w:sz w:val="20"/>
                <w:szCs w:val="20"/>
              </w:rPr>
              <w:t>Chronic obstructive pulmonary disease (COPD)</w:t>
            </w:r>
            <w:r w:rsidRPr="004732A2">
              <w:rPr>
                <w:rFonts w:cs="Times New Roman"/>
                <w:szCs w:val="24"/>
              </w:rPr>
              <w:t xml:space="preserve"> </w:t>
            </w:r>
            <w:r w:rsidRPr="0059093A">
              <w:rPr>
                <w:rFonts w:cs="Times New Roman"/>
                <w:szCs w:val="24"/>
                <w:vertAlign w:val="superscript"/>
              </w:rPr>
              <w:t>3</w:t>
            </w:r>
          </w:p>
        </w:tc>
        <w:tc>
          <w:tcPr>
            <w:tcW w:w="6210" w:type="dxa"/>
          </w:tcPr>
          <w:p w14:paraId="0777340C" w14:textId="77777777" w:rsidR="0083061B" w:rsidRPr="008508B9" w:rsidRDefault="0083061B" w:rsidP="00613316">
            <w:pPr>
              <w:spacing w:line="240" w:lineRule="auto"/>
              <w:rPr>
                <w:rFonts w:cs="Times New Roman"/>
                <w:sz w:val="20"/>
                <w:szCs w:val="20"/>
              </w:rPr>
            </w:pPr>
            <w:r w:rsidRPr="008508B9">
              <w:rPr>
                <w:rFonts w:cs="Times New Roman"/>
                <w:sz w:val="20"/>
                <w:szCs w:val="20"/>
              </w:rPr>
              <w:t>COPD was defined using the Ontario COPD Cohort, which is based on 1 OHIP claim or 1 CIHI hospitalization in a 2-year period.</w:t>
            </w:r>
          </w:p>
          <w:p w14:paraId="03146A5C" w14:textId="77777777" w:rsidR="0083061B" w:rsidRPr="008508B9" w:rsidRDefault="0083061B" w:rsidP="00613316">
            <w:pPr>
              <w:spacing w:line="240" w:lineRule="auto"/>
              <w:rPr>
                <w:rFonts w:cs="Times New Roman"/>
                <w:i/>
                <w:iCs/>
                <w:sz w:val="20"/>
                <w:szCs w:val="20"/>
              </w:rPr>
            </w:pPr>
          </w:p>
          <w:p w14:paraId="4140EF2A" w14:textId="77777777" w:rsidR="0083061B" w:rsidRPr="008508B9" w:rsidRDefault="0083061B" w:rsidP="00613316">
            <w:pPr>
              <w:spacing w:line="240" w:lineRule="auto"/>
              <w:rPr>
                <w:rFonts w:cs="Times New Roman"/>
                <w:sz w:val="20"/>
                <w:szCs w:val="20"/>
              </w:rPr>
            </w:pPr>
            <w:r w:rsidRPr="008508B9">
              <w:rPr>
                <w:rFonts w:cs="Times New Roman"/>
                <w:sz w:val="20"/>
                <w:szCs w:val="20"/>
              </w:rPr>
              <w:t>OHIP/ICD-9 diagnostic codes: 491, 492, 496</w:t>
            </w:r>
          </w:p>
          <w:p w14:paraId="7323EA62" w14:textId="77777777" w:rsidR="0083061B" w:rsidRPr="008508B9" w:rsidRDefault="0083061B" w:rsidP="00613316">
            <w:pPr>
              <w:spacing w:line="240" w:lineRule="auto"/>
              <w:rPr>
                <w:rFonts w:cs="Times New Roman"/>
                <w:sz w:val="20"/>
                <w:szCs w:val="20"/>
              </w:rPr>
            </w:pPr>
            <w:r w:rsidRPr="008508B9">
              <w:rPr>
                <w:rFonts w:cs="Times New Roman"/>
                <w:sz w:val="20"/>
                <w:szCs w:val="20"/>
              </w:rPr>
              <w:t>ICD-10 diagnostic codes: J41, J43, J44</w:t>
            </w:r>
          </w:p>
        </w:tc>
        <w:tc>
          <w:tcPr>
            <w:tcW w:w="1694" w:type="dxa"/>
          </w:tcPr>
          <w:p w14:paraId="43E3B76C" w14:textId="77777777" w:rsidR="0083061B" w:rsidRPr="008508B9" w:rsidRDefault="0083061B" w:rsidP="00613316">
            <w:pPr>
              <w:spacing w:line="240" w:lineRule="auto"/>
              <w:rPr>
                <w:rFonts w:cs="Times New Roman"/>
                <w:sz w:val="20"/>
                <w:szCs w:val="20"/>
              </w:rPr>
            </w:pPr>
            <w:r w:rsidRPr="008508B9">
              <w:rPr>
                <w:rFonts w:cs="Times New Roman"/>
                <w:sz w:val="20"/>
                <w:szCs w:val="20"/>
              </w:rPr>
              <w:t>85% sensitivity, 78% specificity</w:t>
            </w:r>
          </w:p>
        </w:tc>
      </w:tr>
      <w:tr w:rsidR="0083061B" w:rsidRPr="008508B9" w14:paraId="3A3813BD" w14:textId="77777777" w:rsidTr="00613316">
        <w:trPr>
          <w:trHeight w:val="350"/>
        </w:trPr>
        <w:tc>
          <w:tcPr>
            <w:tcW w:w="1530" w:type="dxa"/>
          </w:tcPr>
          <w:p w14:paraId="3B390328" w14:textId="77777777" w:rsidR="0083061B" w:rsidRPr="008508B9" w:rsidRDefault="0083061B" w:rsidP="00613316">
            <w:pPr>
              <w:spacing w:line="240" w:lineRule="auto"/>
              <w:rPr>
                <w:rFonts w:cs="Times New Roman"/>
                <w:sz w:val="20"/>
                <w:szCs w:val="20"/>
                <w:highlight w:val="yellow"/>
              </w:rPr>
            </w:pPr>
            <w:r w:rsidRPr="008508B9">
              <w:rPr>
                <w:rFonts w:cs="Times New Roman"/>
                <w:sz w:val="20"/>
                <w:szCs w:val="20"/>
              </w:rPr>
              <w:t>Congestive heart failure (CHF)</w:t>
            </w:r>
            <w:r w:rsidRPr="0059093A">
              <w:rPr>
                <w:rFonts w:cs="Times New Roman"/>
                <w:szCs w:val="24"/>
                <w:vertAlign w:val="superscript"/>
              </w:rPr>
              <w:t>4</w:t>
            </w:r>
          </w:p>
        </w:tc>
        <w:tc>
          <w:tcPr>
            <w:tcW w:w="6210" w:type="dxa"/>
          </w:tcPr>
          <w:p w14:paraId="153AF79E" w14:textId="77777777" w:rsidR="0083061B" w:rsidRPr="008508B9" w:rsidRDefault="0083061B" w:rsidP="00613316">
            <w:pPr>
              <w:spacing w:line="240" w:lineRule="auto"/>
              <w:rPr>
                <w:rFonts w:cs="Times New Roman"/>
                <w:sz w:val="20"/>
                <w:szCs w:val="20"/>
              </w:rPr>
            </w:pPr>
            <w:r w:rsidRPr="008508B9">
              <w:rPr>
                <w:rFonts w:cs="Times New Roman"/>
                <w:sz w:val="20"/>
                <w:szCs w:val="20"/>
              </w:rPr>
              <w:t>CHF was defined using the Ontario CHF Cohort, which is based on 1 CIHI hospitalization or 1 OHIP claim/NACRS emergency visit followed by 1 CIHI hospitalization, NACRS emergency visit, or OHIP claim within a 1-year period.</w:t>
            </w:r>
          </w:p>
          <w:p w14:paraId="123A12F6" w14:textId="77777777" w:rsidR="0083061B" w:rsidRPr="008508B9" w:rsidRDefault="0083061B" w:rsidP="00613316">
            <w:pPr>
              <w:spacing w:line="240" w:lineRule="auto"/>
              <w:rPr>
                <w:rFonts w:cs="Times New Roman"/>
                <w:i/>
                <w:iCs/>
                <w:sz w:val="20"/>
                <w:szCs w:val="20"/>
              </w:rPr>
            </w:pPr>
          </w:p>
          <w:p w14:paraId="58F6216F" w14:textId="77777777" w:rsidR="0083061B" w:rsidRPr="008508B9" w:rsidRDefault="0083061B" w:rsidP="00613316">
            <w:pPr>
              <w:spacing w:line="240" w:lineRule="auto"/>
              <w:rPr>
                <w:rFonts w:cs="Times New Roman"/>
                <w:sz w:val="20"/>
                <w:szCs w:val="20"/>
              </w:rPr>
            </w:pPr>
            <w:r w:rsidRPr="008508B9">
              <w:rPr>
                <w:rFonts w:cs="Times New Roman"/>
                <w:sz w:val="20"/>
                <w:szCs w:val="20"/>
              </w:rPr>
              <w:t>OHIP/ICD-9 diagnostic codes: 428</w:t>
            </w:r>
          </w:p>
          <w:p w14:paraId="756D96C2" w14:textId="77777777" w:rsidR="0083061B" w:rsidRPr="008508B9" w:rsidRDefault="0083061B" w:rsidP="00613316">
            <w:pPr>
              <w:spacing w:line="240" w:lineRule="auto"/>
              <w:rPr>
                <w:rFonts w:cs="Times New Roman"/>
                <w:sz w:val="20"/>
                <w:szCs w:val="20"/>
              </w:rPr>
            </w:pPr>
            <w:r w:rsidRPr="008508B9">
              <w:rPr>
                <w:rFonts w:cs="Times New Roman"/>
                <w:sz w:val="20"/>
                <w:szCs w:val="20"/>
              </w:rPr>
              <w:t>ICD-10 diagnostic codes: I500, I501, I509</w:t>
            </w:r>
          </w:p>
        </w:tc>
        <w:tc>
          <w:tcPr>
            <w:tcW w:w="1694" w:type="dxa"/>
          </w:tcPr>
          <w:p w14:paraId="083D7EDA" w14:textId="77777777" w:rsidR="0083061B" w:rsidRPr="008508B9" w:rsidRDefault="0083061B" w:rsidP="00613316">
            <w:pPr>
              <w:spacing w:line="240" w:lineRule="auto"/>
              <w:rPr>
                <w:rFonts w:cs="Times New Roman"/>
                <w:sz w:val="20"/>
                <w:szCs w:val="20"/>
              </w:rPr>
            </w:pPr>
            <w:r w:rsidRPr="008508B9">
              <w:rPr>
                <w:rFonts w:cs="Times New Roman"/>
                <w:sz w:val="20"/>
                <w:szCs w:val="20"/>
              </w:rPr>
              <w:t>85% sensitivity, 97% specificity</w:t>
            </w:r>
          </w:p>
        </w:tc>
      </w:tr>
      <w:tr w:rsidR="0083061B" w:rsidRPr="008508B9" w14:paraId="7C14166F" w14:textId="77777777" w:rsidTr="00613316">
        <w:trPr>
          <w:trHeight w:val="1003"/>
        </w:trPr>
        <w:tc>
          <w:tcPr>
            <w:tcW w:w="1530" w:type="dxa"/>
          </w:tcPr>
          <w:p w14:paraId="145A0963" w14:textId="77777777" w:rsidR="0083061B" w:rsidRPr="008508B9" w:rsidRDefault="0083061B" w:rsidP="00613316">
            <w:pPr>
              <w:spacing w:line="240" w:lineRule="auto"/>
              <w:rPr>
                <w:rFonts w:cs="Times New Roman"/>
                <w:sz w:val="20"/>
                <w:szCs w:val="20"/>
              </w:rPr>
            </w:pPr>
            <w:r w:rsidRPr="008508B9">
              <w:rPr>
                <w:rFonts w:cs="Times New Roman"/>
                <w:sz w:val="20"/>
                <w:szCs w:val="20"/>
              </w:rPr>
              <w:t>Diabetes</w:t>
            </w:r>
            <w:r w:rsidRPr="0059093A">
              <w:rPr>
                <w:rFonts w:cs="Times New Roman"/>
                <w:szCs w:val="24"/>
                <w:vertAlign w:val="superscript"/>
              </w:rPr>
              <w:t>5</w:t>
            </w:r>
          </w:p>
        </w:tc>
        <w:tc>
          <w:tcPr>
            <w:tcW w:w="6210" w:type="dxa"/>
          </w:tcPr>
          <w:p w14:paraId="5D26D8A1" w14:textId="77777777" w:rsidR="0083061B" w:rsidRPr="008508B9" w:rsidRDefault="0083061B" w:rsidP="00613316">
            <w:pPr>
              <w:spacing w:line="240" w:lineRule="auto"/>
              <w:rPr>
                <w:rFonts w:cs="Times New Roman"/>
                <w:sz w:val="20"/>
                <w:szCs w:val="20"/>
              </w:rPr>
            </w:pPr>
            <w:r w:rsidRPr="008508B9">
              <w:rPr>
                <w:rFonts w:cs="Times New Roman"/>
                <w:sz w:val="20"/>
                <w:szCs w:val="20"/>
              </w:rPr>
              <w:t>Diabetes was defined using the ODD cohort, which is based on 2 OHIP diagnostic codes or 1 OHIP service code or 1 CIHI hospitalization in a 2-year period.</w:t>
            </w:r>
          </w:p>
          <w:p w14:paraId="36518523" w14:textId="77777777" w:rsidR="0083061B" w:rsidRPr="008508B9" w:rsidRDefault="0083061B" w:rsidP="00613316">
            <w:pPr>
              <w:spacing w:line="240" w:lineRule="auto"/>
              <w:rPr>
                <w:rFonts w:cs="Times New Roman"/>
                <w:i/>
                <w:iCs/>
                <w:sz w:val="20"/>
                <w:szCs w:val="20"/>
              </w:rPr>
            </w:pPr>
          </w:p>
          <w:p w14:paraId="706D51B9" w14:textId="77777777" w:rsidR="0083061B" w:rsidRPr="008508B9" w:rsidRDefault="0083061B" w:rsidP="00613316">
            <w:pPr>
              <w:spacing w:line="240" w:lineRule="auto"/>
              <w:rPr>
                <w:rFonts w:cs="Times New Roman"/>
                <w:sz w:val="20"/>
                <w:szCs w:val="20"/>
              </w:rPr>
            </w:pPr>
            <w:r w:rsidRPr="008508B9">
              <w:rPr>
                <w:rFonts w:cs="Times New Roman"/>
                <w:sz w:val="20"/>
                <w:szCs w:val="20"/>
              </w:rPr>
              <w:t>OHIP/ICD-9 diagnostic code: 250</w:t>
            </w:r>
          </w:p>
          <w:p w14:paraId="2CE52763" w14:textId="77777777" w:rsidR="0083061B" w:rsidRPr="008508B9" w:rsidRDefault="0083061B" w:rsidP="00613316">
            <w:pPr>
              <w:spacing w:line="240" w:lineRule="auto"/>
              <w:rPr>
                <w:rFonts w:cs="Times New Roman"/>
                <w:sz w:val="20"/>
                <w:szCs w:val="20"/>
              </w:rPr>
            </w:pPr>
            <w:r w:rsidRPr="008508B9">
              <w:rPr>
                <w:rFonts w:cs="Times New Roman"/>
                <w:sz w:val="20"/>
                <w:szCs w:val="20"/>
              </w:rPr>
              <w:t>OHIP service codes: Q040, K029, K030</w:t>
            </w:r>
          </w:p>
          <w:p w14:paraId="6E24BA22" w14:textId="77777777" w:rsidR="0083061B" w:rsidRPr="008508B9" w:rsidRDefault="0083061B" w:rsidP="00613316">
            <w:pPr>
              <w:spacing w:line="240" w:lineRule="auto"/>
              <w:rPr>
                <w:rFonts w:cs="Times New Roman"/>
                <w:sz w:val="20"/>
                <w:szCs w:val="20"/>
              </w:rPr>
            </w:pPr>
            <w:r w:rsidRPr="008508B9">
              <w:rPr>
                <w:rFonts w:cs="Times New Roman"/>
                <w:sz w:val="20"/>
                <w:szCs w:val="20"/>
              </w:rPr>
              <w:t>ICD-10 diagnostic codes: E10, E11, E13, E14</w:t>
            </w:r>
          </w:p>
        </w:tc>
        <w:tc>
          <w:tcPr>
            <w:tcW w:w="1694" w:type="dxa"/>
          </w:tcPr>
          <w:p w14:paraId="12059AE6" w14:textId="77777777" w:rsidR="0083061B" w:rsidRPr="008508B9" w:rsidRDefault="0083061B" w:rsidP="00613316">
            <w:pPr>
              <w:spacing w:line="240" w:lineRule="auto"/>
              <w:rPr>
                <w:rFonts w:cs="Times New Roman"/>
                <w:sz w:val="20"/>
                <w:szCs w:val="20"/>
              </w:rPr>
            </w:pPr>
            <w:r w:rsidRPr="008508B9">
              <w:rPr>
                <w:rFonts w:cs="Times New Roman"/>
                <w:sz w:val="20"/>
                <w:szCs w:val="20"/>
              </w:rPr>
              <w:t>86% sensitivity, 97% specificity</w:t>
            </w:r>
          </w:p>
        </w:tc>
      </w:tr>
      <w:tr w:rsidR="0083061B" w:rsidRPr="008508B9" w14:paraId="05CAACC8" w14:textId="77777777" w:rsidTr="00613316">
        <w:trPr>
          <w:trHeight w:val="350"/>
        </w:trPr>
        <w:tc>
          <w:tcPr>
            <w:tcW w:w="1530" w:type="dxa"/>
          </w:tcPr>
          <w:p w14:paraId="29AD98F6" w14:textId="77777777" w:rsidR="0083061B" w:rsidRPr="008508B9" w:rsidRDefault="0083061B" w:rsidP="00613316">
            <w:pPr>
              <w:spacing w:line="240" w:lineRule="auto"/>
              <w:rPr>
                <w:rFonts w:cs="Times New Roman"/>
                <w:sz w:val="20"/>
                <w:szCs w:val="20"/>
              </w:rPr>
            </w:pPr>
            <w:r w:rsidRPr="008508B9">
              <w:rPr>
                <w:rFonts w:cs="Times New Roman"/>
                <w:sz w:val="20"/>
                <w:szCs w:val="20"/>
              </w:rPr>
              <w:t>End-stage renal disease (ESRD)</w:t>
            </w:r>
            <w:r w:rsidRPr="004732A2">
              <w:rPr>
                <w:rFonts w:cs="Times New Roman"/>
                <w:szCs w:val="24"/>
              </w:rPr>
              <w:t xml:space="preserve"> </w:t>
            </w:r>
            <w:r w:rsidRPr="0059093A">
              <w:rPr>
                <w:rFonts w:cs="Times New Roman"/>
                <w:szCs w:val="24"/>
                <w:vertAlign w:val="superscript"/>
              </w:rPr>
              <w:t>6,7</w:t>
            </w:r>
          </w:p>
        </w:tc>
        <w:tc>
          <w:tcPr>
            <w:tcW w:w="6210" w:type="dxa"/>
          </w:tcPr>
          <w:p w14:paraId="03D1D9EE" w14:textId="77777777" w:rsidR="0083061B" w:rsidRPr="008508B9" w:rsidRDefault="0083061B" w:rsidP="00613316">
            <w:pPr>
              <w:spacing w:line="240" w:lineRule="auto"/>
              <w:rPr>
                <w:rFonts w:cs="Times New Roman"/>
                <w:sz w:val="20"/>
                <w:szCs w:val="20"/>
                <w:u w:val="single"/>
              </w:rPr>
            </w:pPr>
            <w:r w:rsidRPr="008508B9">
              <w:rPr>
                <w:rFonts w:cs="Times New Roman"/>
                <w:sz w:val="20"/>
                <w:szCs w:val="20"/>
                <w:u w:val="single"/>
              </w:rPr>
              <w:t>Chronic renal dialysis:</w:t>
            </w:r>
          </w:p>
          <w:p w14:paraId="24A23AA8"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OHIP</w:t>
            </w:r>
          </w:p>
          <w:p w14:paraId="7EB10589" w14:textId="77777777" w:rsidR="0083061B" w:rsidRPr="008508B9" w:rsidRDefault="0083061B" w:rsidP="00613316">
            <w:pPr>
              <w:spacing w:line="240" w:lineRule="auto"/>
              <w:rPr>
                <w:rFonts w:cs="Times New Roman"/>
                <w:sz w:val="20"/>
                <w:szCs w:val="20"/>
              </w:rPr>
            </w:pPr>
            <w:r w:rsidRPr="008508B9">
              <w:rPr>
                <w:rFonts w:cs="Times New Roman"/>
                <w:sz w:val="20"/>
                <w:szCs w:val="20"/>
              </w:rPr>
              <w:t>OHIP service codes: G332, G864, G326, G860, G862, G863, G865, G866</w:t>
            </w:r>
          </w:p>
          <w:p w14:paraId="682E560C" w14:textId="77777777" w:rsidR="0083061B" w:rsidRPr="008508B9" w:rsidRDefault="0083061B" w:rsidP="00613316">
            <w:pPr>
              <w:spacing w:line="240" w:lineRule="auto"/>
              <w:rPr>
                <w:rFonts w:cs="Times New Roman"/>
                <w:sz w:val="20"/>
                <w:szCs w:val="20"/>
              </w:rPr>
            </w:pPr>
          </w:p>
          <w:p w14:paraId="54A7FF2C"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CIHI</w:t>
            </w:r>
          </w:p>
          <w:p w14:paraId="4BF51BA4" w14:textId="77777777" w:rsidR="0083061B" w:rsidRPr="008508B9" w:rsidRDefault="0083061B" w:rsidP="00613316">
            <w:pPr>
              <w:spacing w:line="240" w:lineRule="auto"/>
              <w:rPr>
                <w:rFonts w:cs="Times New Roman"/>
                <w:sz w:val="20"/>
                <w:szCs w:val="20"/>
              </w:rPr>
            </w:pPr>
            <w:r w:rsidRPr="008508B9">
              <w:rPr>
                <w:rFonts w:cs="Times New Roman"/>
                <w:sz w:val="20"/>
                <w:szCs w:val="20"/>
              </w:rPr>
              <w:t>CCI procedure codes: 5195, 6698</w:t>
            </w:r>
          </w:p>
          <w:p w14:paraId="1532488F" w14:textId="77777777" w:rsidR="0083061B" w:rsidRPr="008508B9" w:rsidRDefault="0083061B" w:rsidP="00613316">
            <w:pPr>
              <w:spacing w:line="240" w:lineRule="auto"/>
              <w:rPr>
                <w:rFonts w:cs="Times New Roman"/>
                <w:sz w:val="20"/>
                <w:szCs w:val="20"/>
              </w:rPr>
            </w:pPr>
            <w:r w:rsidRPr="008508B9">
              <w:rPr>
                <w:rFonts w:cs="Times New Roman"/>
                <w:sz w:val="20"/>
                <w:szCs w:val="20"/>
              </w:rPr>
              <w:t>CCP procedure codes: 1PZ21</w:t>
            </w:r>
          </w:p>
          <w:p w14:paraId="45165198" w14:textId="77777777" w:rsidR="0083061B" w:rsidRPr="008508B9" w:rsidRDefault="0083061B" w:rsidP="00613316">
            <w:pPr>
              <w:spacing w:line="240" w:lineRule="auto"/>
              <w:rPr>
                <w:rFonts w:cs="Times New Roman"/>
                <w:sz w:val="20"/>
                <w:szCs w:val="20"/>
              </w:rPr>
            </w:pPr>
          </w:p>
          <w:p w14:paraId="0444FE2D"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lastRenderedPageBreak/>
              <w:t>CORR</w:t>
            </w:r>
          </w:p>
          <w:p w14:paraId="65D7C289" w14:textId="77777777" w:rsidR="0083061B" w:rsidRPr="008508B9" w:rsidRDefault="0083061B" w:rsidP="00613316">
            <w:pPr>
              <w:spacing w:line="240" w:lineRule="auto"/>
              <w:rPr>
                <w:rFonts w:cs="Times New Roman"/>
                <w:sz w:val="20"/>
                <w:szCs w:val="20"/>
              </w:rPr>
            </w:pPr>
            <w:r w:rsidRPr="008508B9">
              <w:rPr>
                <w:rFonts w:cs="Times New Roman"/>
                <w:sz w:val="20"/>
                <w:szCs w:val="20"/>
              </w:rPr>
              <w:t>Treatment codes: 060, 111-113, 121-123, 131-133, 141, 151, 152, 221, 231, 241, 242, 251, 252, 311-313, 321-323, 332, 333, 413, 423, 433, 443, 453</w:t>
            </w:r>
          </w:p>
          <w:p w14:paraId="214EF8D5" w14:textId="77777777" w:rsidR="0083061B" w:rsidRPr="008508B9" w:rsidRDefault="0083061B" w:rsidP="00613316">
            <w:pPr>
              <w:spacing w:line="240" w:lineRule="auto"/>
              <w:ind w:left="-57"/>
              <w:rPr>
                <w:rFonts w:cs="Times New Roman"/>
                <w:sz w:val="20"/>
                <w:szCs w:val="20"/>
              </w:rPr>
            </w:pPr>
          </w:p>
          <w:p w14:paraId="6DACCEE7" w14:textId="77777777" w:rsidR="0083061B" w:rsidRPr="008508B9" w:rsidRDefault="0083061B" w:rsidP="00613316">
            <w:pPr>
              <w:spacing w:line="240" w:lineRule="auto"/>
              <w:rPr>
                <w:rFonts w:cs="Times New Roman"/>
                <w:sz w:val="20"/>
                <w:szCs w:val="20"/>
                <w:u w:val="single"/>
              </w:rPr>
            </w:pPr>
            <w:r w:rsidRPr="008508B9">
              <w:rPr>
                <w:rFonts w:cs="Times New Roman"/>
                <w:sz w:val="20"/>
                <w:szCs w:val="20"/>
                <w:u w:val="single"/>
              </w:rPr>
              <w:t>Kidney transplant recipients:</w:t>
            </w:r>
          </w:p>
          <w:p w14:paraId="198A77B8"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OHIP</w:t>
            </w:r>
          </w:p>
          <w:p w14:paraId="701F94CC" w14:textId="77777777" w:rsidR="0083061B" w:rsidRPr="008508B9" w:rsidRDefault="0083061B" w:rsidP="00613316">
            <w:pPr>
              <w:spacing w:line="240" w:lineRule="auto"/>
              <w:rPr>
                <w:rFonts w:cs="Times New Roman"/>
                <w:sz w:val="20"/>
                <w:szCs w:val="20"/>
              </w:rPr>
            </w:pPr>
            <w:r w:rsidRPr="008508B9">
              <w:rPr>
                <w:rFonts w:cs="Times New Roman"/>
                <w:sz w:val="20"/>
                <w:szCs w:val="20"/>
              </w:rPr>
              <w:t>OHIP service codes: S435, S434</w:t>
            </w:r>
          </w:p>
          <w:p w14:paraId="069C56D7" w14:textId="77777777" w:rsidR="0083061B" w:rsidRPr="008508B9" w:rsidRDefault="0083061B" w:rsidP="00613316">
            <w:pPr>
              <w:spacing w:line="240" w:lineRule="auto"/>
              <w:rPr>
                <w:rFonts w:cs="Times New Roman"/>
                <w:sz w:val="20"/>
                <w:szCs w:val="20"/>
              </w:rPr>
            </w:pPr>
          </w:p>
          <w:p w14:paraId="36BC2BFB"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CIHI</w:t>
            </w:r>
          </w:p>
          <w:p w14:paraId="6BF006A9" w14:textId="77777777" w:rsidR="0083061B" w:rsidRPr="008508B9" w:rsidRDefault="0083061B" w:rsidP="00613316">
            <w:pPr>
              <w:spacing w:line="240" w:lineRule="auto"/>
              <w:rPr>
                <w:rFonts w:cs="Times New Roman"/>
                <w:sz w:val="20"/>
                <w:szCs w:val="20"/>
              </w:rPr>
            </w:pPr>
            <w:r w:rsidRPr="008508B9">
              <w:rPr>
                <w:rFonts w:cs="Times New Roman"/>
                <w:sz w:val="20"/>
                <w:szCs w:val="20"/>
              </w:rPr>
              <w:t>CCI procedure code: 1PC85</w:t>
            </w:r>
          </w:p>
          <w:p w14:paraId="723C705C" w14:textId="77777777" w:rsidR="0083061B" w:rsidRPr="008508B9" w:rsidRDefault="0083061B" w:rsidP="00613316">
            <w:pPr>
              <w:spacing w:line="240" w:lineRule="auto"/>
              <w:rPr>
                <w:rFonts w:cs="Times New Roman"/>
                <w:sz w:val="20"/>
                <w:szCs w:val="20"/>
              </w:rPr>
            </w:pPr>
            <w:r w:rsidRPr="008508B9">
              <w:rPr>
                <w:rFonts w:cs="Times New Roman"/>
                <w:sz w:val="20"/>
                <w:szCs w:val="20"/>
              </w:rPr>
              <w:t>CCP procedure code: 6759</w:t>
            </w:r>
          </w:p>
          <w:p w14:paraId="13AF7A14" w14:textId="77777777" w:rsidR="0083061B" w:rsidRPr="008508B9" w:rsidRDefault="0083061B" w:rsidP="00613316">
            <w:pPr>
              <w:spacing w:line="240" w:lineRule="auto"/>
              <w:rPr>
                <w:rFonts w:cs="Times New Roman"/>
                <w:sz w:val="20"/>
                <w:szCs w:val="20"/>
              </w:rPr>
            </w:pPr>
          </w:p>
          <w:p w14:paraId="4DEB0018" w14:textId="77777777" w:rsidR="0083061B" w:rsidRPr="008508B9" w:rsidRDefault="0083061B" w:rsidP="00613316">
            <w:pPr>
              <w:spacing w:line="240" w:lineRule="auto"/>
              <w:rPr>
                <w:rFonts w:cs="Times New Roman"/>
                <w:i/>
                <w:iCs/>
                <w:sz w:val="20"/>
                <w:szCs w:val="20"/>
              </w:rPr>
            </w:pPr>
            <w:r w:rsidRPr="008508B9">
              <w:rPr>
                <w:rFonts w:cs="Times New Roman"/>
                <w:i/>
                <w:iCs/>
                <w:sz w:val="20"/>
                <w:szCs w:val="20"/>
              </w:rPr>
              <w:t>CORR</w:t>
            </w:r>
          </w:p>
          <w:p w14:paraId="4B6F86B7" w14:textId="77777777" w:rsidR="0083061B" w:rsidRPr="008508B9" w:rsidRDefault="0083061B" w:rsidP="00613316">
            <w:pPr>
              <w:spacing w:line="240" w:lineRule="auto"/>
              <w:rPr>
                <w:rFonts w:cs="Times New Roman"/>
                <w:sz w:val="20"/>
                <w:szCs w:val="20"/>
              </w:rPr>
            </w:pPr>
            <w:r w:rsidRPr="008508B9">
              <w:rPr>
                <w:rFonts w:cs="Times New Roman"/>
                <w:sz w:val="20"/>
                <w:szCs w:val="20"/>
              </w:rPr>
              <w:t>Treatment code 171 + organ type 10, 11, 12, 18, 19</w:t>
            </w:r>
          </w:p>
        </w:tc>
        <w:tc>
          <w:tcPr>
            <w:tcW w:w="1694" w:type="dxa"/>
          </w:tcPr>
          <w:p w14:paraId="108FE6D6" w14:textId="77777777" w:rsidR="0083061B" w:rsidRPr="008508B9" w:rsidRDefault="0083061B" w:rsidP="00613316">
            <w:pPr>
              <w:spacing w:line="240" w:lineRule="auto"/>
              <w:rPr>
                <w:rFonts w:cs="Times New Roman"/>
                <w:sz w:val="20"/>
                <w:szCs w:val="20"/>
              </w:rPr>
            </w:pPr>
            <w:r w:rsidRPr="008508B9">
              <w:rPr>
                <w:rFonts w:cs="Times New Roman"/>
                <w:sz w:val="20"/>
                <w:szCs w:val="20"/>
              </w:rPr>
              <w:lastRenderedPageBreak/>
              <w:t>Dialysis: 95% sensitivity, 97% specificity</w:t>
            </w:r>
          </w:p>
          <w:p w14:paraId="7B9756BC" w14:textId="77777777" w:rsidR="0083061B" w:rsidRPr="008508B9" w:rsidRDefault="0083061B" w:rsidP="00613316">
            <w:pPr>
              <w:spacing w:line="240" w:lineRule="auto"/>
              <w:rPr>
                <w:rFonts w:cs="Times New Roman"/>
                <w:sz w:val="20"/>
                <w:szCs w:val="20"/>
              </w:rPr>
            </w:pPr>
          </w:p>
          <w:p w14:paraId="77E776EF" w14:textId="77777777" w:rsidR="0083061B" w:rsidRPr="008508B9" w:rsidRDefault="0083061B" w:rsidP="00613316">
            <w:pPr>
              <w:spacing w:line="240" w:lineRule="auto"/>
              <w:rPr>
                <w:rFonts w:cs="Times New Roman"/>
                <w:sz w:val="20"/>
                <w:szCs w:val="20"/>
              </w:rPr>
            </w:pPr>
            <w:r w:rsidRPr="008508B9">
              <w:rPr>
                <w:rFonts w:cs="Times New Roman"/>
                <w:sz w:val="20"/>
                <w:szCs w:val="20"/>
              </w:rPr>
              <w:t>Kidney transplant: 98% sensitivity, 99% specificity</w:t>
            </w:r>
          </w:p>
        </w:tc>
      </w:tr>
      <w:tr w:rsidR="0083061B" w:rsidRPr="008508B9" w14:paraId="0C592EA8" w14:textId="77777777" w:rsidTr="00613316">
        <w:trPr>
          <w:trHeight w:val="381"/>
        </w:trPr>
        <w:tc>
          <w:tcPr>
            <w:tcW w:w="1530" w:type="dxa"/>
          </w:tcPr>
          <w:p w14:paraId="4B53352B" w14:textId="77777777" w:rsidR="0083061B" w:rsidRPr="008508B9" w:rsidRDefault="0083061B" w:rsidP="00613316">
            <w:pPr>
              <w:spacing w:line="240" w:lineRule="auto"/>
              <w:rPr>
                <w:rFonts w:cs="Times New Roman"/>
                <w:sz w:val="20"/>
                <w:szCs w:val="20"/>
                <w:highlight w:val="yellow"/>
              </w:rPr>
            </w:pPr>
            <w:r w:rsidRPr="008508B9">
              <w:rPr>
                <w:rFonts w:cs="Times New Roman"/>
                <w:sz w:val="20"/>
                <w:szCs w:val="20"/>
              </w:rPr>
              <w:t>Mental illness</w:t>
            </w:r>
            <w:r w:rsidRPr="0059093A">
              <w:rPr>
                <w:rFonts w:cs="Times New Roman"/>
                <w:szCs w:val="24"/>
                <w:vertAlign w:val="superscript"/>
              </w:rPr>
              <w:t>8–10</w:t>
            </w:r>
          </w:p>
        </w:tc>
        <w:tc>
          <w:tcPr>
            <w:tcW w:w="6210" w:type="dxa"/>
          </w:tcPr>
          <w:p w14:paraId="522B9B85" w14:textId="77777777" w:rsidR="0083061B" w:rsidRPr="008508B9" w:rsidRDefault="0083061B" w:rsidP="00613316">
            <w:pPr>
              <w:spacing w:line="240" w:lineRule="auto"/>
              <w:rPr>
                <w:rFonts w:cs="Times New Roman"/>
                <w:sz w:val="20"/>
                <w:szCs w:val="20"/>
                <w:u w:val="single"/>
              </w:rPr>
            </w:pPr>
            <w:r w:rsidRPr="008508B9">
              <w:rPr>
                <w:rFonts w:cs="Times New Roman"/>
                <w:sz w:val="20"/>
                <w:szCs w:val="20"/>
                <w:u w:val="single"/>
              </w:rPr>
              <w:t>Serious mental illness:</w:t>
            </w:r>
          </w:p>
          <w:p w14:paraId="6DFA228B" w14:textId="77777777" w:rsidR="0083061B" w:rsidRPr="008508B9" w:rsidRDefault="0083061B" w:rsidP="00613316">
            <w:pPr>
              <w:spacing w:line="240" w:lineRule="auto"/>
              <w:rPr>
                <w:rFonts w:cs="Times New Roman"/>
                <w:sz w:val="20"/>
                <w:szCs w:val="20"/>
              </w:rPr>
            </w:pPr>
            <w:r w:rsidRPr="008508B9">
              <w:rPr>
                <w:rFonts w:cs="Times New Roman"/>
                <w:sz w:val="20"/>
                <w:szCs w:val="20"/>
              </w:rPr>
              <w:t>1 claim or hospitalization in OHIP, OMHRS, or CIHI in the past 2 years with diagnoses of bipolar disorder, schizophrenia, or other psychoses.</w:t>
            </w:r>
          </w:p>
          <w:p w14:paraId="300C178C" w14:textId="77777777" w:rsidR="0083061B" w:rsidRPr="008508B9" w:rsidRDefault="0083061B" w:rsidP="00613316">
            <w:pPr>
              <w:spacing w:line="240" w:lineRule="auto"/>
              <w:rPr>
                <w:rFonts w:cs="Times New Roman"/>
                <w:sz w:val="20"/>
                <w:szCs w:val="20"/>
              </w:rPr>
            </w:pPr>
          </w:p>
          <w:p w14:paraId="5AF022CF" w14:textId="77777777" w:rsidR="0083061B" w:rsidRPr="008508B9" w:rsidRDefault="0083061B" w:rsidP="00613316">
            <w:pPr>
              <w:spacing w:line="240" w:lineRule="auto"/>
              <w:rPr>
                <w:rFonts w:cs="Times New Roman"/>
                <w:sz w:val="20"/>
                <w:szCs w:val="20"/>
              </w:rPr>
            </w:pPr>
            <w:r w:rsidRPr="008508B9">
              <w:rPr>
                <w:rFonts w:cs="Times New Roman"/>
                <w:sz w:val="20"/>
                <w:szCs w:val="20"/>
              </w:rPr>
              <w:t>OHIP/ICD-9 diagnostic codes: 295, 296, 297, 298</w:t>
            </w:r>
          </w:p>
          <w:p w14:paraId="49744DF1" w14:textId="77777777" w:rsidR="0083061B" w:rsidRPr="008508B9" w:rsidRDefault="0083061B" w:rsidP="00613316">
            <w:pPr>
              <w:spacing w:line="240" w:lineRule="auto"/>
              <w:rPr>
                <w:rFonts w:cs="Times New Roman"/>
                <w:sz w:val="20"/>
                <w:szCs w:val="20"/>
              </w:rPr>
            </w:pPr>
            <w:r w:rsidRPr="008508B9">
              <w:rPr>
                <w:rFonts w:cs="Times New Roman"/>
                <w:sz w:val="20"/>
                <w:szCs w:val="20"/>
              </w:rPr>
              <w:t>ICD-10 diagnostic codes: F20, F22, F23, F25, F28, F29, F30, F31</w:t>
            </w:r>
          </w:p>
          <w:p w14:paraId="0DDF023A" w14:textId="77777777" w:rsidR="0083061B" w:rsidRPr="008508B9" w:rsidRDefault="0083061B" w:rsidP="00613316">
            <w:pPr>
              <w:spacing w:line="240" w:lineRule="auto"/>
              <w:rPr>
                <w:rFonts w:cs="Times New Roman"/>
                <w:sz w:val="20"/>
                <w:szCs w:val="20"/>
              </w:rPr>
            </w:pPr>
          </w:p>
          <w:p w14:paraId="3F651F39" w14:textId="77777777" w:rsidR="0083061B" w:rsidRPr="008508B9" w:rsidRDefault="0083061B" w:rsidP="00613316">
            <w:pPr>
              <w:spacing w:line="240" w:lineRule="auto"/>
              <w:rPr>
                <w:rFonts w:cs="Times New Roman"/>
                <w:sz w:val="20"/>
                <w:szCs w:val="20"/>
                <w:u w:val="single"/>
              </w:rPr>
            </w:pPr>
            <w:r w:rsidRPr="008508B9">
              <w:rPr>
                <w:rFonts w:cs="Times New Roman"/>
                <w:sz w:val="20"/>
                <w:szCs w:val="20"/>
                <w:u w:val="single"/>
              </w:rPr>
              <w:t>Common mental illness:</w:t>
            </w:r>
          </w:p>
          <w:p w14:paraId="256B915F" w14:textId="77777777" w:rsidR="0083061B" w:rsidRPr="008508B9" w:rsidRDefault="0083061B" w:rsidP="00613316">
            <w:pPr>
              <w:spacing w:line="240" w:lineRule="auto"/>
              <w:rPr>
                <w:rFonts w:cs="Times New Roman"/>
                <w:sz w:val="20"/>
                <w:szCs w:val="20"/>
              </w:rPr>
            </w:pPr>
            <w:r w:rsidRPr="008508B9">
              <w:rPr>
                <w:rFonts w:cs="Times New Roman"/>
                <w:sz w:val="20"/>
                <w:szCs w:val="20"/>
              </w:rPr>
              <w:t>1 claim or hospitalization in OHIP, OMHRS, or CIHI in the past 2 years with diagnoses of anxiety, depression, or substance use.</w:t>
            </w:r>
          </w:p>
          <w:p w14:paraId="2AB49DD0" w14:textId="77777777" w:rsidR="0083061B" w:rsidRPr="008508B9" w:rsidRDefault="0083061B" w:rsidP="00613316">
            <w:pPr>
              <w:spacing w:line="240" w:lineRule="auto"/>
              <w:rPr>
                <w:rFonts w:cs="Times New Roman"/>
                <w:sz w:val="20"/>
                <w:szCs w:val="20"/>
                <w:u w:val="single"/>
              </w:rPr>
            </w:pPr>
          </w:p>
          <w:p w14:paraId="6E170628" w14:textId="77777777" w:rsidR="0083061B" w:rsidRPr="008508B9" w:rsidRDefault="0083061B" w:rsidP="00613316">
            <w:pPr>
              <w:spacing w:line="240" w:lineRule="auto"/>
              <w:rPr>
                <w:rFonts w:cs="Times New Roman"/>
                <w:sz w:val="20"/>
                <w:szCs w:val="20"/>
              </w:rPr>
            </w:pPr>
            <w:r w:rsidRPr="008508B9">
              <w:rPr>
                <w:rFonts w:cs="Times New Roman"/>
                <w:sz w:val="20"/>
                <w:szCs w:val="20"/>
              </w:rPr>
              <w:t>OHIP/ICD-9 diagnostic codes: 300-304, 306, 309, 311</w:t>
            </w:r>
          </w:p>
          <w:p w14:paraId="04542552" w14:textId="77777777" w:rsidR="0083061B" w:rsidRPr="008508B9" w:rsidRDefault="0083061B" w:rsidP="00613316">
            <w:pPr>
              <w:spacing w:line="240" w:lineRule="auto"/>
              <w:rPr>
                <w:rFonts w:cs="Times New Roman"/>
                <w:sz w:val="20"/>
                <w:szCs w:val="20"/>
              </w:rPr>
            </w:pPr>
            <w:r w:rsidRPr="008508B9">
              <w:rPr>
                <w:rFonts w:cs="Times New Roman"/>
                <w:sz w:val="20"/>
                <w:szCs w:val="20"/>
              </w:rPr>
              <w:t>ICD-10 diagnostic codes: F10-F16, F18, F19, F32-F34, F40-F45, F55</w:t>
            </w:r>
          </w:p>
        </w:tc>
        <w:tc>
          <w:tcPr>
            <w:tcW w:w="1694" w:type="dxa"/>
          </w:tcPr>
          <w:p w14:paraId="2B2866C6" w14:textId="77777777" w:rsidR="0083061B" w:rsidRPr="008508B9" w:rsidRDefault="0083061B" w:rsidP="00613316">
            <w:pPr>
              <w:spacing w:line="240" w:lineRule="auto"/>
              <w:rPr>
                <w:rFonts w:cs="Times New Roman"/>
                <w:sz w:val="20"/>
                <w:szCs w:val="20"/>
              </w:rPr>
            </w:pPr>
            <w:r w:rsidRPr="008508B9">
              <w:rPr>
                <w:rFonts w:cs="Times New Roman"/>
                <w:sz w:val="20"/>
                <w:szCs w:val="20"/>
              </w:rPr>
              <w:t>Serious mental illness: 55.3% sensitivity, 99.4% specificity</w:t>
            </w:r>
          </w:p>
          <w:p w14:paraId="47FB854F" w14:textId="77777777" w:rsidR="0083061B" w:rsidRPr="008508B9" w:rsidRDefault="0083061B" w:rsidP="00613316">
            <w:pPr>
              <w:spacing w:line="240" w:lineRule="auto"/>
              <w:rPr>
                <w:rFonts w:cs="Times New Roman"/>
                <w:sz w:val="20"/>
                <w:szCs w:val="20"/>
              </w:rPr>
            </w:pPr>
          </w:p>
          <w:p w14:paraId="1735F733" w14:textId="77777777" w:rsidR="0083061B" w:rsidRPr="008508B9" w:rsidRDefault="0083061B" w:rsidP="00613316">
            <w:pPr>
              <w:spacing w:line="240" w:lineRule="auto"/>
              <w:rPr>
                <w:rFonts w:cs="Times New Roman"/>
                <w:sz w:val="20"/>
                <w:szCs w:val="20"/>
              </w:rPr>
            </w:pPr>
            <w:r w:rsidRPr="008508B9">
              <w:rPr>
                <w:rFonts w:cs="Times New Roman"/>
                <w:sz w:val="20"/>
                <w:szCs w:val="20"/>
              </w:rPr>
              <w:t>Common mental illness: 67% sensitivity, 97% specificity</w:t>
            </w:r>
          </w:p>
        </w:tc>
      </w:tr>
    </w:tbl>
    <w:p w14:paraId="545F8F50" w14:textId="77777777" w:rsidR="0083061B" w:rsidRDefault="0083061B" w:rsidP="0083061B">
      <w:pPr>
        <w:spacing w:line="240" w:lineRule="auto"/>
        <w:rPr>
          <w:rFonts w:cs="Times New Roman"/>
          <w:szCs w:val="24"/>
        </w:rPr>
      </w:pPr>
    </w:p>
    <w:p w14:paraId="7109D750" w14:textId="77777777" w:rsidR="0083061B" w:rsidRPr="008508B9" w:rsidRDefault="0083061B" w:rsidP="0083061B">
      <w:pPr>
        <w:spacing w:line="240" w:lineRule="auto"/>
        <w:rPr>
          <w:rFonts w:cs="Times New Roman"/>
          <w:szCs w:val="24"/>
        </w:rPr>
      </w:pPr>
      <w:r w:rsidRPr="008508B9">
        <w:rPr>
          <w:rFonts w:cs="Times New Roman"/>
          <w:szCs w:val="24"/>
        </w:rPr>
        <w:t>Abbreviations: Canadian Classification of Interventions, CCI; Canadian Classification of Procedures, CCP; International Classification of Diseases, ICD</w:t>
      </w:r>
    </w:p>
    <w:p w14:paraId="2195FD71" w14:textId="77777777" w:rsidR="0083061B" w:rsidRDefault="0083061B" w:rsidP="0083061B">
      <w:pPr>
        <w:rPr>
          <w:rFonts w:cs="Times New Roman"/>
          <w:b/>
          <w:bCs/>
          <w:szCs w:val="24"/>
          <w:lang w:val="en-GB"/>
        </w:rPr>
      </w:pPr>
    </w:p>
    <w:p w14:paraId="1228A8C0" w14:textId="77777777" w:rsidR="0083061B" w:rsidRPr="001D4782" w:rsidRDefault="0083061B" w:rsidP="0083061B">
      <w:pPr>
        <w:rPr>
          <w:rFonts w:cs="Times New Roman"/>
          <w:b/>
          <w:bCs/>
          <w:szCs w:val="24"/>
          <w:lang w:val="en-GB"/>
        </w:rPr>
      </w:pPr>
    </w:p>
    <w:p w14:paraId="3CDE9947" w14:textId="77777777" w:rsidR="0083061B" w:rsidRPr="001D4782" w:rsidRDefault="0083061B" w:rsidP="0083061B">
      <w:pPr>
        <w:rPr>
          <w:rFonts w:cs="Times New Roman"/>
          <w:b/>
          <w:bCs/>
          <w:szCs w:val="24"/>
          <w:lang w:val="en-GB"/>
        </w:rPr>
      </w:pPr>
      <w:r w:rsidRPr="001D4782">
        <w:rPr>
          <w:rFonts w:cs="Times New Roman"/>
          <w:b/>
          <w:bCs/>
          <w:szCs w:val="24"/>
          <w:lang w:val="en-GB"/>
        </w:rPr>
        <w:t>References</w:t>
      </w:r>
    </w:p>
    <w:p w14:paraId="42AB163B" w14:textId="77777777" w:rsidR="0083061B" w:rsidRDefault="0083061B" w:rsidP="0083061B">
      <w:pPr>
        <w:pStyle w:val="Bibliography"/>
      </w:pPr>
      <w:r>
        <w:t xml:space="preserve">1. </w:t>
      </w:r>
      <w:r>
        <w:tab/>
        <w:t xml:space="preserve">Tu K, Mitiku T, Lee DS, Guo H, Tu JV. Validation of physician billing and hospitalization data to identify patients with ischemic heart disease using data from the Electronic Medical Record Administrative data Linked Database (EMRALD. </w:t>
      </w:r>
      <w:r>
        <w:rPr>
          <w:i/>
          <w:iCs/>
        </w:rPr>
        <w:t>Can J Cardiol</w:t>
      </w:r>
      <w:r>
        <w:t>. 2010;26(7):e225-e228. doi:10.1016/S0828-282X(10)70412-8</w:t>
      </w:r>
    </w:p>
    <w:p w14:paraId="38809C51" w14:textId="77777777" w:rsidR="0083061B" w:rsidRDefault="0083061B" w:rsidP="0083061B">
      <w:pPr>
        <w:pStyle w:val="Bibliography"/>
      </w:pPr>
      <w:r>
        <w:t xml:space="preserve">2. </w:t>
      </w:r>
      <w:r>
        <w:tab/>
        <w:t xml:space="preserve">Tu K, Wang M, Young J, et al. Validity of Administrative Data for Identifying Patients Who Have Had a Stroke or Transient Ischemic Attack Using EMRALD as a Reference Standard. </w:t>
      </w:r>
      <w:r>
        <w:rPr>
          <w:i/>
          <w:iCs/>
        </w:rPr>
        <w:t>Can J Cardiol</w:t>
      </w:r>
      <w:r>
        <w:t>. 2013;29(11):1388-1394. doi:10.1016/j.cjca.2013.07.676</w:t>
      </w:r>
    </w:p>
    <w:p w14:paraId="38F9A2D2" w14:textId="77777777" w:rsidR="0083061B" w:rsidRDefault="0083061B" w:rsidP="0083061B">
      <w:pPr>
        <w:pStyle w:val="Bibliography"/>
      </w:pPr>
      <w:r>
        <w:t xml:space="preserve">3. </w:t>
      </w:r>
      <w:r>
        <w:tab/>
        <w:t xml:space="preserve">Gershon AS, Wang C, Guan J, Vasilevska-Ristovska J, Cicutto L, To T. Identifying Individuals with Physcian Diagnosed COPD in Health Administrative Databases. </w:t>
      </w:r>
      <w:r>
        <w:rPr>
          <w:i/>
          <w:iCs/>
        </w:rPr>
        <w:t>COPD J Chronic Obstr Pulm Dis</w:t>
      </w:r>
      <w:r>
        <w:t>. 2009;6(5):388-394. doi:10.1080/15412550903140865</w:t>
      </w:r>
    </w:p>
    <w:p w14:paraId="5BE8327F" w14:textId="77777777" w:rsidR="0083061B" w:rsidRDefault="0083061B" w:rsidP="0083061B">
      <w:pPr>
        <w:pStyle w:val="Bibliography"/>
      </w:pPr>
      <w:r>
        <w:t xml:space="preserve">4. </w:t>
      </w:r>
      <w:r>
        <w:tab/>
        <w:t xml:space="preserve">Schultz SE, Rothwell DM, Chen Z, Tu K. Identifying cases of congestive heart failure from administrative data: a validation study using primary care patient records. </w:t>
      </w:r>
      <w:r>
        <w:rPr>
          <w:i/>
          <w:iCs/>
        </w:rPr>
        <w:t>Chronic Dis Inj Can</w:t>
      </w:r>
      <w:r>
        <w:t>. 2013;33(3):7.</w:t>
      </w:r>
    </w:p>
    <w:p w14:paraId="75E614AA" w14:textId="77777777" w:rsidR="0083061B" w:rsidRDefault="0083061B" w:rsidP="0083061B">
      <w:pPr>
        <w:pStyle w:val="Bibliography"/>
      </w:pPr>
      <w:r>
        <w:lastRenderedPageBreak/>
        <w:t xml:space="preserve">5. </w:t>
      </w:r>
      <w:r>
        <w:tab/>
        <w:t xml:space="preserve">Hux JE, Ivis F, Flintoft V, Bica A. Diabetes in Ontario: Determination of prevalence and incidence using a validated administrative data algorithm. </w:t>
      </w:r>
      <w:r>
        <w:rPr>
          <w:i/>
          <w:iCs/>
        </w:rPr>
        <w:t>Diabetes Care</w:t>
      </w:r>
      <w:r>
        <w:t>. 2002;25(3):512-516. doi:10.2337/diacare.25.3.512</w:t>
      </w:r>
    </w:p>
    <w:p w14:paraId="16B3B87E" w14:textId="77777777" w:rsidR="0083061B" w:rsidRDefault="0083061B" w:rsidP="0083061B">
      <w:pPr>
        <w:pStyle w:val="Bibliography"/>
      </w:pPr>
      <w:r>
        <w:t xml:space="preserve">6. </w:t>
      </w:r>
      <w:r>
        <w:tab/>
        <w:t xml:space="preserve">Quinn RR, Laupacis A, Austin PC, et al. Using Administrative Datasets to Study Outcomes in Dialysis Patients: A Validation Study. </w:t>
      </w:r>
      <w:r>
        <w:rPr>
          <w:i/>
          <w:iCs/>
        </w:rPr>
        <w:t>Med Care</w:t>
      </w:r>
      <w:r>
        <w:t>. 2010;48(8):745-750.</w:t>
      </w:r>
    </w:p>
    <w:p w14:paraId="07B981A2" w14:textId="77777777" w:rsidR="0083061B" w:rsidRDefault="0083061B" w:rsidP="0083061B">
      <w:pPr>
        <w:pStyle w:val="Bibliography"/>
      </w:pPr>
      <w:r>
        <w:t xml:space="preserve">7. </w:t>
      </w:r>
      <w:r>
        <w:tab/>
        <w:t xml:space="preserve">Lam NN, McArthur E, Kim SJ, Knoll GA. Validation of Kidney Transplantation Using Administrative Data. </w:t>
      </w:r>
      <w:r>
        <w:rPr>
          <w:i/>
          <w:iCs/>
        </w:rPr>
        <w:t>Can J Kidney Health Dis</w:t>
      </w:r>
      <w:r>
        <w:t>. 2015;2:54. doi:10.1186/s40697-015-0054-9</w:t>
      </w:r>
    </w:p>
    <w:p w14:paraId="72AEDEBE" w14:textId="77777777" w:rsidR="0083061B" w:rsidRDefault="0083061B" w:rsidP="0083061B">
      <w:pPr>
        <w:pStyle w:val="Bibliography"/>
      </w:pPr>
      <w:r>
        <w:t xml:space="preserve">8. </w:t>
      </w:r>
      <w:r>
        <w:tab/>
        <w:t xml:space="preserve">Steele LS, Glazier RH, Lin E, work(s): MER. Using Administrative Data to Measure Ambulatory Mental Health Service Provision in Primary Care. </w:t>
      </w:r>
      <w:r>
        <w:rPr>
          <w:i/>
          <w:iCs/>
        </w:rPr>
        <w:t>Med Care</w:t>
      </w:r>
      <w:r>
        <w:t>. 2004;42(10):960-965.</w:t>
      </w:r>
    </w:p>
    <w:p w14:paraId="39A41663" w14:textId="77777777" w:rsidR="0083061B" w:rsidRDefault="0083061B" w:rsidP="0083061B">
      <w:pPr>
        <w:pStyle w:val="Bibliography"/>
      </w:pPr>
      <w:r>
        <w:t xml:space="preserve">9. </w:t>
      </w:r>
      <w:r>
        <w:tab/>
        <w:t>Steele LS. Chapter 2: Measuring ambulatory mental health services using administrative data. In: Ambulatory mental health service use in an inner city setting: measurement, patterns and trends [dissertation]. Published online 2003.</w:t>
      </w:r>
    </w:p>
    <w:p w14:paraId="66FB9513" w14:textId="77777777" w:rsidR="0083061B" w:rsidRDefault="0083061B" w:rsidP="0083061B">
      <w:pPr>
        <w:pStyle w:val="Bibliography"/>
      </w:pPr>
      <w:r>
        <w:t xml:space="preserve">10. </w:t>
      </w:r>
      <w:r>
        <w:tab/>
        <w:t xml:space="preserve">Steele LS, Durbin A, Sibley LM, Glazier RH. Inclusion of persons with mental illness in patient- centred medical homes: cross-sectional findings from Ontario, Canada. </w:t>
      </w:r>
      <w:r>
        <w:rPr>
          <w:i/>
          <w:iCs/>
        </w:rPr>
        <w:t>Open Med</w:t>
      </w:r>
      <w:r>
        <w:t>. 2013;7(1):e9-e20.</w:t>
      </w:r>
    </w:p>
    <w:p w14:paraId="5C92F42F" w14:textId="77777777" w:rsidR="0083061B" w:rsidRDefault="0083061B" w:rsidP="0083061B"/>
    <w:p w14:paraId="27BD7418" w14:textId="77777777" w:rsidR="0083061B" w:rsidRDefault="0083061B" w:rsidP="0083061B">
      <w:pPr>
        <w:sectPr w:rsidR="0083061B" w:rsidSect="000A25D2">
          <w:pgSz w:w="12240" w:h="15840"/>
          <w:pgMar w:top="1440" w:right="1440" w:bottom="1440" w:left="1440" w:header="720" w:footer="720" w:gutter="0"/>
          <w:cols w:space="720"/>
          <w:docGrid w:linePitch="360"/>
        </w:sectPr>
      </w:pPr>
    </w:p>
    <w:p w14:paraId="5FF3D239" w14:textId="273C47E5" w:rsidR="0083061B" w:rsidRPr="00E25C2B" w:rsidRDefault="0083061B" w:rsidP="0083061B">
      <w:pPr>
        <w:tabs>
          <w:tab w:val="left" w:pos="2100"/>
        </w:tabs>
        <w:spacing w:line="240" w:lineRule="auto"/>
        <w:rPr>
          <w:rFonts w:cs="Times New Roman"/>
          <w:b/>
          <w:bCs/>
          <w:szCs w:val="24"/>
          <w:highlight w:val="yellow"/>
          <w:lang w:val="en-GB"/>
        </w:rPr>
      </w:pPr>
      <w:r w:rsidRPr="009F3D22">
        <w:rPr>
          <w:rFonts w:cs="Times New Roman"/>
          <w:b/>
          <w:bCs/>
          <w:szCs w:val="24"/>
          <w:lang w:val="en-GB"/>
        </w:rPr>
        <w:lastRenderedPageBreak/>
        <w:t xml:space="preserve">Supplementary </w:t>
      </w:r>
      <w:r w:rsidR="007C2CDE">
        <w:rPr>
          <w:rFonts w:cs="Times New Roman"/>
          <w:b/>
          <w:bCs/>
          <w:szCs w:val="24"/>
          <w:lang w:val="en-GB"/>
        </w:rPr>
        <w:t>Table</w:t>
      </w:r>
      <w:r w:rsidRPr="009F3D22">
        <w:rPr>
          <w:rFonts w:cs="Times New Roman"/>
          <w:b/>
          <w:bCs/>
          <w:szCs w:val="24"/>
          <w:lang w:val="en-GB"/>
        </w:rPr>
        <w:t xml:space="preserve"> </w:t>
      </w:r>
      <w:r w:rsidR="007C2CDE">
        <w:rPr>
          <w:rFonts w:cs="Times New Roman"/>
          <w:b/>
          <w:bCs/>
          <w:szCs w:val="24"/>
          <w:lang w:val="en-GB"/>
        </w:rPr>
        <w:t>3</w:t>
      </w:r>
      <w:r>
        <w:rPr>
          <w:rFonts w:cs="Times New Roman"/>
          <w:b/>
          <w:bCs/>
          <w:szCs w:val="24"/>
          <w:lang w:val="en-GB"/>
        </w:rPr>
        <w:t>.</w:t>
      </w:r>
      <w:r w:rsidRPr="009F3D22">
        <w:rPr>
          <w:rFonts w:cs="Times New Roman"/>
          <w:b/>
          <w:bCs/>
          <w:szCs w:val="24"/>
          <w:lang w:val="en-GB"/>
        </w:rPr>
        <w:t xml:space="preserve"> </w:t>
      </w:r>
      <w:r>
        <w:rPr>
          <w:rFonts w:cs="Times New Roman"/>
          <w:szCs w:val="24"/>
        </w:rPr>
        <w:t>Full c</w:t>
      </w:r>
      <w:r w:rsidRPr="00E25C2B">
        <w:rPr>
          <w:rFonts w:cs="Times New Roman"/>
          <w:szCs w:val="24"/>
        </w:rPr>
        <w:t>ause-specific</w:t>
      </w:r>
      <w:r>
        <w:rPr>
          <w:rFonts w:cs="Times New Roman"/>
          <w:szCs w:val="24"/>
        </w:rPr>
        <w:t xml:space="preserve"> hazard</w:t>
      </w:r>
      <w:r w:rsidRPr="00E25C2B">
        <w:rPr>
          <w:rFonts w:cs="Times New Roman"/>
          <w:szCs w:val="24"/>
        </w:rPr>
        <w:t xml:space="preserve"> regression models for the association between comorbidity and first follow-up colonoscopy</w:t>
      </w:r>
      <w:r>
        <w:rPr>
          <w:rFonts w:cs="Times New Roman"/>
          <w:szCs w:val="24"/>
        </w:rPr>
        <w:t xml:space="preserve"> within 12 months of the positive FOBT result</w:t>
      </w:r>
    </w:p>
    <w:p w14:paraId="27D4C70D" w14:textId="77777777" w:rsidR="0083061B" w:rsidRPr="00E25C2B" w:rsidRDefault="0083061B" w:rsidP="0083061B">
      <w:pPr>
        <w:spacing w:line="240" w:lineRule="auto"/>
        <w:rPr>
          <w:rFonts w:cs="Times New Roman"/>
          <w:szCs w:val="24"/>
        </w:rPr>
      </w:pPr>
    </w:p>
    <w:tbl>
      <w:tblPr>
        <w:tblStyle w:val="TableGrid"/>
        <w:tblW w:w="0" w:type="auto"/>
        <w:tblLook w:val="04A0" w:firstRow="1" w:lastRow="0" w:firstColumn="1" w:lastColumn="0" w:noHBand="0" w:noVBand="1"/>
      </w:tblPr>
      <w:tblGrid>
        <w:gridCol w:w="4860"/>
        <w:gridCol w:w="2025"/>
        <w:gridCol w:w="2025"/>
        <w:gridCol w:w="2025"/>
        <w:gridCol w:w="2025"/>
      </w:tblGrid>
      <w:tr w:rsidR="0083061B" w:rsidRPr="009F3D22" w14:paraId="5959376C" w14:textId="77777777" w:rsidTr="00613316">
        <w:tc>
          <w:tcPr>
            <w:tcW w:w="4860" w:type="dxa"/>
            <w:tcBorders>
              <w:left w:val="nil"/>
              <w:bottom w:val="single" w:sz="4" w:space="0" w:color="auto"/>
              <w:right w:val="nil"/>
            </w:tcBorders>
            <w:vAlign w:val="center"/>
          </w:tcPr>
          <w:p w14:paraId="28E4F83E" w14:textId="77777777" w:rsidR="0083061B" w:rsidRPr="009F3D22" w:rsidRDefault="0083061B" w:rsidP="00613316">
            <w:pPr>
              <w:spacing w:line="240" w:lineRule="auto"/>
              <w:jc w:val="center"/>
              <w:rPr>
                <w:rFonts w:cs="Times New Roman"/>
                <w:b/>
                <w:bCs/>
                <w:sz w:val="20"/>
                <w:szCs w:val="20"/>
              </w:rPr>
            </w:pPr>
            <w:r w:rsidRPr="009F3D22">
              <w:rPr>
                <w:rFonts w:cs="Times New Roman"/>
                <w:b/>
                <w:bCs/>
                <w:sz w:val="20"/>
                <w:szCs w:val="20"/>
              </w:rPr>
              <w:t>Variable</w:t>
            </w:r>
          </w:p>
        </w:tc>
        <w:tc>
          <w:tcPr>
            <w:tcW w:w="2025" w:type="dxa"/>
            <w:tcBorders>
              <w:left w:val="nil"/>
              <w:bottom w:val="single" w:sz="4" w:space="0" w:color="auto"/>
              <w:right w:val="nil"/>
            </w:tcBorders>
            <w:vAlign w:val="center"/>
          </w:tcPr>
          <w:p w14:paraId="7314370A" w14:textId="77777777" w:rsidR="0083061B" w:rsidRPr="009F3D22" w:rsidRDefault="0083061B" w:rsidP="00613316">
            <w:pPr>
              <w:spacing w:line="240" w:lineRule="auto"/>
              <w:jc w:val="center"/>
              <w:rPr>
                <w:rFonts w:cs="Times New Roman"/>
                <w:b/>
                <w:bCs/>
                <w:sz w:val="20"/>
                <w:szCs w:val="20"/>
              </w:rPr>
            </w:pPr>
            <w:r w:rsidRPr="009F3D22">
              <w:rPr>
                <w:rFonts w:cs="Times New Roman"/>
                <w:b/>
                <w:bCs/>
                <w:sz w:val="20"/>
                <w:szCs w:val="20"/>
              </w:rPr>
              <w:t>Unadjusted</w:t>
            </w:r>
          </w:p>
          <w:p w14:paraId="699076A3" w14:textId="77777777" w:rsidR="0083061B" w:rsidRPr="009F3D22" w:rsidRDefault="0083061B" w:rsidP="00613316">
            <w:pPr>
              <w:spacing w:line="240" w:lineRule="auto"/>
              <w:jc w:val="center"/>
              <w:rPr>
                <w:rFonts w:cs="Times New Roman"/>
                <w:b/>
                <w:bCs/>
                <w:sz w:val="20"/>
                <w:szCs w:val="20"/>
              </w:rPr>
            </w:pPr>
            <w:r w:rsidRPr="009F3D22">
              <w:rPr>
                <w:rFonts w:cs="Times New Roman"/>
                <w:b/>
                <w:bCs/>
                <w:sz w:val="20"/>
                <w:szCs w:val="20"/>
              </w:rPr>
              <w:t>HR (95% CI)</w:t>
            </w:r>
          </w:p>
        </w:tc>
        <w:tc>
          <w:tcPr>
            <w:tcW w:w="2025" w:type="dxa"/>
            <w:tcBorders>
              <w:left w:val="nil"/>
              <w:bottom w:val="single" w:sz="4" w:space="0" w:color="auto"/>
              <w:right w:val="nil"/>
            </w:tcBorders>
            <w:vAlign w:val="center"/>
          </w:tcPr>
          <w:p w14:paraId="66243CBB" w14:textId="77777777" w:rsidR="0083061B" w:rsidRPr="009F3D22" w:rsidRDefault="0083061B" w:rsidP="00613316">
            <w:pPr>
              <w:spacing w:line="240" w:lineRule="auto"/>
              <w:jc w:val="center"/>
              <w:rPr>
                <w:rFonts w:cs="Times New Roman"/>
                <w:b/>
                <w:bCs/>
                <w:sz w:val="20"/>
                <w:szCs w:val="20"/>
                <w:vertAlign w:val="superscript"/>
              </w:rPr>
            </w:pPr>
            <w:r w:rsidRPr="009F3D22">
              <w:rPr>
                <w:rFonts w:cs="Times New Roman"/>
                <w:b/>
                <w:bCs/>
                <w:sz w:val="20"/>
                <w:szCs w:val="20"/>
              </w:rPr>
              <w:t>Adjusted 1</w:t>
            </w:r>
          </w:p>
          <w:p w14:paraId="173AB2E5" w14:textId="77777777" w:rsidR="0083061B" w:rsidRPr="009F3D22" w:rsidRDefault="0083061B" w:rsidP="00613316">
            <w:pPr>
              <w:spacing w:line="240" w:lineRule="auto"/>
              <w:jc w:val="center"/>
              <w:rPr>
                <w:rFonts w:cs="Times New Roman"/>
                <w:b/>
                <w:bCs/>
                <w:sz w:val="20"/>
                <w:szCs w:val="20"/>
              </w:rPr>
            </w:pPr>
            <w:r w:rsidRPr="009F3D22">
              <w:rPr>
                <w:rFonts w:cs="Times New Roman"/>
                <w:b/>
                <w:bCs/>
                <w:sz w:val="20"/>
                <w:szCs w:val="20"/>
              </w:rPr>
              <w:t>HR (95% CI)</w:t>
            </w:r>
          </w:p>
        </w:tc>
        <w:tc>
          <w:tcPr>
            <w:tcW w:w="2025" w:type="dxa"/>
            <w:tcBorders>
              <w:left w:val="nil"/>
              <w:bottom w:val="single" w:sz="4" w:space="0" w:color="auto"/>
              <w:right w:val="nil"/>
            </w:tcBorders>
            <w:vAlign w:val="center"/>
          </w:tcPr>
          <w:p w14:paraId="41EDB051" w14:textId="77777777" w:rsidR="0083061B" w:rsidRPr="009F3D22" w:rsidRDefault="0083061B" w:rsidP="00613316">
            <w:pPr>
              <w:spacing w:line="240" w:lineRule="auto"/>
              <w:jc w:val="center"/>
              <w:rPr>
                <w:rFonts w:cs="Times New Roman"/>
                <w:b/>
                <w:bCs/>
                <w:sz w:val="20"/>
                <w:szCs w:val="20"/>
                <w:vertAlign w:val="superscript"/>
              </w:rPr>
            </w:pPr>
            <w:r w:rsidRPr="009F3D22">
              <w:rPr>
                <w:rFonts w:cs="Times New Roman"/>
                <w:b/>
                <w:bCs/>
                <w:sz w:val="20"/>
                <w:szCs w:val="20"/>
              </w:rPr>
              <w:t>Adjusted 2</w:t>
            </w:r>
          </w:p>
          <w:p w14:paraId="5691E4F2" w14:textId="77777777" w:rsidR="0083061B" w:rsidRPr="009F3D22" w:rsidRDefault="0083061B" w:rsidP="00613316">
            <w:pPr>
              <w:spacing w:line="240" w:lineRule="auto"/>
              <w:jc w:val="center"/>
              <w:rPr>
                <w:rFonts w:cs="Times New Roman"/>
                <w:b/>
                <w:bCs/>
                <w:sz w:val="20"/>
                <w:szCs w:val="20"/>
              </w:rPr>
            </w:pPr>
            <w:r w:rsidRPr="009F3D22">
              <w:rPr>
                <w:rFonts w:cs="Times New Roman"/>
                <w:b/>
                <w:bCs/>
                <w:sz w:val="20"/>
                <w:szCs w:val="20"/>
              </w:rPr>
              <w:t>HR (95% CI)</w:t>
            </w:r>
          </w:p>
        </w:tc>
        <w:tc>
          <w:tcPr>
            <w:tcW w:w="2025" w:type="dxa"/>
            <w:tcBorders>
              <w:left w:val="nil"/>
              <w:bottom w:val="single" w:sz="4" w:space="0" w:color="auto"/>
              <w:right w:val="nil"/>
            </w:tcBorders>
            <w:vAlign w:val="center"/>
          </w:tcPr>
          <w:p w14:paraId="360909BB" w14:textId="77777777" w:rsidR="0083061B" w:rsidRPr="009F3D22" w:rsidRDefault="0083061B" w:rsidP="00613316">
            <w:pPr>
              <w:spacing w:line="240" w:lineRule="auto"/>
              <w:jc w:val="center"/>
              <w:rPr>
                <w:rFonts w:cs="Times New Roman"/>
                <w:b/>
                <w:bCs/>
                <w:sz w:val="20"/>
                <w:szCs w:val="20"/>
                <w:vertAlign w:val="superscript"/>
              </w:rPr>
            </w:pPr>
            <w:r w:rsidRPr="009F3D22">
              <w:rPr>
                <w:rFonts w:cs="Times New Roman"/>
                <w:b/>
                <w:bCs/>
                <w:sz w:val="20"/>
                <w:szCs w:val="20"/>
              </w:rPr>
              <w:t>Adjusted 3</w:t>
            </w:r>
          </w:p>
          <w:p w14:paraId="13C72167" w14:textId="77777777" w:rsidR="0083061B" w:rsidRPr="009F3D22" w:rsidRDefault="0083061B" w:rsidP="00613316">
            <w:pPr>
              <w:spacing w:line="240" w:lineRule="auto"/>
              <w:jc w:val="center"/>
              <w:rPr>
                <w:rFonts w:cs="Times New Roman"/>
                <w:b/>
                <w:bCs/>
                <w:sz w:val="20"/>
                <w:szCs w:val="20"/>
              </w:rPr>
            </w:pPr>
            <w:r w:rsidRPr="009F3D22">
              <w:rPr>
                <w:rFonts w:cs="Times New Roman"/>
                <w:b/>
                <w:bCs/>
                <w:sz w:val="20"/>
                <w:szCs w:val="20"/>
              </w:rPr>
              <w:t>HR (95% CI)</w:t>
            </w:r>
          </w:p>
        </w:tc>
      </w:tr>
      <w:tr w:rsidR="0083061B" w:rsidRPr="009F3D22" w14:paraId="54DDE61C" w14:textId="77777777" w:rsidTr="00613316">
        <w:tc>
          <w:tcPr>
            <w:tcW w:w="4860" w:type="dxa"/>
            <w:tcBorders>
              <w:left w:val="nil"/>
              <w:bottom w:val="nil"/>
              <w:right w:val="nil"/>
            </w:tcBorders>
          </w:tcPr>
          <w:p w14:paraId="4EAFFD41" w14:textId="77777777" w:rsidR="0083061B" w:rsidRPr="009F3D22" w:rsidRDefault="0083061B" w:rsidP="00613316">
            <w:pPr>
              <w:spacing w:line="240" w:lineRule="auto"/>
              <w:rPr>
                <w:rFonts w:cs="Times New Roman"/>
                <w:sz w:val="20"/>
                <w:szCs w:val="20"/>
              </w:rPr>
            </w:pPr>
            <w:r w:rsidRPr="009F3D22">
              <w:rPr>
                <w:rFonts w:cs="Times New Roman"/>
                <w:b/>
                <w:bCs/>
                <w:sz w:val="20"/>
                <w:szCs w:val="20"/>
              </w:rPr>
              <w:t>Individual chronic conditions</w:t>
            </w:r>
          </w:p>
        </w:tc>
        <w:tc>
          <w:tcPr>
            <w:tcW w:w="2025" w:type="dxa"/>
            <w:tcBorders>
              <w:left w:val="nil"/>
              <w:bottom w:val="nil"/>
              <w:right w:val="nil"/>
            </w:tcBorders>
          </w:tcPr>
          <w:p w14:paraId="50938A58" w14:textId="77777777" w:rsidR="0083061B" w:rsidRPr="009F3D22" w:rsidRDefault="0083061B" w:rsidP="00613316">
            <w:pPr>
              <w:spacing w:line="240" w:lineRule="auto"/>
              <w:jc w:val="center"/>
              <w:rPr>
                <w:rFonts w:cs="Times New Roman"/>
                <w:sz w:val="20"/>
                <w:szCs w:val="20"/>
              </w:rPr>
            </w:pPr>
          </w:p>
        </w:tc>
        <w:tc>
          <w:tcPr>
            <w:tcW w:w="2025" w:type="dxa"/>
            <w:tcBorders>
              <w:left w:val="nil"/>
              <w:bottom w:val="nil"/>
              <w:right w:val="nil"/>
            </w:tcBorders>
          </w:tcPr>
          <w:p w14:paraId="472F22BE" w14:textId="77777777" w:rsidR="0083061B" w:rsidRPr="009F3D22" w:rsidRDefault="0083061B" w:rsidP="00613316">
            <w:pPr>
              <w:spacing w:line="240" w:lineRule="auto"/>
              <w:jc w:val="center"/>
              <w:rPr>
                <w:rFonts w:cs="Times New Roman"/>
                <w:sz w:val="20"/>
                <w:szCs w:val="20"/>
              </w:rPr>
            </w:pPr>
          </w:p>
        </w:tc>
        <w:tc>
          <w:tcPr>
            <w:tcW w:w="2025" w:type="dxa"/>
            <w:tcBorders>
              <w:left w:val="nil"/>
              <w:bottom w:val="nil"/>
              <w:right w:val="nil"/>
            </w:tcBorders>
          </w:tcPr>
          <w:p w14:paraId="7654A584" w14:textId="77777777" w:rsidR="0083061B" w:rsidRPr="009F3D22" w:rsidRDefault="0083061B" w:rsidP="00613316">
            <w:pPr>
              <w:spacing w:line="240" w:lineRule="auto"/>
              <w:jc w:val="center"/>
              <w:rPr>
                <w:rFonts w:cs="Times New Roman"/>
                <w:sz w:val="20"/>
                <w:szCs w:val="20"/>
              </w:rPr>
            </w:pPr>
          </w:p>
        </w:tc>
        <w:tc>
          <w:tcPr>
            <w:tcW w:w="2025" w:type="dxa"/>
            <w:tcBorders>
              <w:left w:val="nil"/>
              <w:bottom w:val="nil"/>
              <w:right w:val="nil"/>
            </w:tcBorders>
          </w:tcPr>
          <w:p w14:paraId="285EB8A2" w14:textId="77777777" w:rsidR="0083061B" w:rsidRPr="009F3D22" w:rsidRDefault="0083061B" w:rsidP="00613316">
            <w:pPr>
              <w:spacing w:line="240" w:lineRule="auto"/>
              <w:jc w:val="center"/>
              <w:rPr>
                <w:rFonts w:cs="Times New Roman"/>
                <w:sz w:val="20"/>
                <w:szCs w:val="20"/>
              </w:rPr>
            </w:pPr>
          </w:p>
        </w:tc>
      </w:tr>
      <w:tr w:rsidR="0083061B" w:rsidRPr="009F3D22" w14:paraId="536DDB18" w14:textId="77777777" w:rsidTr="00613316">
        <w:tc>
          <w:tcPr>
            <w:tcW w:w="4860" w:type="dxa"/>
            <w:tcBorders>
              <w:top w:val="nil"/>
              <w:left w:val="nil"/>
              <w:bottom w:val="nil"/>
              <w:right w:val="nil"/>
            </w:tcBorders>
          </w:tcPr>
          <w:p w14:paraId="5FD1900B"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Diabetes (incident) vs. no diabetes</w:t>
            </w:r>
          </w:p>
        </w:tc>
        <w:tc>
          <w:tcPr>
            <w:tcW w:w="2025" w:type="dxa"/>
            <w:tcBorders>
              <w:top w:val="nil"/>
              <w:left w:val="nil"/>
              <w:bottom w:val="nil"/>
              <w:right w:val="nil"/>
            </w:tcBorders>
          </w:tcPr>
          <w:p w14:paraId="058FE7F7"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0.91 (0.89, 0.94)</w:t>
            </w:r>
          </w:p>
        </w:tc>
        <w:tc>
          <w:tcPr>
            <w:tcW w:w="2025" w:type="dxa"/>
            <w:tcBorders>
              <w:top w:val="nil"/>
              <w:left w:val="nil"/>
              <w:bottom w:val="nil"/>
              <w:right w:val="nil"/>
            </w:tcBorders>
          </w:tcPr>
          <w:p w14:paraId="7CC2ACC5" w14:textId="286ADAED" w:rsidR="0083061B" w:rsidRPr="009F3D22" w:rsidRDefault="0083061B" w:rsidP="00613316">
            <w:pPr>
              <w:spacing w:line="240" w:lineRule="auto"/>
              <w:jc w:val="center"/>
              <w:rPr>
                <w:rFonts w:cs="Times New Roman"/>
                <w:sz w:val="20"/>
                <w:szCs w:val="20"/>
              </w:rPr>
            </w:pPr>
            <w:r w:rsidRPr="009F3D22">
              <w:rPr>
                <w:rFonts w:cs="Times New Roman"/>
                <w:sz w:val="20"/>
                <w:szCs w:val="20"/>
              </w:rPr>
              <w:t>0.9</w:t>
            </w:r>
            <w:r w:rsidR="000D60B1">
              <w:rPr>
                <w:rFonts w:cs="Times New Roman"/>
                <w:sz w:val="20"/>
                <w:szCs w:val="20"/>
              </w:rPr>
              <w:t>4</w:t>
            </w:r>
            <w:r w:rsidRPr="009F3D22">
              <w:rPr>
                <w:rFonts w:cs="Times New Roman"/>
                <w:sz w:val="20"/>
                <w:szCs w:val="20"/>
              </w:rPr>
              <w:t xml:space="preserve"> (0.91, 0.96)</w:t>
            </w:r>
          </w:p>
        </w:tc>
        <w:tc>
          <w:tcPr>
            <w:tcW w:w="2025" w:type="dxa"/>
            <w:tcBorders>
              <w:top w:val="nil"/>
              <w:left w:val="nil"/>
              <w:bottom w:val="nil"/>
              <w:right w:val="nil"/>
            </w:tcBorders>
          </w:tcPr>
          <w:p w14:paraId="536AEAB1"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47BA5C2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219D4C83" w14:textId="77777777" w:rsidTr="00613316">
        <w:tc>
          <w:tcPr>
            <w:tcW w:w="4860" w:type="dxa"/>
            <w:tcBorders>
              <w:top w:val="nil"/>
              <w:left w:val="nil"/>
              <w:bottom w:val="nil"/>
              <w:right w:val="nil"/>
            </w:tcBorders>
          </w:tcPr>
          <w:p w14:paraId="387B17E3"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Diabetes (prevalent)</w:t>
            </w:r>
            <w:r w:rsidRPr="009F3D22">
              <w:rPr>
                <w:rFonts w:cs="Times New Roman"/>
                <w:sz w:val="20"/>
                <w:szCs w:val="20"/>
                <w:vertAlign w:val="superscript"/>
              </w:rPr>
              <w:t xml:space="preserve"> </w:t>
            </w:r>
            <w:r w:rsidRPr="009F3D22">
              <w:rPr>
                <w:rFonts w:cs="Times New Roman"/>
                <w:sz w:val="20"/>
                <w:szCs w:val="20"/>
              </w:rPr>
              <w:t>vs. no diabetes</w:t>
            </w:r>
          </w:p>
        </w:tc>
        <w:tc>
          <w:tcPr>
            <w:tcW w:w="2025" w:type="dxa"/>
            <w:tcBorders>
              <w:top w:val="nil"/>
              <w:left w:val="nil"/>
              <w:bottom w:val="nil"/>
              <w:right w:val="nil"/>
            </w:tcBorders>
          </w:tcPr>
          <w:p w14:paraId="65503614"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0.93 (0.92, 0.94)</w:t>
            </w:r>
          </w:p>
        </w:tc>
        <w:tc>
          <w:tcPr>
            <w:tcW w:w="2025" w:type="dxa"/>
            <w:tcBorders>
              <w:top w:val="nil"/>
              <w:left w:val="nil"/>
              <w:bottom w:val="nil"/>
              <w:right w:val="nil"/>
            </w:tcBorders>
          </w:tcPr>
          <w:p w14:paraId="51379C91"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0.96 (0.95, 0.97)</w:t>
            </w:r>
          </w:p>
        </w:tc>
        <w:tc>
          <w:tcPr>
            <w:tcW w:w="2025" w:type="dxa"/>
            <w:tcBorders>
              <w:top w:val="nil"/>
              <w:left w:val="nil"/>
              <w:bottom w:val="nil"/>
              <w:right w:val="nil"/>
            </w:tcBorders>
          </w:tcPr>
          <w:p w14:paraId="5D7E57D1"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52FBD167"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45C7C9BC" w14:textId="77777777" w:rsidTr="00613316">
        <w:tc>
          <w:tcPr>
            <w:tcW w:w="4860" w:type="dxa"/>
            <w:tcBorders>
              <w:top w:val="nil"/>
              <w:left w:val="nil"/>
              <w:bottom w:val="nil"/>
              <w:right w:val="nil"/>
            </w:tcBorders>
          </w:tcPr>
          <w:p w14:paraId="2A8D0D3E"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ESRD vs. no ESRD</w:t>
            </w:r>
          </w:p>
        </w:tc>
        <w:tc>
          <w:tcPr>
            <w:tcW w:w="2025" w:type="dxa"/>
            <w:tcBorders>
              <w:top w:val="nil"/>
              <w:left w:val="nil"/>
              <w:bottom w:val="nil"/>
              <w:right w:val="nil"/>
            </w:tcBorders>
          </w:tcPr>
          <w:p w14:paraId="0041BA3A"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0.63 (0.55, 0.72)</w:t>
            </w:r>
          </w:p>
        </w:tc>
        <w:tc>
          <w:tcPr>
            <w:tcW w:w="2025" w:type="dxa"/>
            <w:tcBorders>
              <w:top w:val="nil"/>
              <w:left w:val="nil"/>
              <w:bottom w:val="nil"/>
              <w:right w:val="nil"/>
            </w:tcBorders>
          </w:tcPr>
          <w:p w14:paraId="7491E71C"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0.71 (0.62, 0.82)</w:t>
            </w:r>
          </w:p>
        </w:tc>
        <w:tc>
          <w:tcPr>
            <w:tcW w:w="2025" w:type="dxa"/>
            <w:tcBorders>
              <w:top w:val="nil"/>
              <w:left w:val="nil"/>
              <w:bottom w:val="nil"/>
              <w:right w:val="nil"/>
            </w:tcBorders>
          </w:tcPr>
          <w:p w14:paraId="1C5C052D"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113F55B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61ADFE56" w14:textId="77777777" w:rsidTr="00613316">
        <w:tc>
          <w:tcPr>
            <w:tcW w:w="4860" w:type="dxa"/>
            <w:tcBorders>
              <w:top w:val="nil"/>
              <w:left w:val="nil"/>
              <w:bottom w:val="nil"/>
              <w:right w:val="nil"/>
            </w:tcBorders>
          </w:tcPr>
          <w:p w14:paraId="1C9307FE"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COPD vs. no COPD</w:t>
            </w:r>
          </w:p>
        </w:tc>
        <w:tc>
          <w:tcPr>
            <w:tcW w:w="2025" w:type="dxa"/>
            <w:tcBorders>
              <w:top w:val="nil"/>
              <w:left w:val="nil"/>
              <w:bottom w:val="nil"/>
              <w:right w:val="nil"/>
            </w:tcBorders>
          </w:tcPr>
          <w:p w14:paraId="4FA654D1"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0.91 (0.90, 0.93)</w:t>
            </w:r>
          </w:p>
        </w:tc>
        <w:tc>
          <w:tcPr>
            <w:tcW w:w="2025" w:type="dxa"/>
            <w:tcBorders>
              <w:top w:val="nil"/>
              <w:left w:val="nil"/>
              <w:bottom w:val="nil"/>
              <w:right w:val="nil"/>
            </w:tcBorders>
          </w:tcPr>
          <w:p w14:paraId="3B10C2F2"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0.97 (0.95, 0.98)</w:t>
            </w:r>
          </w:p>
        </w:tc>
        <w:tc>
          <w:tcPr>
            <w:tcW w:w="2025" w:type="dxa"/>
            <w:tcBorders>
              <w:top w:val="nil"/>
              <w:left w:val="nil"/>
              <w:bottom w:val="nil"/>
              <w:right w:val="nil"/>
            </w:tcBorders>
          </w:tcPr>
          <w:p w14:paraId="0D13A2C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455825C6"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42B80B61" w14:textId="77777777" w:rsidTr="00613316">
        <w:tc>
          <w:tcPr>
            <w:tcW w:w="4860" w:type="dxa"/>
            <w:tcBorders>
              <w:top w:val="nil"/>
              <w:left w:val="nil"/>
              <w:bottom w:val="nil"/>
              <w:right w:val="nil"/>
            </w:tcBorders>
          </w:tcPr>
          <w:p w14:paraId="6B03082D"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CHF vs. no CHF</w:t>
            </w:r>
          </w:p>
        </w:tc>
        <w:tc>
          <w:tcPr>
            <w:tcW w:w="2025" w:type="dxa"/>
            <w:tcBorders>
              <w:top w:val="nil"/>
              <w:left w:val="nil"/>
              <w:bottom w:val="nil"/>
              <w:right w:val="nil"/>
            </w:tcBorders>
          </w:tcPr>
          <w:p w14:paraId="6E5D8581"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0.72 (0.70, 0.75)</w:t>
            </w:r>
          </w:p>
        </w:tc>
        <w:tc>
          <w:tcPr>
            <w:tcW w:w="2025" w:type="dxa"/>
            <w:tcBorders>
              <w:top w:val="nil"/>
              <w:left w:val="nil"/>
              <w:bottom w:val="nil"/>
              <w:right w:val="nil"/>
            </w:tcBorders>
          </w:tcPr>
          <w:p w14:paraId="14D79A14"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0.77 (0.75, 0.80)</w:t>
            </w:r>
          </w:p>
        </w:tc>
        <w:tc>
          <w:tcPr>
            <w:tcW w:w="2025" w:type="dxa"/>
            <w:tcBorders>
              <w:top w:val="nil"/>
              <w:left w:val="nil"/>
              <w:bottom w:val="nil"/>
              <w:right w:val="nil"/>
            </w:tcBorders>
          </w:tcPr>
          <w:p w14:paraId="2E3EC09E"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38702E96"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6A0970A3" w14:textId="77777777" w:rsidTr="00613316">
        <w:tc>
          <w:tcPr>
            <w:tcW w:w="4860" w:type="dxa"/>
            <w:tcBorders>
              <w:top w:val="nil"/>
              <w:left w:val="nil"/>
              <w:bottom w:val="nil"/>
              <w:right w:val="nil"/>
            </w:tcBorders>
          </w:tcPr>
          <w:p w14:paraId="29996EBE"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CVD vs. no CVD</w:t>
            </w:r>
          </w:p>
        </w:tc>
        <w:tc>
          <w:tcPr>
            <w:tcW w:w="2025" w:type="dxa"/>
            <w:tcBorders>
              <w:top w:val="nil"/>
              <w:left w:val="nil"/>
              <w:bottom w:val="nil"/>
              <w:right w:val="nil"/>
            </w:tcBorders>
          </w:tcPr>
          <w:p w14:paraId="7E3A3514"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0.85 (0.84, 0.87)</w:t>
            </w:r>
          </w:p>
        </w:tc>
        <w:tc>
          <w:tcPr>
            <w:tcW w:w="2025" w:type="dxa"/>
            <w:tcBorders>
              <w:top w:val="nil"/>
              <w:left w:val="nil"/>
              <w:bottom w:val="nil"/>
              <w:right w:val="nil"/>
            </w:tcBorders>
          </w:tcPr>
          <w:p w14:paraId="1A133A1A"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0.93 (0.91, 0.95)</w:t>
            </w:r>
          </w:p>
        </w:tc>
        <w:tc>
          <w:tcPr>
            <w:tcW w:w="2025" w:type="dxa"/>
            <w:tcBorders>
              <w:top w:val="nil"/>
              <w:left w:val="nil"/>
              <w:bottom w:val="nil"/>
              <w:right w:val="nil"/>
            </w:tcBorders>
          </w:tcPr>
          <w:p w14:paraId="6EA8B868"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59B75A20"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6DDC76E9" w14:textId="77777777" w:rsidTr="00613316">
        <w:tc>
          <w:tcPr>
            <w:tcW w:w="4860" w:type="dxa"/>
            <w:tcBorders>
              <w:top w:val="nil"/>
              <w:left w:val="nil"/>
              <w:bottom w:val="nil"/>
              <w:right w:val="nil"/>
            </w:tcBorders>
          </w:tcPr>
          <w:p w14:paraId="07331674"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Serious mental illness vs. no mental illness</w:t>
            </w:r>
          </w:p>
        </w:tc>
        <w:tc>
          <w:tcPr>
            <w:tcW w:w="2025" w:type="dxa"/>
            <w:tcBorders>
              <w:top w:val="nil"/>
              <w:left w:val="nil"/>
              <w:bottom w:val="nil"/>
              <w:right w:val="nil"/>
            </w:tcBorders>
          </w:tcPr>
          <w:p w14:paraId="4DF10F92"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0.85 (0.82, 0.88)</w:t>
            </w:r>
          </w:p>
        </w:tc>
        <w:tc>
          <w:tcPr>
            <w:tcW w:w="2025" w:type="dxa"/>
            <w:tcBorders>
              <w:top w:val="nil"/>
              <w:left w:val="nil"/>
              <w:bottom w:val="nil"/>
              <w:right w:val="nil"/>
            </w:tcBorders>
          </w:tcPr>
          <w:p w14:paraId="33EF2D0E"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0.88 (0.85, 0.9</w:t>
            </w:r>
            <w:r>
              <w:rPr>
                <w:rFonts w:cs="Times New Roman"/>
                <w:sz w:val="20"/>
                <w:szCs w:val="20"/>
              </w:rPr>
              <w:t>2</w:t>
            </w:r>
            <w:r w:rsidRPr="009F3D22">
              <w:rPr>
                <w:rFonts w:cs="Times New Roman"/>
                <w:sz w:val="20"/>
                <w:szCs w:val="20"/>
              </w:rPr>
              <w:t>)</w:t>
            </w:r>
          </w:p>
        </w:tc>
        <w:tc>
          <w:tcPr>
            <w:tcW w:w="2025" w:type="dxa"/>
            <w:tcBorders>
              <w:top w:val="nil"/>
              <w:left w:val="nil"/>
              <w:bottom w:val="nil"/>
              <w:right w:val="nil"/>
            </w:tcBorders>
          </w:tcPr>
          <w:p w14:paraId="79A043D4"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w:t>
            </w:r>
            <w:r>
              <w:rPr>
                <w:rFonts w:cs="Times New Roman"/>
                <w:sz w:val="20"/>
                <w:szCs w:val="20"/>
              </w:rPr>
              <w:t>9</w:t>
            </w:r>
            <w:r w:rsidRPr="009F3D22">
              <w:rPr>
                <w:rFonts w:cs="Times New Roman"/>
                <w:sz w:val="20"/>
                <w:szCs w:val="20"/>
              </w:rPr>
              <w:t xml:space="preserve"> (0.85, 0.92)</w:t>
            </w:r>
          </w:p>
        </w:tc>
        <w:tc>
          <w:tcPr>
            <w:tcW w:w="2025" w:type="dxa"/>
            <w:tcBorders>
              <w:top w:val="nil"/>
              <w:left w:val="nil"/>
              <w:bottom w:val="nil"/>
              <w:right w:val="nil"/>
            </w:tcBorders>
          </w:tcPr>
          <w:p w14:paraId="145722BD"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008C993B" w14:textId="77777777" w:rsidTr="00613316">
        <w:tc>
          <w:tcPr>
            <w:tcW w:w="4860" w:type="dxa"/>
            <w:tcBorders>
              <w:top w:val="nil"/>
              <w:left w:val="nil"/>
              <w:bottom w:val="nil"/>
              <w:right w:val="nil"/>
            </w:tcBorders>
          </w:tcPr>
          <w:p w14:paraId="3DCAC912"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Common mental illness vs. no mental illness</w:t>
            </w:r>
          </w:p>
        </w:tc>
        <w:tc>
          <w:tcPr>
            <w:tcW w:w="2025" w:type="dxa"/>
            <w:tcBorders>
              <w:top w:val="nil"/>
              <w:left w:val="nil"/>
              <w:bottom w:val="nil"/>
              <w:right w:val="nil"/>
            </w:tcBorders>
          </w:tcPr>
          <w:p w14:paraId="27909E44"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0.93 (0.92, 0.94)</w:t>
            </w:r>
          </w:p>
        </w:tc>
        <w:tc>
          <w:tcPr>
            <w:tcW w:w="2025" w:type="dxa"/>
            <w:tcBorders>
              <w:top w:val="nil"/>
              <w:left w:val="nil"/>
              <w:bottom w:val="nil"/>
              <w:right w:val="nil"/>
            </w:tcBorders>
          </w:tcPr>
          <w:p w14:paraId="721471AA"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w:t>
            </w:r>
            <w:r>
              <w:rPr>
                <w:rFonts w:cs="Times New Roman"/>
                <w:sz w:val="20"/>
                <w:szCs w:val="20"/>
              </w:rPr>
              <w:t>7</w:t>
            </w:r>
            <w:r w:rsidRPr="009F3D22">
              <w:rPr>
                <w:rFonts w:cs="Times New Roman"/>
                <w:sz w:val="20"/>
                <w:szCs w:val="20"/>
              </w:rPr>
              <w:t xml:space="preserve"> (0.96, 0.99)</w:t>
            </w:r>
          </w:p>
        </w:tc>
        <w:tc>
          <w:tcPr>
            <w:tcW w:w="2025" w:type="dxa"/>
            <w:tcBorders>
              <w:top w:val="nil"/>
              <w:left w:val="nil"/>
              <w:bottom w:val="nil"/>
              <w:right w:val="nil"/>
            </w:tcBorders>
          </w:tcPr>
          <w:p w14:paraId="1559743B"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w:t>
            </w:r>
            <w:r>
              <w:rPr>
                <w:rFonts w:cs="Times New Roman"/>
                <w:sz w:val="20"/>
                <w:szCs w:val="20"/>
              </w:rPr>
              <w:t>7</w:t>
            </w:r>
            <w:r w:rsidRPr="009F3D22">
              <w:rPr>
                <w:rFonts w:cs="Times New Roman"/>
                <w:sz w:val="20"/>
                <w:szCs w:val="20"/>
              </w:rPr>
              <w:t xml:space="preserve"> (0.96, 0.99)</w:t>
            </w:r>
          </w:p>
        </w:tc>
        <w:tc>
          <w:tcPr>
            <w:tcW w:w="2025" w:type="dxa"/>
            <w:tcBorders>
              <w:top w:val="nil"/>
              <w:left w:val="nil"/>
              <w:bottom w:val="nil"/>
              <w:right w:val="nil"/>
            </w:tcBorders>
          </w:tcPr>
          <w:p w14:paraId="23CCBD73"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55561FCA" w14:textId="77777777" w:rsidTr="00613316">
        <w:tc>
          <w:tcPr>
            <w:tcW w:w="4860" w:type="dxa"/>
            <w:tcBorders>
              <w:top w:val="nil"/>
              <w:left w:val="nil"/>
              <w:bottom w:val="nil"/>
              <w:right w:val="nil"/>
            </w:tcBorders>
          </w:tcPr>
          <w:p w14:paraId="2CDF259B" w14:textId="77777777" w:rsidR="0083061B" w:rsidRPr="009F3D22" w:rsidRDefault="0083061B" w:rsidP="00613316">
            <w:pPr>
              <w:spacing w:line="240" w:lineRule="auto"/>
              <w:rPr>
                <w:rFonts w:cs="Times New Roman"/>
                <w:sz w:val="20"/>
                <w:szCs w:val="20"/>
                <w:vertAlign w:val="superscript"/>
              </w:rPr>
            </w:pPr>
            <w:r w:rsidRPr="009F3D22">
              <w:rPr>
                <w:rFonts w:cs="Times New Roman"/>
                <w:b/>
                <w:bCs/>
                <w:sz w:val="20"/>
                <w:szCs w:val="20"/>
              </w:rPr>
              <w:t>Number of major medical comorbidities</w:t>
            </w:r>
            <w:r w:rsidRPr="009F3D22">
              <w:rPr>
                <w:rFonts w:cs="Times New Roman"/>
                <w:b/>
                <w:bCs/>
                <w:sz w:val="20"/>
                <w:szCs w:val="20"/>
                <w:vertAlign w:val="superscript"/>
              </w:rPr>
              <w:t>a</w:t>
            </w:r>
          </w:p>
        </w:tc>
        <w:tc>
          <w:tcPr>
            <w:tcW w:w="2025" w:type="dxa"/>
            <w:tcBorders>
              <w:top w:val="nil"/>
              <w:left w:val="nil"/>
              <w:bottom w:val="nil"/>
              <w:right w:val="nil"/>
            </w:tcBorders>
          </w:tcPr>
          <w:p w14:paraId="07B2757E" w14:textId="77777777" w:rsidR="0083061B" w:rsidRPr="009F3D22" w:rsidRDefault="0083061B" w:rsidP="00613316">
            <w:pPr>
              <w:spacing w:line="240" w:lineRule="auto"/>
              <w:jc w:val="center"/>
              <w:rPr>
                <w:rFonts w:cs="Times New Roman"/>
                <w:sz w:val="20"/>
                <w:szCs w:val="20"/>
              </w:rPr>
            </w:pPr>
          </w:p>
        </w:tc>
        <w:tc>
          <w:tcPr>
            <w:tcW w:w="2025" w:type="dxa"/>
            <w:tcBorders>
              <w:top w:val="nil"/>
              <w:left w:val="nil"/>
              <w:bottom w:val="nil"/>
              <w:right w:val="nil"/>
            </w:tcBorders>
          </w:tcPr>
          <w:p w14:paraId="64521B01" w14:textId="77777777" w:rsidR="0083061B" w:rsidRPr="009F3D22" w:rsidRDefault="0083061B" w:rsidP="00613316">
            <w:pPr>
              <w:spacing w:line="240" w:lineRule="auto"/>
              <w:jc w:val="center"/>
              <w:rPr>
                <w:rFonts w:cs="Times New Roman"/>
                <w:sz w:val="20"/>
                <w:szCs w:val="20"/>
              </w:rPr>
            </w:pPr>
          </w:p>
        </w:tc>
        <w:tc>
          <w:tcPr>
            <w:tcW w:w="2025" w:type="dxa"/>
            <w:tcBorders>
              <w:top w:val="nil"/>
              <w:left w:val="nil"/>
              <w:bottom w:val="nil"/>
              <w:right w:val="nil"/>
            </w:tcBorders>
          </w:tcPr>
          <w:p w14:paraId="3CE2EEB6" w14:textId="77777777" w:rsidR="0083061B" w:rsidRPr="009F3D22" w:rsidRDefault="0083061B" w:rsidP="00613316">
            <w:pPr>
              <w:spacing w:line="240" w:lineRule="auto"/>
              <w:jc w:val="center"/>
              <w:rPr>
                <w:rFonts w:cs="Times New Roman"/>
                <w:sz w:val="20"/>
                <w:szCs w:val="20"/>
              </w:rPr>
            </w:pPr>
          </w:p>
        </w:tc>
        <w:tc>
          <w:tcPr>
            <w:tcW w:w="2025" w:type="dxa"/>
            <w:tcBorders>
              <w:top w:val="nil"/>
              <w:left w:val="nil"/>
              <w:bottom w:val="nil"/>
              <w:right w:val="nil"/>
            </w:tcBorders>
          </w:tcPr>
          <w:p w14:paraId="68EC8924" w14:textId="77777777" w:rsidR="0083061B" w:rsidRPr="009F3D22" w:rsidRDefault="0083061B" w:rsidP="00613316">
            <w:pPr>
              <w:spacing w:line="240" w:lineRule="auto"/>
              <w:jc w:val="center"/>
              <w:rPr>
                <w:rFonts w:cs="Times New Roman"/>
                <w:sz w:val="20"/>
                <w:szCs w:val="20"/>
              </w:rPr>
            </w:pPr>
          </w:p>
        </w:tc>
      </w:tr>
      <w:tr w:rsidR="0083061B" w:rsidRPr="009F3D22" w14:paraId="0BA693A8" w14:textId="77777777" w:rsidTr="00613316">
        <w:tc>
          <w:tcPr>
            <w:tcW w:w="4860" w:type="dxa"/>
            <w:tcBorders>
              <w:top w:val="nil"/>
              <w:left w:val="nil"/>
              <w:bottom w:val="nil"/>
              <w:right w:val="nil"/>
            </w:tcBorders>
          </w:tcPr>
          <w:p w14:paraId="640E6FEF"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Comorbidity 1 vs. 0</w:t>
            </w:r>
          </w:p>
        </w:tc>
        <w:tc>
          <w:tcPr>
            <w:tcW w:w="2025" w:type="dxa"/>
            <w:tcBorders>
              <w:top w:val="nil"/>
              <w:left w:val="nil"/>
              <w:bottom w:val="nil"/>
              <w:right w:val="nil"/>
            </w:tcBorders>
          </w:tcPr>
          <w:p w14:paraId="18E8FEB7"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0.94 (0.93, 0.95)</w:t>
            </w:r>
          </w:p>
        </w:tc>
        <w:tc>
          <w:tcPr>
            <w:tcW w:w="2025" w:type="dxa"/>
            <w:tcBorders>
              <w:top w:val="nil"/>
              <w:left w:val="nil"/>
              <w:bottom w:val="nil"/>
              <w:right w:val="nil"/>
            </w:tcBorders>
          </w:tcPr>
          <w:p w14:paraId="3D80729F"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03BA03D3" w14:textId="77777777" w:rsidR="0083061B" w:rsidRPr="0069789D" w:rsidRDefault="0083061B" w:rsidP="00613316">
            <w:pPr>
              <w:spacing w:line="240" w:lineRule="auto"/>
              <w:jc w:val="center"/>
              <w:rPr>
                <w:rFonts w:cs="Times New Roman"/>
                <w:sz w:val="20"/>
                <w:szCs w:val="20"/>
              </w:rPr>
            </w:pPr>
            <w:r w:rsidRPr="0069789D">
              <w:rPr>
                <w:rFonts w:cs="Times New Roman"/>
                <w:sz w:val="20"/>
                <w:szCs w:val="20"/>
              </w:rPr>
              <w:t>0.95 (0.94, 0.97)</w:t>
            </w:r>
          </w:p>
        </w:tc>
        <w:tc>
          <w:tcPr>
            <w:tcW w:w="2025" w:type="dxa"/>
            <w:tcBorders>
              <w:top w:val="nil"/>
              <w:left w:val="nil"/>
              <w:bottom w:val="nil"/>
              <w:right w:val="nil"/>
            </w:tcBorders>
          </w:tcPr>
          <w:p w14:paraId="123162C3"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04BD7186" w14:textId="77777777" w:rsidTr="00613316">
        <w:tc>
          <w:tcPr>
            <w:tcW w:w="4860" w:type="dxa"/>
            <w:tcBorders>
              <w:top w:val="nil"/>
              <w:left w:val="nil"/>
              <w:bottom w:val="nil"/>
              <w:right w:val="nil"/>
            </w:tcBorders>
          </w:tcPr>
          <w:p w14:paraId="107B4C15"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Comorbidity 2 vs. 0</w:t>
            </w:r>
          </w:p>
        </w:tc>
        <w:tc>
          <w:tcPr>
            <w:tcW w:w="2025" w:type="dxa"/>
            <w:tcBorders>
              <w:top w:val="nil"/>
              <w:left w:val="nil"/>
              <w:bottom w:val="nil"/>
              <w:right w:val="nil"/>
            </w:tcBorders>
          </w:tcPr>
          <w:p w14:paraId="65227002"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0.85 (0.83, 0.87)</w:t>
            </w:r>
          </w:p>
        </w:tc>
        <w:tc>
          <w:tcPr>
            <w:tcW w:w="2025" w:type="dxa"/>
            <w:tcBorders>
              <w:top w:val="nil"/>
              <w:left w:val="nil"/>
              <w:bottom w:val="nil"/>
              <w:right w:val="nil"/>
            </w:tcBorders>
          </w:tcPr>
          <w:p w14:paraId="752FE746"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49C84D82" w14:textId="77777777" w:rsidR="0083061B" w:rsidRPr="0069789D" w:rsidRDefault="0083061B" w:rsidP="00613316">
            <w:pPr>
              <w:spacing w:line="240" w:lineRule="auto"/>
              <w:jc w:val="center"/>
              <w:rPr>
                <w:rFonts w:cs="Times New Roman"/>
                <w:sz w:val="20"/>
                <w:szCs w:val="20"/>
              </w:rPr>
            </w:pPr>
            <w:r w:rsidRPr="0069789D">
              <w:rPr>
                <w:rFonts w:cs="Times New Roman"/>
                <w:sz w:val="20"/>
                <w:szCs w:val="20"/>
              </w:rPr>
              <w:t>0.87 (0.85, 0.89)</w:t>
            </w:r>
          </w:p>
        </w:tc>
        <w:tc>
          <w:tcPr>
            <w:tcW w:w="2025" w:type="dxa"/>
            <w:tcBorders>
              <w:top w:val="nil"/>
              <w:left w:val="nil"/>
              <w:bottom w:val="nil"/>
              <w:right w:val="nil"/>
            </w:tcBorders>
          </w:tcPr>
          <w:p w14:paraId="24524F6B"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49FA9CD2" w14:textId="77777777" w:rsidTr="00613316">
        <w:tc>
          <w:tcPr>
            <w:tcW w:w="4860" w:type="dxa"/>
            <w:tcBorders>
              <w:top w:val="nil"/>
              <w:left w:val="nil"/>
              <w:bottom w:val="nil"/>
              <w:right w:val="nil"/>
            </w:tcBorders>
          </w:tcPr>
          <w:p w14:paraId="72B8D740"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Comorbidity 3 vs. 0</w:t>
            </w:r>
          </w:p>
        </w:tc>
        <w:tc>
          <w:tcPr>
            <w:tcW w:w="2025" w:type="dxa"/>
            <w:tcBorders>
              <w:top w:val="nil"/>
              <w:left w:val="nil"/>
              <w:bottom w:val="nil"/>
              <w:right w:val="nil"/>
            </w:tcBorders>
          </w:tcPr>
          <w:p w14:paraId="3826AD9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0.72 (0.69, 0.75)</w:t>
            </w:r>
          </w:p>
        </w:tc>
        <w:tc>
          <w:tcPr>
            <w:tcW w:w="2025" w:type="dxa"/>
            <w:tcBorders>
              <w:top w:val="nil"/>
              <w:left w:val="nil"/>
              <w:bottom w:val="nil"/>
              <w:right w:val="nil"/>
            </w:tcBorders>
          </w:tcPr>
          <w:p w14:paraId="3EDE065E"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66A72ACC" w14:textId="77777777" w:rsidR="0083061B" w:rsidRPr="0069789D" w:rsidRDefault="0083061B" w:rsidP="00613316">
            <w:pPr>
              <w:spacing w:line="240" w:lineRule="auto"/>
              <w:jc w:val="center"/>
              <w:rPr>
                <w:rFonts w:cs="Times New Roman"/>
                <w:sz w:val="20"/>
                <w:szCs w:val="20"/>
              </w:rPr>
            </w:pPr>
            <w:r w:rsidRPr="0069789D">
              <w:rPr>
                <w:rFonts w:cs="Times New Roman"/>
                <w:sz w:val="20"/>
                <w:szCs w:val="20"/>
              </w:rPr>
              <w:t>0.75 (0.72, 0.78)</w:t>
            </w:r>
          </w:p>
        </w:tc>
        <w:tc>
          <w:tcPr>
            <w:tcW w:w="2025" w:type="dxa"/>
            <w:tcBorders>
              <w:top w:val="nil"/>
              <w:left w:val="nil"/>
              <w:bottom w:val="nil"/>
              <w:right w:val="nil"/>
            </w:tcBorders>
          </w:tcPr>
          <w:p w14:paraId="3621CE78"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547497F7" w14:textId="77777777" w:rsidTr="00613316">
        <w:tc>
          <w:tcPr>
            <w:tcW w:w="4860" w:type="dxa"/>
            <w:tcBorders>
              <w:top w:val="nil"/>
              <w:left w:val="nil"/>
              <w:bottom w:val="nil"/>
              <w:right w:val="nil"/>
            </w:tcBorders>
          </w:tcPr>
          <w:p w14:paraId="2E5F0C37"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Comorbidity </w:t>
            </w:r>
            <w:r w:rsidRPr="00856511">
              <w:rPr>
                <w:rFonts w:cs="Times New Roman"/>
                <w:sz w:val="20"/>
                <w:szCs w:val="20"/>
              </w:rPr>
              <w:t>≥</w:t>
            </w:r>
            <w:r w:rsidRPr="009F3D22">
              <w:rPr>
                <w:rFonts w:cs="Times New Roman"/>
                <w:sz w:val="20"/>
                <w:szCs w:val="20"/>
              </w:rPr>
              <w:t>4 vs. 0</w:t>
            </w:r>
          </w:p>
        </w:tc>
        <w:tc>
          <w:tcPr>
            <w:tcW w:w="2025" w:type="dxa"/>
            <w:tcBorders>
              <w:top w:val="nil"/>
              <w:left w:val="nil"/>
              <w:bottom w:val="nil"/>
              <w:right w:val="nil"/>
            </w:tcBorders>
          </w:tcPr>
          <w:p w14:paraId="0F64715A"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0.61 (0.56, 0.6</w:t>
            </w:r>
            <w:r>
              <w:rPr>
                <w:rFonts w:cs="Times New Roman"/>
                <w:sz w:val="20"/>
                <w:szCs w:val="20"/>
              </w:rPr>
              <w:t>6</w:t>
            </w:r>
            <w:r w:rsidRPr="009F3D22">
              <w:rPr>
                <w:rFonts w:cs="Times New Roman"/>
                <w:sz w:val="20"/>
                <w:szCs w:val="20"/>
              </w:rPr>
              <w:t>)</w:t>
            </w:r>
          </w:p>
        </w:tc>
        <w:tc>
          <w:tcPr>
            <w:tcW w:w="2025" w:type="dxa"/>
            <w:tcBorders>
              <w:top w:val="nil"/>
              <w:left w:val="nil"/>
              <w:bottom w:val="nil"/>
              <w:right w:val="nil"/>
            </w:tcBorders>
          </w:tcPr>
          <w:p w14:paraId="1B5D353B"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61CFE05D" w14:textId="77777777" w:rsidR="0083061B" w:rsidRPr="0069789D" w:rsidRDefault="0083061B" w:rsidP="00613316">
            <w:pPr>
              <w:spacing w:line="240" w:lineRule="auto"/>
              <w:jc w:val="center"/>
              <w:rPr>
                <w:rFonts w:cs="Times New Roman"/>
                <w:sz w:val="20"/>
                <w:szCs w:val="20"/>
              </w:rPr>
            </w:pPr>
            <w:r w:rsidRPr="0069789D">
              <w:rPr>
                <w:rFonts w:cs="Times New Roman"/>
                <w:sz w:val="20"/>
                <w:szCs w:val="20"/>
              </w:rPr>
              <w:t>0.64 (0.58, 0.69)</w:t>
            </w:r>
          </w:p>
        </w:tc>
        <w:tc>
          <w:tcPr>
            <w:tcW w:w="2025" w:type="dxa"/>
            <w:tcBorders>
              <w:top w:val="nil"/>
              <w:left w:val="nil"/>
              <w:bottom w:val="nil"/>
              <w:right w:val="nil"/>
            </w:tcBorders>
          </w:tcPr>
          <w:p w14:paraId="7EDF3802"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r>
      <w:tr w:rsidR="0083061B" w:rsidRPr="009F3D22" w14:paraId="5AEB9878" w14:textId="77777777" w:rsidTr="00613316">
        <w:tc>
          <w:tcPr>
            <w:tcW w:w="4860" w:type="dxa"/>
            <w:tcBorders>
              <w:top w:val="nil"/>
              <w:left w:val="nil"/>
              <w:bottom w:val="nil"/>
              <w:right w:val="nil"/>
            </w:tcBorders>
          </w:tcPr>
          <w:p w14:paraId="17F6C6A9" w14:textId="77777777" w:rsidR="0083061B" w:rsidRPr="009F3D22" w:rsidRDefault="0083061B" w:rsidP="00613316">
            <w:pPr>
              <w:spacing w:line="240" w:lineRule="auto"/>
              <w:rPr>
                <w:rFonts w:cs="Times New Roman"/>
                <w:sz w:val="20"/>
                <w:szCs w:val="20"/>
              </w:rPr>
            </w:pPr>
            <w:r w:rsidRPr="009F3D22">
              <w:rPr>
                <w:rFonts w:cs="Times New Roman"/>
                <w:b/>
                <w:bCs/>
                <w:sz w:val="20"/>
                <w:szCs w:val="20"/>
              </w:rPr>
              <w:t>Mental and medical comorbidity</w:t>
            </w:r>
          </w:p>
        </w:tc>
        <w:tc>
          <w:tcPr>
            <w:tcW w:w="2025" w:type="dxa"/>
            <w:tcBorders>
              <w:top w:val="nil"/>
              <w:left w:val="nil"/>
              <w:bottom w:val="nil"/>
              <w:right w:val="nil"/>
            </w:tcBorders>
          </w:tcPr>
          <w:p w14:paraId="712FF265" w14:textId="77777777" w:rsidR="0083061B" w:rsidRPr="009F3D22" w:rsidRDefault="0083061B" w:rsidP="00613316">
            <w:pPr>
              <w:spacing w:line="240" w:lineRule="auto"/>
              <w:jc w:val="center"/>
              <w:rPr>
                <w:rFonts w:cs="Times New Roman"/>
                <w:sz w:val="20"/>
                <w:szCs w:val="20"/>
              </w:rPr>
            </w:pPr>
          </w:p>
        </w:tc>
        <w:tc>
          <w:tcPr>
            <w:tcW w:w="2025" w:type="dxa"/>
            <w:tcBorders>
              <w:top w:val="nil"/>
              <w:left w:val="nil"/>
              <w:bottom w:val="nil"/>
              <w:right w:val="nil"/>
            </w:tcBorders>
          </w:tcPr>
          <w:p w14:paraId="577304F3" w14:textId="77777777" w:rsidR="0083061B" w:rsidRPr="009F3D22" w:rsidRDefault="0083061B" w:rsidP="00613316">
            <w:pPr>
              <w:spacing w:line="240" w:lineRule="auto"/>
              <w:jc w:val="center"/>
              <w:rPr>
                <w:rFonts w:cs="Times New Roman"/>
                <w:sz w:val="20"/>
                <w:szCs w:val="20"/>
              </w:rPr>
            </w:pPr>
          </w:p>
        </w:tc>
        <w:tc>
          <w:tcPr>
            <w:tcW w:w="2025" w:type="dxa"/>
            <w:tcBorders>
              <w:top w:val="nil"/>
              <w:left w:val="nil"/>
              <w:bottom w:val="nil"/>
              <w:right w:val="nil"/>
            </w:tcBorders>
          </w:tcPr>
          <w:p w14:paraId="7291CCA5" w14:textId="77777777" w:rsidR="0083061B" w:rsidRPr="009F3D22" w:rsidRDefault="0083061B" w:rsidP="00613316">
            <w:pPr>
              <w:spacing w:line="240" w:lineRule="auto"/>
              <w:jc w:val="center"/>
              <w:rPr>
                <w:rFonts w:cs="Times New Roman"/>
                <w:sz w:val="20"/>
                <w:szCs w:val="20"/>
              </w:rPr>
            </w:pPr>
          </w:p>
        </w:tc>
        <w:tc>
          <w:tcPr>
            <w:tcW w:w="2025" w:type="dxa"/>
            <w:tcBorders>
              <w:top w:val="nil"/>
              <w:left w:val="nil"/>
              <w:bottom w:val="nil"/>
              <w:right w:val="nil"/>
            </w:tcBorders>
          </w:tcPr>
          <w:p w14:paraId="5E64C522" w14:textId="77777777" w:rsidR="0083061B" w:rsidRPr="009F3D22" w:rsidRDefault="0083061B" w:rsidP="00613316">
            <w:pPr>
              <w:spacing w:line="240" w:lineRule="auto"/>
              <w:jc w:val="center"/>
              <w:rPr>
                <w:rFonts w:cs="Times New Roman"/>
                <w:sz w:val="20"/>
                <w:szCs w:val="20"/>
              </w:rPr>
            </w:pPr>
          </w:p>
        </w:tc>
      </w:tr>
      <w:tr w:rsidR="0083061B" w:rsidRPr="009F3D22" w14:paraId="26E4D3E6" w14:textId="77777777" w:rsidTr="00613316">
        <w:tc>
          <w:tcPr>
            <w:tcW w:w="4860" w:type="dxa"/>
            <w:tcBorders>
              <w:top w:val="nil"/>
              <w:left w:val="nil"/>
              <w:bottom w:val="nil"/>
              <w:right w:val="nil"/>
            </w:tcBorders>
          </w:tcPr>
          <w:p w14:paraId="1B451BBF" w14:textId="0411B3C6" w:rsidR="0083061B" w:rsidRPr="009F3D22" w:rsidRDefault="0083061B" w:rsidP="00613316">
            <w:pPr>
              <w:spacing w:line="240" w:lineRule="auto"/>
              <w:rPr>
                <w:rFonts w:cs="Times New Roman"/>
                <w:sz w:val="20"/>
                <w:szCs w:val="20"/>
              </w:rPr>
            </w:pPr>
            <w:r w:rsidRPr="009F3D22">
              <w:rPr>
                <w:rFonts w:cs="Times New Roman"/>
                <w:sz w:val="20"/>
                <w:szCs w:val="20"/>
              </w:rPr>
              <w:t xml:space="preserve">  </w:t>
            </w:r>
            <w:r w:rsidR="003D2972">
              <w:rPr>
                <w:rFonts w:cs="Times New Roman"/>
                <w:sz w:val="20"/>
                <w:szCs w:val="20"/>
              </w:rPr>
              <w:t>M</w:t>
            </w:r>
            <w:r w:rsidRPr="009F3D22">
              <w:rPr>
                <w:rFonts w:cs="Times New Roman"/>
                <w:sz w:val="20"/>
                <w:szCs w:val="20"/>
              </w:rPr>
              <w:t xml:space="preserve">edical and mental </w:t>
            </w:r>
            <w:r w:rsidR="003D2972">
              <w:rPr>
                <w:rFonts w:cs="Times New Roman"/>
                <w:sz w:val="20"/>
                <w:szCs w:val="20"/>
              </w:rPr>
              <w:t xml:space="preserve">health </w:t>
            </w:r>
            <w:r w:rsidRPr="009F3D22">
              <w:rPr>
                <w:rFonts w:cs="Times New Roman"/>
                <w:sz w:val="20"/>
                <w:szCs w:val="20"/>
              </w:rPr>
              <w:t>comorbidit</w:t>
            </w:r>
            <w:r w:rsidR="003D2972">
              <w:rPr>
                <w:rFonts w:cs="Times New Roman"/>
                <w:sz w:val="20"/>
                <w:szCs w:val="20"/>
              </w:rPr>
              <w:t>ies</w:t>
            </w:r>
            <w:r w:rsidRPr="009F3D22">
              <w:rPr>
                <w:rFonts w:cs="Times New Roman"/>
                <w:sz w:val="20"/>
                <w:szCs w:val="20"/>
              </w:rPr>
              <w:t xml:space="preserve"> vs. none</w:t>
            </w:r>
          </w:p>
        </w:tc>
        <w:tc>
          <w:tcPr>
            <w:tcW w:w="2025" w:type="dxa"/>
            <w:tcBorders>
              <w:top w:val="nil"/>
              <w:left w:val="nil"/>
              <w:bottom w:val="nil"/>
              <w:right w:val="nil"/>
            </w:tcBorders>
          </w:tcPr>
          <w:p w14:paraId="4546344B"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0.84 (0.82, 0.85)</w:t>
            </w:r>
          </w:p>
        </w:tc>
        <w:tc>
          <w:tcPr>
            <w:tcW w:w="2025" w:type="dxa"/>
            <w:tcBorders>
              <w:top w:val="nil"/>
              <w:left w:val="nil"/>
              <w:bottom w:val="nil"/>
              <w:right w:val="nil"/>
            </w:tcBorders>
          </w:tcPr>
          <w:p w14:paraId="31510D2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0D720D80"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6B7C9ECB"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0.88 (0.87, 0.90)</w:t>
            </w:r>
          </w:p>
        </w:tc>
      </w:tr>
      <w:tr w:rsidR="0083061B" w:rsidRPr="009F3D22" w14:paraId="6281BFE6" w14:textId="77777777" w:rsidTr="00613316">
        <w:tc>
          <w:tcPr>
            <w:tcW w:w="4860" w:type="dxa"/>
            <w:tcBorders>
              <w:top w:val="nil"/>
              <w:left w:val="nil"/>
              <w:bottom w:val="nil"/>
              <w:right w:val="nil"/>
            </w:tcBorders>
          </w:tcPr>
          <w:p w14:paraId="33A1E5AA" w14:textId="500A3D27" w:rsidR="0083061B" w:rsidRPr="009F3D22" w:rsidRDefault="0083061B" w:rsidP="00613316">
            <w:pPr>
              <w:spacing w:line="240" w:lineRule="auto"/>
              <w:rPr>
                <w:rFonts w:cs="Times New Roman"/>
                <w:sz w:val="20"/>
                <w:szCs w:val="20"/>
              </w:rPr>
            </w:pPr>
            <w:r w:rsidRPr="009F3D22">
              <w:rPr>
                <w:rFonts w:cs="Times New Roman"/>
                <w:sz w:val="20"/>
                <w:szCs w:val="20"/>
              </w:rPr>
              <w:t xml:space="preserve">  </w:t>
            </w:r>
            <w:r w:rsidR="003D2972">
              <w:rPr>
                <w:rFonts w:cs="Times New Roman"/>
                <w:sz w:val="20"/>
                <w:szCs w:val="20"/>
              </w:rPr>
              <w:t>M</w:t>
            </w:r>
            <w:r w:rsidRPr="009F3D22">
              <w:rPr>
                <w:rFonts w:cs="Times New Roman"/>
                <w:sz w:val="20"/>
                <w:szCs w:val="20"/>
              </w:rPr>
              <w:t>edical comorbidit</w:t>
            </w:r>
            <w:r w:rsidR="003D2972">
              <w:rPr>
                <w:rFonts w:cs="Times New Roman"/>
                <w:sz w:val="20"/>
                <w:szCs w:val="20"/>
              </w:rPr>
              <w:t>ies</w:t>
            </w:r>
            <w:r w:rsidRPr="009F3D22">
              <w:rPr>
                <w:rFonts w:cs="Times New Roman"/>
                <w:sz w:val="20"/>
                <w:szCs w:val="20"/>
              </w:rPr>
              <w:t xml:space="preserve"> only vs. none</w:t>
            </w:r>
          </w:p>
        </w:tc>
        <w:tc>
          <w:tcPr>
            <w:tcW w:w="2025" w:type="dxa"/>
            <w:tcBorders>
              <w:top w:val="nil"/>
              <w:left w:val="nil"/>
              <w:bottom w:val="nil"/>
              <w:right w:val="nil"/>
            </w:tcBorders>
          </w:tcPr>
          <w:p w14:paraId="64F46CB1"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0.91 (0.90, 0.93)</w:t>
            </w:r>
          </w:p>
        </w:tc>
        <w:tc>
          <w:tcPr>
            <w:tcW w:w="2025" w:type="dxa"/>
            <w:tcBorders>
              <w:top w:val="nil"/>
              <w:left w:val="nil"/>
              <w:bottom w:val="nil"/>
              <w:right w:val="nil"/>
            </w:tcBorders>
          </w:tcPr>
          <w:p w14:paraId="0FFABC83"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211EAAE2"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nil"/>
              <w:right w:val="nil"/>
            </w:tcBorders>
          </w:tcPr>
          <w:p w14:paraId="308E69E8" w14:textId="265D8646" w:rsidR="0083061B" w:rsidRPr="009F3D22" w:rsidRDefault="0083061B" w:rsidP="00613316">
            <w:pPr>
              <w:spacing w:line="240" w:lineRule="auto"/>
              <w:jc w:val="center"/>
              <w:rPr>
                <w:rFonts w:cs="Times New Roman"/>
                <w:sz w:val="20"/>
                <w:szCs w:val="20"/>
              </w:rPr>
            </w:pPr>
            <w:r w:rsidRPr="009F3D22">
              <w:rPr>
                <w:rFonts w:cs="Times New Roman"/>
                <w:sz w:val="20"/>
                <w:szCs w:val="20"/>
              </w:rPr>
              <w:t>0.93 (0.9</w:t>
            </w:r>
            <w:r w:rsidR="000D60B1">
              <w:rPr>
                <w:rFonts w:cs="Times New Roman"/>
                <w:sz w:val="20"/>
                <w:szCs w:val="20"/>
              </w:rPr>
              <w:t>2</w:t>
            </w:r>
            <w:r w:rsidRPr="009F3D22">
              <w:rPr>
                <w:rFonts w:cs="Times New Roman"/>
                <w:sz w:val="20"/>
                <w:szCs w:val="20"/>
              </w:rPr>
              <w:t>, 0.94)</w:t>
            </w:r>
          </w:p>
        </w:tc>
      </w:tr>
      <w:tr w:rsidR="0083061B" w:rsidRPr="009F3D22" w14:paraId="1FA6FFA3" w14:textId="77777777" w:rsidTr="00613316">
        <w:tc>
          <w:tcPr>
            <w:tcW w:w="4860" w:type="dxa"/>
            <w:tcBorders>
              <w:top w:val="nil"/>
              <w:left w:val="nil"/>
              <w:bottom w:val="single" w:sz="4" w:space="0" w:color="auto"/>
              <w:right w:val="nil"/>
            </w:tcBorders>
          </w:tcPr>
          <w:p w14:paraId="26ABB37F" w14:textId="17E96C1B" w:rsidR="0083061B" w:rsidRPr="009F3D22" w:rsidRDefault="0083061B" w:rsidP="00613316">
            <w:pPr>
              <w:spacing w:line="240" w:lineRule="auto"/>
              <w:rPr>
                <w:rFonts w:cs="Times New Roman"/>
                <w:sz w:val="20"/>
                <w:szCs w:val="20"/>
              </w:rPr>
            </w:pPr>
            <w:r w:rsidRPr="009F3D22">
              <w:rPr>
                <w:rFonts w:cs="Times New Roman"/>
                <w:sz w:val="20"/>
                <w:szCs w:val="20"/>
              </w:rPr>
              <w:t xml:space="preserve">  </w:t>
            </w:r>
            <w:r w:rsidR="003D2972">
              <w:rPr>
                <w:rFonts w:cs="Times New Roman"/>
                <w:sz w:val="20"/>
                <w:szCs w:val="20"/>
              </w:rPr>
              <w:t>M</w:t>
            </w:r>
            <w:r w:rsidRPr="009F3D22">
              <w:rPr>
                <w:rFonts w:cs="Times New Roman"/>
                <w:sz w:val="20"/>
                <w:szCs w:val="20"/>
              </w:rPr>
              <w:t xml:space="preserve">ental </w:t>
            </w:r>
            <w:r w:rsidR="003D2972">
              <w:rPr>
                <w:rFonts w:cs="Times New Roman"/>
                <w:sz w:val="20"/>
                <w:szCs w:val="20"/>
              </w:rPr>
              <w:t xml:space="preserve">health </w:t>
            </w:r>
            <w:r w:rsidRPr="009F3D22">
              <w:rPr>
                <w:rFonts w:cs="Times New Roman"/>
                <w:sz w:val="20"/>
                <w:szCs w:val="20"/>
              </w:rPr>
              <w:t>comorbidit</w:t>
            </w:r>
            <w:r w:rsidR="003D2972">
              <w:rPr>
                <w:rFonts w:cs="Times New Roman"/>
                <w:sz w:val="20"/>
                <w:szCs w:val="20"/>
              </w:rPr>
              <w:t>ies</w:t>
            </w:r>
            <w:r w:rsidRPr="009F3D22">
              <w:rPr>
                <w:rFonts w:cs="Times New Roman"/>
                <w:sz w:val="20"/>
                <w:szCs w:val="20"/>
              </w:rPr>
              <w:t xml:space="preserve"> only vs. none</w:t>
            </w:r>
          </w:p>
        </w:tc>
        <w:tc>
          <w:tcPr>
            <w:tcW w:w="2025" w:type="dxa"/>
            <w:tcBorders>
              <w:top w:val="nil"/>
              <w:left w:val="nil"/>
              <w:bottom w:val="single" w:sz="4" w:space="0" w:color="auto"/>
              <w:right w:val="nil"/>
            </w:tcBorders>
          </w:tcPr>
          <w:p w14:paraId="2411D9EB"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0.93 (0.92, 0.95)</w:t>
            </w:r>
          </w:p>
        </w:tc>
        <w:tc>
          <w:tcPr>
            <w:tcW w:w="2025" w:type="dxa"/>
            <w:tcBorders>
              <w:top w:val="nil"/>
              <w:left w:val="nil"/>
              <w:bottom w:val="single" w:sz="4" w:space="0" w:color="auto"/>
              <w:right w:val="nil"/>
            </w:tcBorders>
          </w:tcPr>
          <w:p w14:paraId="5BE1CA7C"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single" w:sz="4" w:space="0" w:color="auto"/>
              <w:right w:val="nil"/>
            </w:tcBorders>
          </w:tcPr>
          <w:p w14:paraId="0021E72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w:t>
            </w:r>
          </w:p>
        </w:tc>
        <w:tc>
          <w:tcPr>
            <w:tcW w:w="2025" w:type="dxa"/>
            <w:tcBorders>
              <w:top w:val="nil"/>
              <w:left w:val="nil"/>
              <w:bottom w:val="single" w:sz="4" w:space="0" w:color="auto"/>
              <w:right w:val="nil"/>
            </w:tcBorders>
          </w:tcPr>
          <w:p w14:paraId="2FAD1FBA" w14:textId="77777777" w:rsidR="0083061B" w:rsidRPr="009F3D22" w:rsidRDefault="0083061B" w:rsidP="00613316">
            <w:pPr>
              <w:spacing w:line="240" w:lineRule="auto"/>
              <w:jc w:val="center"/>
              <w:rPr>
                <w:rFonts w:cs="Times New Roman"/>
                <w:sz w:val="20"/>
                <w:szCs w:val="20"/>
                <w:highlight w:val="yellow"/>
              </w:rPr>
            </w:pPr>
            <w:r w:rsidRPr="009F3D22">
              <w:rPr>
                <w:rFonts w:cs="Times New Roman"/>
                <w:sz w:val="20"/>
                <w:szCs w:val="20"/>
              </w:rPr>
              <w:t>0.97 (0.95, 0.9</w:t>
            </w:r>
            <w:r>
              <w:rPr>
                <w:rFonts w:cs="Times New Roman"/>
                <w:sz w:val="20"/>
                <w:szCs w:val="20"/>
              </w:rPr>
              <w:t>8</w:t>
            </w:r>
            <w:r w:rsidRPr="009F3D22">
              <w:rPr>
                <w:rFonts w:cs="Times New Roman"/>
                <w:sz w:val="20"/>
                <w:szCs w:val="20"/>
              </w:rPr>
              <w:t>)</w:t>
            </w:r>
          </w:p>
        </w:tc>
      </w:tr>
      <w:tr w:rsidR="0083061B" w:rsidRPr="009F3D22" w14:paraId="37F2732E" w14:textId="77777777" w:rsidTr="00613316">
        <w:tc>
          <w:tcPr>
            <w:tcW w:w="4860" w:type="dxa"/>
            <w:tcBorders>
              <w:top w:val="single" w:sz="4" w:space="0" w:color="auto"/>
              <w:left w:val="nil"/>
              <w:bottom w:val="nil"/>
              <w:right w:val="nil"/>
            </w:tcBorders>
          </w:tcPr>
          <w:p w14:paraId="64A9C2A4" w14:textId="77777777" w:rsidR="0083061B" w:rsidRPr="009F3D22" w:rsidRDefault="0083061B" w:rsidP="00613316">
            <w:pPr>
              <w:spacing w:line="240" w:lineRule="auto"/>
              <w:rPr>
                <w:rFonts w:cs="Times New Roman"/>
                <w:b/>
                <w:bCs/>
                <w:sz w:val="20"/>
                <w:szCs w:val="20"/>
              </w:rPr>
            </w:pPr>
            <w:r w:rsidRPr="009F3D22">
              <w:rPr>
                <w:rFonts w:cs="Times New Roman"/>
                <w:b/>
                <w:bCs/>
                <w:sz w:val="20"/>
                <w:szCs w:val="20"/>
              </w:rPr>
              <w:t>Covariates</w:t>
            </w:r>
          </w:p>
        </w:tc>
        <w:tc>
          <w:tcPr>
            <w:tcW w:w="2025" w:type="dxa"/>
            <w:tcBorders>
              <w:top w:val="single" w:sz="4" w:space="0" w:color="auto"/>
              <w:left w:val="nil"/>
              <w:bottom w:val="nil"/>
              <w:right w:val="nil"/>
            </w:tcBorders>
          </w:tcPr>
          <w:p w14:paraId="5F9CF0C8" w14:textId="77777777" w:rsidR="0083061B" w:rsidRPr="009F3D22" w:rsidRDefault="0083061B" w:rsidP="00613316">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22CE1561" w14:textId="77777777" w:rsidR="0083061B" w:rsidRPr="009F3D22" w:rsidRDefault="0083061B" w:rsidP="00613316">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5716F338" w14:textId="77777777" w:rsidR="0083061B" w:rsidRPr="009F3D22" w:rsidRDefault="0083061B" w:rsidP="00613316">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267D820A" w14:textId="77777777" w:rsidR="0083061B" w:rsidRPr="009F3D22" w:rsidRDefault="0083061B" w:rsidP="00613316">
            <w:pPr>
              <w:spacing w:line="240" w:lineRule="auto"/>
              <w:jc w:val="center"/>
              <w:rPr>
                <w:rFonts w:cs="Times New Roman"/>
                <w:sz w:val="20"/>
                <w:szCs w:val="20"/>
                <w:highlight w:val="yellow"/>
              </w:rPr>
            </w:pPr>
          </w:p>
        </w:tc>
      </w:tr>
      <w:tr w:rsidR="000D60B1" w:rsidRPr="009F3D22" w14:paraId="27E2876C" w14:textId="77777777" w:rsidTr="00613316">
        <w:tc>
          <w:tcPr>
            <w:tcW w:w="4860" w:type="dxa"/>
            <w:tcBorders>
              <w:top w:val="nil"/>
              <w:left w:val="nil"/>
              <w:bottom w:val="nil"/>
              <w:right w:val="nil"/>
            </w:tcBorders>
          </w:tcPr>
          <w:p w14:paraId="45FCE33C" w14:textId="73130242" w:rsidR="000D60B1" w:rsidRPr="009F3D22" w:rsidRDefault="000D60B1" w:rsidP="00613316">
            <w:pPr>
              <w:spacing w:line="240" w:lineRule="auto"/>
              <w:rPr>
                <w:rFonts w:cs="Times New Roman"/>
                <w:sz w:val="20"/>
                <w:szCs w:val="20"/>
              </w:rPr>
            </w:pPr>
            <w:r>
              <w:rPr>
                <w:rFonts w:cs="Times New Roman"/>
                <w:sz w:val="20"/>
                <w:szCs w:val="20"/>
              </w:rPr>
              <w:t xml:space="preserve">  </w:t>
            </w:r>
            <w:r w:rsidRPr="00E70483">
              <w:rPr>
                <w:rFonts w:cs="Times New Roman"/>
                <w:sz w:val="20"/>
                <w:szCs w:val="20"/>
              </w:rPr>
              <w:t>Age (per 1-unit increase)</w:t>
            </w:r>
          </w:p>
        </w:tc>
        <w:tc>
          <w:tcPr>
            <w:tcW w:w="2025" w:type="dxa"/>
            <w:tcBorders>
              <w:top w:val="nil"/>
              <w:left w:val="nil"/>
              <w:bottom w:val="nil"/>
              <w:right w:val="nil"/>
            </w:tcBorders>
          </w:tcPr>
          <w:p w14:paraId="11A646D9" w14:textId="6299A6BA" w:rsidR="000D60B1" w:rsidRPr="009F3D22" w:rsidRDefault="000D60B1" w:rsidP="00613316">
            <w:pPr>
              <w:spacing w:line="240" w:lineRule="auto"/>
              <w:jc w:val="center"/>
              <w:rPr>
                <w:rFonts w:cs="Times New Roman"/>
                <w:sz w:val="20"/>
                <w:szCs w:val="20"/>
              </w:rPr>
            </w:pPr>
            <w:r>
              <w:rPr>
                <w:rFonts w:cs="Times New Roman"/>
                <w:sz w:val="20"/>
                <w:szCs w:val="20"/>
              </w:rPr>
              <w:t>1.00 (0.99, 1.00)</w:t>
            </w:r>
          </w:p>
        </w:tc>
        <w:tc>
          <w:tcPr>
            <w:tcW w:w="2025" w:type="dxa"/>
            <w:tcBorders>
              <w:top w:val="nil"/>
              <w:left w:val="nil"/>
              <w:bottom w:val="nil"/>
              <w:right w:val="nil"/>
            </w:tcBorders>
          </w:tcPr>
          <w:p w14:paraId="32F8ADCD" w14:textId="23C34B1D" w:rsidR="000D60B1" w:rsidRPr="009F3D22" w:rsidRDefault="000D60B1" w:rsidP="00613316">
            <w:pPr>
              <w:spacing w:line="240" w:lineRule="auto"/>
              <w:jc w:val="center"/>
              <w:rPr>
                <w:rFonts w:cs="Times New Roman"/>
                <w:sz w:val="20"/>
                <w:szCs w:val="20"/>
              </w:rPr>
            </w:pPr>
            <w:r>
              <w:rPr>
                <w:rFonts w:cs="Times New Roman"/>
                <w:sz w:val="20"/>
                <w:szCs w:val="20"/>
              </w:rPr>
              <w:t>1.00 (0.99, 1.00)</w:t>
            </w:r>
          </w:p>
        </w:tc>
        <w:tc>
          <w:tcPr>
            <w:tcW w:w="2025" w:type="dxa"/>
            <w:tcBorders>
              <w:top w:val="nil"/>
              <w:left w:val="nil"/>
              <w:bottom w:val="nil"/>
              <w:right w:val="nil"/>
            </w:tcBorders>
          </w:tcPr>
          <w:p w14:paraId="09306971" w14:textId="7F9DE3A1" w:rsidR="000D60B1" w:rsidRPr="009F3D22" w:rsidRDefault="000D60B1" w:rsidP="00613316">
            <w:pPr>
              <w:spacing w:line="240" w:lineRule="auto"/>
              <w:jc w:val="center"/>
              <w:rPr>
                <w:rFonts w:cs="Times New Roman"/>
                <w:sz w:val="20"/>
                <w:szCs w:val="20"/>
              </w:rPr>
            </w:pPr>
            <w:r>
              <w:rPr>
                <w:rFonts w:cs="Times New Roman"/>
                <w:sz w:val="20"/>
                <w:szCs w:val="20"/>
              </w:rPr>
              <w:t>1.00 (0.99, 1.00)</w:t>
            </w:r>
          </w:p>
        </w:tc>
        <w:tc>
          <w:tcPr>
            <w:tcW w:w="2025" w:type="dxa"/>
            <w:tcBorders>
              <w:top w:val="nil"/>
              <w:left w:val="nil"/>
              <w:bottom w:val="nil"/>
              <w:right w:val="nil"/>
            </w:tcBorders>
            <w:shd w:val="clear" w:color="auto" w:fill="auto"/>
          </w:tcPr>
          <w:p w14:paraId="2149D0F8" w14:textId="27C07D13" w:rsidR="000D60B1" w:rsidRPr="009F3D22" w:rsidRDefault="000D60B1" w:rsidP="00613316">
            <w:pPr>
              <w:spacing w:line="240" w:lineRule="auto"/>
              <w:jc w:val="center"/>
              <w:rPr>
                <w:rFonts w:cs="Times New Roman"/>
                <w:sz w:val="20"/>
                <w:szCs w:val="20"/>
              </w:rPr>
            </w:pPr>
            <w:r>
              <w:rPr>
                <w:rFonts w:cs="Times New Roman"/>
                <w:sz w:val="20"/>
                <w:szCs w:val="20"/>
              </w:rPr>
              <w:t>1.00 (0.99, 1.00)</w:t>
            </w:r>
          </w:p>
        </w:tc>
      </w:tr>
      <w:tr w:rsidR="0083061B" w:rsidRPr="009F3D22" w14:paraId="228B9516" w14:textId="77777777" w:rsidTr="00613316">
        <w:tc>
          <w:tcPr>
            <w:tcW w:w="4860" w:type="dxa"/>
            <w:tcBorders>
              <w:top w:val="nil"/>
              <w:left w:val="nil"/>
              <w:bottom w:val="nil"/>
              <w:right w:val="nil"/>
            </w:tcBorders>
          </w:tcPr>
          <w:p w14:paraId="361DD8EE"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Male vs. female</w:t>
            </w:r>
          </w:p>
        </w:tc>
        <w:tc>
          <w:tcPr>
            <w:tcW w:w="2025" w:type="dxa"/>
            <w:tcBorders>
              <w:top w:val="nil"/>
              <w:left w:val="nil"/>
              <w:bottom w:val="nil"/>
              <w:right w:val="nil"/>
            </w:tcBorders>
          </w:tcPr>
          <w:p w14:paraId="3217EDFD"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1.02 (1.01, 1.03)</w:t>
            </w:r>
          </w:p>
        </w:tc>
        <w:tc>
          <w:tcPr>
            <w:tcW w:w="2025" w:type="dxa"/>
            <w:tcBorders>
              <w:top w:val="nil"/>
              <w:left w:val="nil"/>
              <w:bottom w:val="nil"/>
              <w:right w:val="nil"/>
            </w:tcBorders>
          </w:tcPr>
          <w:p w14:paraId="5B11E058"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1.02 (1.01, 1.03)</w:t>
            </w:r>
          </w:p>
        </w:tc>
        <w:tc>
          <w:tcPr>
            <w:tcW w:w="2025" w:type="dxa"/>
            <w:tcBorders>
              <w:top w:val="nil"/>
              <w:left w:val="nil"/>
              <w:bottom w:val="nil"/>
              <w:right w:val="nil"/>
            </w:tcBorders>
          </w:tcPr>
          <w:p w14:paraId="57D87D37"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1.02 (1.01, 1.03)</w:t>
            </w:r>
          </w:p>
        </w:tc>
        <w:tc>
          <w:tcPr>
            <w:tcW w:w="2025" w:type="dxa"/>
            <w:tcBorders>
              <w:top w:val="nil"/>
              <w:left w:val="nil"/>
              <w:bottom w:val="nil"/>
              <w:right w:val="nil"/>
            </w:tcBorders>
            <w:shd w:val="clear" w:color="auto" w:fill="auto"/>
          </w:tcPr>
          <w:p w14:paraId="27487A61"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1.02 (1.00, 1.03)</w:t>
            </w:r>
          </w:p>
        </w:tc>
      </w:tr>
      <w:tr w:rsidR="0083061B" w:rsidRPr="009F3D22" w14:paraId="465F753F" w14:textId="77777777" w:rsidTr="00613316">
        <w:tc>
          <w:tcPr>
            <w:tcW w:w="4860" w:type="dxa"/>
            <w:tcBorders>
              <w:top w:val="nil"/>
              <w:left w:val="nil"/>
              <w:bottom w:val="nil"/>
              <w:right w:val="nil"/>
            </w:tcBorders>
          </w:tcPr>
          <w:p w14:paraId="5FE32928"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Rural residence vs. urban</w:t>
            </w:r>
          </w:p>
        </w:tc>
        <w:tc>
          <w:tcPr>
            <w:tcW w:w="2025" w:type="dxa"/>
            <w:tcBorders>
              <w:top w:val="nil"/>
              <w:left w:val="nil"/>
              <w:bottom w:val="nil"/>
              <w:right w:val="nil"/>
            </w:tcBorders>
          </w:tcPr>
          <w:p w14:paraId="28AEDE44"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1.00 (0.98, 1.02)</w:t>
            </w:r>
          </w:p>
        </w:tc>
        <w:tc>
          <w:tcPr>
            <w:tcW w:w="2025" w:type="dxa"/>
            <w:tcBorders>
              <w:top w:val="nil"/>
              <w:left w:val="nil"/>
              <w:bottom w:val="nil"/>
              <w:right w:val="nil"/>
            </w:tcBorders>
          </w:tcPr>
          <w:p w14:paraId="57919E69"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1.00 (0.9</w:t>
            </w:r>
            <w:r>
              <w:rPr>
                <w:rFonts w:cs="Times New Roman"/>
                <w:sz w:val="20"/>
                <w:szCs w:val="20"/>
              </w:rPr>
              <w:t>9</w:t>
            </w:r>
            <w:r w:rsidRPr="009F3D22">
              <w:rPr>
                <w:rFonts w:cs="Times New Roman"/>
                <w:sz w:val="20"/>
                <w:szCs w:val="20"/>
              </w:rPr>
              <w:t>, 1.02)</w:t>
            </w:r>
          </w:p>
        </w:tc>
        <w:tc>
          <w:tcPr>
            <w:tcW w:w="2025" w:type="dxa"/>
            <w:tcBorders>
              <w:top w:val="nil"/>
              <w:left w:val="nil"/>
              <w:bottom w:val="nil"/>
              <w:right w:val="nil"/>
            </w:tcBorders>
          </w:tcPr>
          <w:p w14:paraId="0876F578"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1.00 (0.9</w:t>
            </w:r>
            <w:r>
              <w:rPr>
                <w:rFonts w:cs="Times New Roman"/>
                <w:sz w:val="20"/>
                <w:szCs w:val="20"/>
              </w:rPr>
              <w:t>9</w:t>
            </w:r>
            <w:r w:rsidRPr="009F3D22">
              <w:rPr>
                <w:rFonts w:cs="Times New Roman"/>
                <w:sz w:val="20"/>
                <w:szCs w:val="20"/>
              </w:rPr>
              <w:t>, 1.02)</w:t>
            </w:r>
          </w:p>
        </w:tc>
        <w:tc>
          <w:tcPr>
            <w:tcW w:w="2025" w:type="dxa"/>
            <w:tcBorders>
              <w:top w:val="nil"/>
              <w:left w:val="nil"/>
              <w:bottom w:val="nil"/>
              <w:right w:val="nil"/>
            </w:tcBorders>
            <w:shd w:val="clear" w:color="auto" w:fill="auto"/>
          </w:tcPr>
          <w:p w14:paraId="56B3AF78" w14:textId="6CF4EC8A" w:rsidR="0083061B" w:rsidRPr="009F3D22" w:rsidRDefault="0083061B" w:rsidP="00613316">
            <w:pPr>
              <w:spacing w:line="240" w:lineRule="auto"/>
              <w:jc w:val="center"/>
              <w:rPr>
                <w:rFonts w:cs="Times New Roman"/>
                <w:sz w:val="20"/>
                <w:szCs w:val="20"/>
              </w:rPr>
            </w:pPr>
            <w:r w:rsidRPr="009F3D22">
              <w:rPr>
                <w:rFonts w:cs="Times New Roman"/>
                <w:sz w:val="20"/>
                <w:szCs w:val="20"/>
              </w:rPr>
              <w:t>1.00 (0.9</w:t>
            </w:r>
            <w:r w:rsidR="000D60B1">
              <w:rPr>
                <w:rFonts w:cs="Times New Roman"/>
                <w:sz w:val="20"/>
                <w:szCs w:val="20"/>
              </w:rPr>
              <w:t>9</w:t>
            </w:r>
            <w:r w:rsidRPr="009F3D22">
              <w:rPr>
                <w:rFonts w:cs="Times New Roman"/>
                <w:sz w:val="20"/>
                <w:szCs w:val="20"/>
              </w:rPr>
              <w:t>, 1.0</w:t>
            </w:r>
            <w:r>
              <w:rPr>
                <w:rFonts w:cs="Times New Roman"/>
                <w:sz w:val="20"/>
                <w:szCs w:val="20"/>
              </w:rPr>
              <w:t>2</w:t>
            </w:r>
            <w:r w:rsidRPr="009F3D22">
              <w:rPr>
                <w:rFonts w:cs="Times New Roman"/>
                <w:sz w:val="20"/>
                <w:szCs w:val="20"/>
              </w:rPr>
              <w:t>)</w:t>
            </w:r>
          </w:p>
        </w:tc>
      </w:tr>
      <w:tr w:rsidR="0083061B" w:rsidRPr="009F3D22" w14:paraId="7C85C57F" w14:textId="77777777" w:rsidTr="00613316">
        <w:tc>
          <w:tcPr>
            <w:tcW w:w="4860" w:type="dxa"/>
            <w:tcBorders>
              <w:top w:val="nil"/>
              <w:left w:val="nil"/>
              <w:bottom w:val="nil"/>
              <w:right w:val="nil"/>
            </w:tcBorders>
          </w:tcPr>
          <w:p w14:paraId="5721C5E1"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Income quintile 1 vs. 5</w:t>
            </w:r>
          </w:p>
        </w:tc>
        <w:tc>
          <w:tcPr>
            <w:tcW w:w="2025" w:type="dxa"/>
            <w:tcBorders>
              <w:top w:val="nil"/>
              <w:left w:val="nil"/>
              <w:bottom w:val="nil"/>
              <w:right w:val="nil"/>
            </w:tcBorders>
          </w:tcPr>
          <w:p w14:paraId="45B13A54"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0.87 (0.85, 0.88)</w:t>
            </w:r>
          </w:p>
        </w:tc>
        <w:tc>
          <w:tcPr>
            <w:tcW w:w="2025" w:type="dxa"/>
            <w:tcBorders>
              <w:top w:val="nil"/>
              <w:left w:val="nil"/>
              <w:bottom w:val="nil"/>
              <w:right w:val="nil"/>
            </w:tcBorders>
          </w:tcPr>
          <w:p w14:paraId="3B179071"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0.85 (0.84, 0.87)</w:t>
            </w:r>
          </w:p>
        </w:tc>
        <w:tc>
          <w:tcPr>
            <w:tcW w:w="2025" w:type="dxa"/>
            <w:tcBorders>
              <w:top w:val="nil"/>
              <w:left w:val="nil"/>
              <w:bottom w:val="nil"/>
              <w:right w:val="nil"/>
            </w:tcBorders>
          </w:tcPr>
          <w:p w14:paraId="120D166C"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0.85 (0.84, 0.87)</w:t>
            </w:r>
          </w:p>
        </w:tc>
        <w:tc>
          <w:tcPr>
            <w:tcW w:w="2025" w:type="dxa"/>
            <w:tcBorders>
              <w:top w:val="nil"/>
              <w:left w:val="nil"/>
              <w:bottom w:val="nil"/>
              <w:right w:val="nil"/>
            </w:tcBorders>
            <w:shd w:val="clear" w:color="auto" w:fill="auto"/>
          </w:tcPr>
          <w:p w14:paraId="1B21D8C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0.85 (0.83, 0.86)</w:t>
            </w:r>
          </w:p>
        </w:tc>
      </w:tr>
      <w:tr w:rsidR="0083061B" w:rsidRPr="009F3D22" w14:paraId="7B3303DA" w14:textId="77777777" w:rsidTr="00613316">
        <w:tc>
          <w:tcPr>
            <w:tcW w:w="4860" w:type="dxa"/>
            <w:tcBorders>
              <w:top w:val="nil"/>
              <w:left w:val="nil"/>
              <w:bottom w:val="nil"/>
              <w:right w:val="nil"/>
            </w:tcBorders>
          </w:tcPr>
          <w:p w14:paraId="32F6815D"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Income quintile 2 vs. 5</w:t>
            </w:r>
          </w:p>
        </w:tc>
        <w:tc>
          <w:tcPr>
            <w:tcW w:w="2025" w:type="dxa"/>
            <w:tcBorders>
              <w:top w:val="nil"/>
              <w:left w:val="nil"/>
              <w:bottom w:val="nil"/>
              <w:right w:val="nil"/>
            </w:tcBorders>
          </w:tcPr>
          <w:p w14:paraId="35CD99BD"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0.93 (0.91, 0.94)</w:t>
            </w:r>
          </w:p>
        </w:tc>
        <w:tc>
          <w:tcPr>
            <w:tcW w:w="2025" w:type="dxa"/>
            <w:tcBorders>
              <w:top w:val="nil"/>
              <w:left w:val="nil"/>
              <w:bottom w:val="nil"/>
              <w:right w:val="nil"/>
            </w:tcBorders>
          </w:tcPr>
          <w:p w14:paraId="2B8FB00B"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0.92 (0.90, 0.93)</w:t>
            </w:r>
          </w:p>
        </w:tc>
        <w:tc>
          <w:tcPr>
            <w:tcW w:w="2025" w:type="dxa"/>
            <w:tcBorders>
              <w:top w:val="nil"/>
              <w:left w:val="nil"/>
              <w:bottom w:val="nil"/>
              <w:right w:val="nil"/>
            </w:tcBorders>
          </w:tcPr>
          <w:p w14:paraId="42615B4E"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0.92 (0.90, 0.93)</w:t>
            </w:r>
          </w:p>
        </w:tc>
        <w:tc>
          <w:tcPr>
            <w:tcW w:w="2025" w:type="dxa"/>
            <w:tcBorders>
              <w:top w:val="nil"/>
              <w:left w:val="nil"/>
              <w:bottom w:val="nil"/>
              <w:right w:val="nil"/>
            </w:tcBorders>
            <w:shd w:val="clear" w:color="auto" w:fill="auto"/>
          </w:tcPr>
          <w:p w14:paraId="2BF899DA"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0.92 (0.90, 0.93)</w:t>
            </w:r>
          </w:p>
        </w:tc>
      </w:tr>
      <w:tr w:rsidR="0083061B" w:rsidRPr="009F3D22" w14:paraId="2C34B459" w14:textId="77777777" w:rsidTr="00613316">
        <w:tc>
          <w:tcPr>
            <w:tcW w:w="4860" w:type="dxa"/>
            <w:tcBorders>
              <w:top w:val="nil"/>
              <w:left w:val="nil"/>
              <w:bottom w:val="nil"/>
              <w:right w:val="nil"/>
            </w:tcBorders>
          </w:tcPr>
          <w:p w14:paraId="6F27C338"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Income quintile 3 vs. 5</w:t>
            </w:r>
          </w:p>
        </w:tc>
        <w:tc>
          <w:tcPr>
            <w:tcW w:w="2025" w:type="dxa"/>
            <w:tcBorders>
              <w:top w:val="nil"/>
              <w:left w:val="nil"/>
              <w:bottom w:val="nil"/>
              <w:right w:val="nil"/>
            </w:tcBorders>
          </w:tcPr>
          <w:p w14:paraId="63793374"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0.97 (0.96, 0.99)</w:t>
            </w:r>
          </w:p>
        </w:tc>
        <w:tc>
          <w:tcPr>
            <w:tcW w:w="2025" w:type="dxa"/>
            <w:tcBorders>
              <w:top w:val="nil"/>
              <w:left w:val="nil"/>
              <w:bottom w:val="nil"/>
              <w:right w:val="nil"/>
            </w:tcBorders>
          </w:tcPr>
          <w:p w14:paraId="3BB7C993"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0.96 (0.94, 0.98)</w:t>
            </w:r>
          </w:p>
        </w:tc>
        <w:tc>
          <w:tcPr>
            <w:tcW w:w="2025" w:type="dxa"/>
            <w:tcBorders>
              <w:top w:val="nil"/>
              <w:left w:val="nil"/>
              <w:bottom w:val="nil"/>
              <w:right w:val="nil"/>
            </w:tcBorders>
          </w:tcPr>
          <w:p w14:paraId="14BCDD7A"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0.96 (0.95, 0.98)</w:t>
            </w:r>
          </w:p>
        </w:tc>
        <w:tc>
          <w:tcPr>
            <w:tcW w:w="2025" w:type="dxa"/>
            <w:tcBorders>
              <w:top w:val="nil"/>
              <w:left w:val="nil"/>
              <w:bottom w:val="nil"/>
              <w:right w:val="nil"/>
            </w:tcBorders>
            <w:shd w:val="clear" w:color="auto" w:fill="auto"/>
          </w:tcPr>
          <w:p w14:paraId="2C895954"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0.96 (0.94, 0.98)</w:t>
            </w:r>
          </w:p>
        </w:tc>
      </w:tr>
      <w:tr w:rsidR="0083061B" w:rsidRPr="009F3D22" w14:paraId="4CD33B4B" w14:textId="77777777" w:rsidTr="00613316">
        <w:tc>
          <w:tcPr>
            <w:tcW w:w="4860" w:type="dxa"/>
            <w:tcBorders>
              <w:top w:val="nil"/>
              <w:left w:val="nil"/>
              <w:bottom w:val="nil"/>
              <w:right w:val="nil"/>
            </w:tcBorders>
          </w:tcPr>
          <w:p w14:paraId="7CF78316"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Income quintile 4 vs. 5</w:t>
            </w:r>
          </w:p>
        </w:tc>
        <w:tc>
          <w:tcPr>
            <w:tcW w:w="2025" w:type="dxa"/>
            <w:tcBorders>
              <w:top w:val="nil"/>
              <w:left w:val="nil"/>
              <w:bottom w:val="nil"/>
              <w:right w:val="nil"/>
            </w:tcBorders>
          </w:tcPr>
          <w:p w14:paraId="3E6CCB2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0.99 (0.97, 1.01)</w:t>
            </w:r>
          </w:p>
        </w:tc>
        <w:tc>
          <w:tcPr>
            <w:tcW w:w="2025" w:type="dxa"/>
            <w:tcBorders>
              <w:top w:val="nil"/>
              <w:left w:val="nil"/>
              <w:bottom w:val="nil"/>
              <w:right w:val="nil"/>
            </w:tcBorders>
          </w:tcPr>
          <w:p w14:paraId="6EBA107F"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0.99 (0.97, 1.01)</w:t>
            </w:r>
          </w:p>
        </w:tc>
        <w:tc>
          <w:tcPr>
            <w:tcW w:w="2025" w:type="dxa"/>
            <w:tcBorders>
              <w:top w:val="nil"/>
              <w:left w:val="nil"/>
              <w:bottom w:val="nil"/>
              <w:right w:val="nil"/>
            </w:tcBorders>
          </w:tcPr>
          <w:p w14:paraId="7317D1F8" w14:textId="67D02121" w:rsidR="0083061B" w:rsidRPr="009F3D22" w:rsidRDefault="0083061B" w:rsidP="00613316">
            <w:pPr>
              <w:spacing w:line="240" w:lineRule="auto"/>
              <w:jc w:val="center"/>
              <w:rPr>
                <w:rFonts w:cs="Times New Roman"/>
                <w:sz w:val="20"/>
                <w:szCs w:val="20"/>
              </w:rPr>
            </w:pPr>
            <w:r w:rsidRPr="009F3D22">
              <w:rPr>
                <w:rFonts w:cs="Times New Roman"/>
                <w:sz w:val="20"/>
                <w:szCs w:val="20"/>
              </w:rPr>
              <w:t>0.99 (0.9</w:t>
            </w:r>
            <w:r w:rsidR="000D60B1">
              <w:rPr>
                <w:rFonts w:cs="Times New Roman"/>
                <w:sz w:val="20"/>
                <w:szCs w:val="20"/>
              </w:rPr>
              <w:t>7</w:t>
            </w:r>
            <w:r w:rsidRPr="009F3D22">
              <w:rPr>
                <w:rFonts w:cs="Times New Roman"/>
                <w:sz w:val="20"/>
                <w:szCs w:val="20"/>
              </w:rPr>
              <w:t>, 1.0</w:t>
            </w:r>
            <w:r w:rsidR="000D60B1">
              <w:rPr>
                <w:rFonts w:cs="Times New Roman"/>
                <w:sz w:val="20"/>
                <w:szCs w:val="20"/>
              </w:rPr>
              <w:t>1</w:t>
            </w:r>
            <w:r w:rsidRPr="009F3D22">
              <w:rPr>
                <w:rFonts w:cs="Times New Roman"/>
                <w:sz w:val="20"/>
                <w:szCs w:val="20"/>
              </w:rPr>
              <w:t>)</w:t>
            </w:r>
          </w:p>
        </w:tc>
        <w:tc>
          <w:tcPr>
            <w:tcW w:w="2025" w:type="dxa"/>
            <w:tcBorders>
              <w:top w:val="nil"/>
              <w:left w:val="nil"/>
              <w:bottom w:val="nil"/>
              <w:right w:val="nil"/>
            </w:tcBorders>
            <w:shd w:val="clear" w:color="auto" w:fill="auto"/>
          </w:tcPr>
          <w:p w14:paraId="73DEFE6B"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0.99 (0.97, 1.01)</w:t>
            </w:r>
          </w:p>
        </w:tc>
      </w:tr>
      <w:tr w:rsidR="0083061B" w:rsidRPr="009F3D22" w14:paraId="70944B3A" w14:textId="77777777" w:rsidTr="00613316">
        <w:tc>
          <w:tcPr>
            <w:tcW w:w="4860" w:type="dxa"/>
            <w:tcBorders>
              <w:top w:val="nil"/>
              <w:left w:val="nil"/>
              <w:bottom w:val="nil"/>
              <w:right w:val="nil"/>
            </w:tcBorders>
          </w:tcPr>
          <w:p w14:paraId="5E967FCA" w14:textId="77777777" w:rsidR="0083061B" w:rsidRPr="009F3D22" w:rsidRDefault="0083061B" w:rsidP="00613316">
            <w:pPr>
              <w:spacing w:line="240" w:lineRule="auto"/>
              <w:rPr>
                <w:rFonts w:cs="Times New Roman"/>
                <w:sz w:val="20"/>
                <w:szCs w:val="20"/>
              </w:rPr>
            </w:pPr>
            <w:r w:rsidRPr="009F3D22">
              <w:rPr>
                <w:rFonts w:cs="Times New Roman"/>
                <w:sz w:val="20"/>
                <w:szCs w:val="20"/>
              </w:rPr>
              <w:t xml:space="preserve">  Rostered to a PCP</w:t>
            </w:r>
          </w:p>
        </w:tc>
        <w:tc>
          <w:tcPr>
            <w:tcW w:w="2025" w:type="dxa"/>
            <w:tcBorders>
              <w:top w:val="nil"/>
              <w:left w:val="nil"/>
              <w:bottom w:val="nil"/>
              <w:right w:val="nil"/>
            </w:tcBorders>
          </w:tcPr>
          <w:p w14:paraId="4EB15687"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1.12 (1.08, 1.16)</w:t>
            </w:r>
          </w:p>
        </w:tc>
        <w:tc>
          <w:tcPr>
            <w:tcW w:w="2025" w:type="dxa"/>
            <w:tcBorders>
              <w:top w:val="nil"/>
              <w:left w:val="nil"/>
              <w:bottom w:val="nil"/>
              <w:right w:val="nil"/>
            </w:tcBorders>
          </w:tcPr>
          <w:p w14:paraId="04515356"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1.16 (1.12, 1.20)</w:t>
            </w:r>
          </w:p>
        </w:tc>
        <w:tc>
          <w:tcPr>
            <w:tcW w:w="2025" w:type="dxa"/>
            <w:tcBorders>
              <w:top w:val="nil"/>
              <w:left w:val="nil"/>
              <w:bottom w:val="nil"/>
              <w:right w:val="nil"/>
            </w:tcBorders>
          </w:tcPr>
          <w:p w14:paraId="3EF6B8FF"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1.16 (1.12, 1.20)</w:t>
            </w:r>
          </w:p>
        </w:tc>
        <w:tc>
          <w:tcPr>
            <w:tcW w:w="2025" w:type="dxa"/>
            <w:tcBorders>
              <w:top w:val="nil"/>
              <w:left w:val="nil"/>
              <w:bottom w:val="nil"/>
              <w:right w:val="nil"/>
            </w:tcBorders>
            <w:shd w:val="clear" w:color="auto" w:fill="auto"/>
          </w:tcPr>
          <w:p w14:paraId="1A23F5AA"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1.16 (1.12, 1.20)</w:t>
            </w:r>
          </w:p>
        </w:tc>
      </w:tr>
      <w:tr w:rsidR="0083061B" w:rsidRPr="009F3D22" w14:paraId="7C079F3F" w14:textId="77777777" w:rsidTr="00613316">
        <w:tc>
          <w:tcPr>
            <w:tcW w:w="4860" w:type="dxa"/>
            <w:tcBorders>
              <w:top w:val="nil"/>
              <w:left w:val="nil"/>
              <w:bottom w:val="nil"/>
              <w:right w:val="nil"/>
            </w:tcBorders>
          </w:tcPr>
          <w:p w14:paraId="0416F36C" w14:textId="4C94CB07" w:rsidR="0083061B" w:rsidRPr="009F3D22" w:rsidRDefault="0083061B" w:rsidP="00613316">
            <w:pPr>
              <w:spacing w:line="240" w:lineRule="auto"/>
              <w:rPr>
                <w:rFonts w:cs="Times New Roman"/>
                <w:sz w:val="20"/>
                <w:szCs w:val="20"/>
              </w:rPr>
            </w:pPr>
            <w:r w:rsidRPr="009F3D22">
              <w:rPr>
                <w:rFonts w:cs="Times New Roman"/>
                <w:sz w:val="20"/>
                <w:szCs w:val="20"/>
              </w:rPr>
              <w:t xml:space="preserve">  History of non-CRC cancer: ≤5 vs. &gt;10 years</w:t>
            </w:r>
            <w:r w:rsidR="003D2972">
              <w:rPr>
                <w:rFonts w:cs="Times New Roman"/>
                <w:sz w:val="20"/>
                <w:szCs w:val="20"/>
              </w:rPr>
              <w:t xml:space="preserve"> or none </w:t>
            </w:r>
          </w:p>
        </w:tc>
        <w:tc>
          <w:tcPr>
            <w:tcW w:w="2025" w:type="dxa"/>
            <w:tcBorders>
              <w:top w:val="nil"/>
              <w:left w:val="nil"/>
              <w:bottom w:val="nil"/>
              <w:right w:val="nil"/>
            </w:tcBorders>
          </w:tcPr>
          <w:p w14:paraId="7F8539BE"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0.93 (0.90, 0.96)</w:t>
            </w:r>
          </w:p>
        </w:tc>
        <w:tc>
          <w:tcPr>
            <w:tcW w:w="2025" w:type="dxa"/>
            <w:tcBorders>
              <w:top w:val="nil"/>
              <w:left w:val="nil"/>
              <w:bottom w:val="nil"/>
              <w:right w:val="nil"/>
            </w:tcBorders>
          </w:tcPr>
          <w:p w14:paraId="3505211D"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0.98 (0.95, 1.01)</w:t>
            </w:r>
          </w:p>
        </w:tc>
        <w:tc>
          <w:tcPr>
            <w:tcW w:w="2025" w:type="dxa"/>
            <w:tcBorders>
              <w:top w:val="nil"/>
              <w:left w:val="nil"/>
              <w:bottom w:val="nil"/>
              <w:right w:val="nil"/>
            </w:tcBorders>
          </w:tcPr>
          <w:p w14:paraId="20D42F60"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0.98 (0.95, 1.01)</w:t>
            </w:r>
          </w:p>
        </w:tc>
        <w:tc>
          <w:tcPr>
            <w:tcW w:w="2025" w:type="dxa"/>
            <w:tcBorders>
              <w:top w:val="nil"/>
              <w:left w:val="nil"/>
              <w:bottom w:val="nil"/>
              <w:right w:val="nil"/>
            </w:tcBorders>
            <w:shd w:val="clear" w:color="auto" w:fill="auto"/>
          </w:tcPr>
          <w:p w14:paraId="072A478D"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0.97 (0.9</w:t>
            </w:r>
            <w:r>
              <w:rPr>
                <w:rFonts w:cs="Times New Roman"/>
                <w:sz w:val="20"/>
                <w:szCs w:val="20"/>
              </w:rPr>
              <w:t>5</w:t>
            </w:r>
            <w:r w:rsidRPr="009F3D22">
              <w:rPr>
                <w:rFonts w:cs="Times New Roman"/>
                <w:sz w:val="20"/>
                <w:szCs w:val="20"/>
              </w:rPr>
              <w:t>, 1.00)</w:t>
            </w:r>
          </w:p>
        </w:tc>
      </w:tr>
      <w:tr w:rsidR="0083061B" w:rsidRPr="009F3D22" w14:paraId="33D58FCD" w14:textId="77777777" w:rsidTr="00613316">
        <w:tc>
          <w:tcPr>
            <w:tcW w:w="4860" w:type="dxa"/>
            <w:tcBorders>
              <w:top w:val="nil"/>
              <w:left w:val="nil"/>
              <w:bottom w:val="nil"/>
              <w:right w:val="nil"/>
            </w:tcBorders>
          </w:tcPr>
          <w:p w14:paraId="4B75287A" w14:textId="5BECDF99" w:rsidR="0083061B" w:rsidRPr="009F3D22" w:rsidRDefault="0083061B" w:rsidP="00613316">
            <w:pPr>
              <w:spacing w:line="240" w:lineRule="auto"/>
              <w:rPr>
                <w:rFonts w:cs="Times New Roman"/>
                <w:sz w:val="20"/>
                <w:szCs w:val="20"/>
              </w:rPr>
            </w:pPr>
            <w:r w:rsidRPr="009F3D22">
              <w:rPr>
                <w:rFonts w:cs="Times New Roman"/>
                <w:sz w:val="20"/>
                <w:szCs w:val="20"/>
              </w:rPr>
              <w:t xml:space="preserve">  History of non-CRC cancer: 6-10 vs. &gt;10 years</w:t>
            </w:r>
            <w:r w:rsidR="003D2972">
              <w:rPr>
                <w:rFonts w:cs="Times New Roman"/>
                <w:sz w:val="20"/>
                <w:szCs w:val="20"/>
              </w:rPr>
              <w:t xml:space="preserve"> or none</w:t>
            </w:r>
          </w:p>
        </w:tc>
        <w:tc>
          <w:tcPr>
            <w:tcW w:w="2025" w:type="dxa"/>
            <w:tcBorders>
              <w:top w:val="nil"/>
              <w:left w:val="nil"/>
              <w:bottom w:val="nil"/>
              <w:right w:val="nil"/>
            </w:tcBorders>
          </w:tcPr>
          <w:p w14:paraId="689E9C12"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1.02 (0.98, 1.06)</w:t>
            </w:r>
          </w:p>
        </w:tc>
        <w:tc>
          <w:tcPr>
            <w:tcW w:w="2025" w:type="dxa"/>
            <w:tcBorders>
              <w:top w:val="nil"/>
              <w:left w:val="nil"/>
              <w:bottom w:val="nil"/>
              <w:right w:val="nil"/>
            </w:tcBorders>
          </w:tcPr>
          <w:p w14:paraId="27D650E2"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w:t>
            </w:r>
            <w:r>
              <w:rPr>
                <w:rFonts w:cs="Times New Roman"/>
                <w:sz w:val="20"/>
                <w:szCs w:val="20"/>
              </w:rPr>
              <w:t>6</w:t>
            </w:r>
            <w:r w:rsidRPr="009F3D22">
              <w:rPr>
                <w:rFonts w:cs="Times New Roman"/>
                <w:sz w:val="20"/>
                <w:szCs w:val="20"/>
              </w:rPr>
              <w:t xml:space="preserve"> (1.0</w:t>
            </w:r>
            <w:r>
              <w:rPr>
                <w:rFonts w:cs="Times New Roman"/>
                <w:sz w:val="20"/>
                <w:szCs w:val="20"/>
              </w:rPr>
              <w:t>2</w:t>
            </w:r>
            <w:r w:rsidRPr="009F3D22">
              <w:rPr>
                <w:rFonts w:cs="Times New Roman"/>
                <w:sz w:val="20"/>
                <w:szCs w:val="20"/>
              </w:rPr>
              <w:t>, 1.10)</w:t>
            </w:r>
          </w:p>
        </w:tc>
        <w:tc>
          <w:tcPr>
            <w:tcW w:w="2025" w:type="dxa"/>
            <w:tcBorders>
              <w:top w:val="nil"/>
              <w:left w:val="nil"/>
              <w:bottom w:val="nil"/>
              <w:right w:val="nil"/>
            </w:tcBorders>
          </w:tcPr>
          <w:p w14:paraId="63E9A89E" w14:textId="3693DB09" w:rsidR="0083061B" w:rsidRPr="009F3D22" w:rsidRDefault="0083061B" w:rsidP="00613316">
            <w:pPr>
              <w:spacing w:line="240" w:lineRule="auto"/>
              <w:jc w:val="center"/>
              <w:rPr>
                <w:rFonts w:cs="Times New Roman"/>
                <w:sz w:val="20"/>
                <w:szCs w:val="20"/>
              </w:rPr>
            </w:pPr>
            <w:r w:rsidRPr="009F3D22">
              <w:rPr>
                <w:rFonts w:cs="Times New Roman"/>
                <w:sz w:val="20"/>
                <w:szCs w:val="20"/>
              </w:rPr>
              <w:t>1.05 (1.0</w:t>
            </w:r>
            <w:r w:rsidR="000D60B1">
              <w:rPr>
                <w:rFonts w:cs="Times New Roman"/>
                <w:sz w:val="20"/>
                <w:szCs w:val="20"/>
              </w:rPr>
              <w:t>1</w:t>
            </w:r>
            <w:r w:rsidRPr="009F3D22">
              <w:rPr>
                <w:rFonts w:cs="Times New Roman"/>
                <w:sz w:val="20"/>
                <w:szCs w:val="20"/>
              </w:rPr>
              <w:t>, 1.10)</w:t>
            </w:r>
          </w:p>
        </w:tc>
        <w:tc>
          <w:tcPr>
            <w:tcW w:w="2025" w:type="dxa"/>
            <w:tcBorders>
              <w:top w:val="nil"/>
              <w:left w:val="nil"/>
              <w:bottom w:val="nil"/>
              <w:right w:val="nil"/>
            </w:tcBorders>
            <w:shd w:val="clear" w:color="auto" w:fill="auto"/>
          </w:tcPr>
          <w:p w14:paraId="15F6B049"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1.05 (1.01, 1.09)</w:t>
            </w:r>
          </w:p>
        </w:tc>
      </w:tr>
      <w:tr w:rsidR="0083061B" w:rsidRPr="009F3D22" w14:paraId="6EE1835E" w14:textId="77777777" w:rsidTr="00613316">
        <w:tc>
          <w:tcPr>
            <w:tcW w:w="4860" w:type="dxa"/>
            <w:tcBorders>
              <w:top w:val="nil"/>
              <w:left w:val="nil"/>
              <w:bottom w:val="nil"/>
              <w:right w:val="nil"/>
            </w:tcBorders>
          </w:tcPr>
          <w:p w14:paraId="22FA768E" w14:textId="700806C4" w:rsidR="0083061B" w:rsidRPr="009F3D22" w:rsidRDefault="0083061B" w:rsidP="00613316">
            <w:pPr>
              <w:spacing w:line="240" w:lineRule="auto"/>
              <w:rPr>
                <w:rFonts w:cs="Times New Roman"/>
                <w:sz w:val="20"/>
                <w:szCs w:val="20"/>
              </w:rPr>
            </w:pPr>
            <w:r w:rsidRPr="009F3D22">
              <w:rPr>
                <w:rFonts w:cs="Times New Roman"/>
                <w:sz w:val="20"/>
                <w:szCs w:val="20"/>
              </w:rPr>
              <w:t xml:space="preserve">  Prior colonoscopy: ≤2 vs. &gt;10 years </w:t>
            </w:r>
            <w:r w:rsidR="003D2972">
              <w:rPr>
                <w:rFonts w:cs="Times New Roman"/>
                <w:sz w:val="20"/>
                <w:szCs w:val="20"/>
              </w:rPr>
              <w:t>or none</w:t>
            </w:r>
          </w:p>
        </w:tc>
        <w:tc>
          <w:tcPr>
            <w:tcW w:w="2025" w:type="dxa"/>
            <w:tcBorders>
              <w:top w:val="nil"/>
              <w:left w:val="nil"/>
              <w:bottom w:val="nil"/>
              <w:right w:val="nil"/>
            </w:tcBorders>
          </w:tcPr>
          <w:p w14:paraId="7DA2D93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0.38 (0.36, 0.39)</w:t>
            </w:r>
          </w:p>
        </w:tc>
        <w:tc>
          <w:tcPr>
            <w:tcW w:w="2025" w:type="dxa"/>
            <w:tcBorders>
              <w:top w:val="nil"/>
              <w:left w:val="nil"/>
              <w:bottom w:val="nil"/>
              <w:right w:val="nil"/>
            </w:tcBorders>
          </w:tcPr>
          <w:p w14:paraId="6B73CC39"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0.39 (0.38, 0.40)</w:t>
            </w:r>
          </w:p>
        </w:tc>
        <w:tc>
          <w:tcPr>
            <w:tcW w:w="2025" w:type="dxa"/>
            <w:tcBorders>
              <w:top w:val="nil"/>
              <w:left w:val="nil"/>
              <w:bottom w:val="nil"/>
              <w:right w:val="nil"/>
            </w:tcBorders>
          </w:tcPr>
          <w:p w14:paraId="546E9E37"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0.39 (0.38, 0.40)</w:t>
            </w:r>
          </w:p>
        </w:tc>
        <w:tc>
          <w:tcPr>
            <w:tcW w:w="2025" w:type="dxa"/>
            <w:tcBorders>
              <w:top w:val="nil"/>
              <w:left w:val="nil"/>
              <w:bottom w:val="nil"/>
              <w:right w:val="nil"/>
            </w:tcBorders>
            <w:shd w:val="clear" w:color="auto" w:fill="auto"/>
          </w:tcPr>
          <w:p w14:paraId="32B8996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0.39 (0.38, 0.40)</w:t>
            </w:r>
          </w:p>
        </w:tc>
      </w:tr>
      <w:tr w:rsidR="0083061B" w:rsidRPr="009F3D22" w14:paraId="6A0FB8B4" w14:textId="77777777" w:rsidTr="00613316">
        <w:tc>
          <w:tcPr>
            <w:tcW w:w="4860" w:type="dxa"/>
            <w:tcBorders>
              <w:top w:val="nil"/>
              <w:left w:val="nil"/>
              <w:bottom w:val="nil"/>
              <w:right w:val="nil"/>
            </w:tcBorders>
          </w:tcPr>
          <w:p w14:paraId="5C799885" w14:textId="1F784A90" w:rsidR="0083061B" w:rsidRPr="009F3D22" w:rsidRDefault="0083061B" w:rsidP="00613316">
            <w:pPr>
              <w:spacing w:line="240" w:lineRule="auto"/>
              <w:rPr>
                <w:rFonts w:cs="Times New Roman"/>
                <w:sz w:val="20"/>
                <w:szCs w:val="20"/>
              </w:rPr>
            </w:pPr>
            <w:r w:rsidRPr="009F3D22">
              <w:rPr>
                <w:rFonts w:cs="Times New Roman"/>
                <w:sz w:val="20"/>
                <w:szCs w:val="20"/>
              </w:rPr>
              <w:t xml:space="preserve">  Prior colonoscopy: 3-5 vs. </w:t>
            </w:r>
            <w:r>
              <w:rPr>
                <w:rFonts w:cs="Times New Roman"/>
                <w:sz w:val="20"/>
                <w:szCs w:val="20"/>
              </w:rPr>
              <w:t>&gt;</w:t>
            </w:r>
            <w:r w:rsidRPr="009F3D22">
              <w:rPr>
                <w:rFonts w:cs="Times New Roman"/>
                <w:sz w:val="20"/>
                <w:szCs w:val="20"/>
              </w:rPr>
              <w: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3FDD0B65"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0.83 (0.81, 0.84)</w:t>
            </w:r>
          </w:p>
        </w:tc>
        <w:tc>
          <w:tcPr>
            <w:tcW w:w="2025" w:type="dxa"/>
            <w:tcBorders>
              <w:top w:val="nil"/>
              <w:left w:val="nil"/>
              <w:bottom w:val="nil"/>
              <w:right w:val="nil"/>
            </w:tcBorders>
          </w:tcPr>
          <w:p w14:paraId="1E0AFCCE" w14:textId="6146BF42" w:rsidR="0083061B" w:rsidRPr="009F3D22" w:rsidRDefault="0083061B" w:rsidP="00613316">
            <w:pPr>
              <w:spacing w:line="240" w:lineRule="auto"/>
              <w:jc w:val="center"/>
              <w:rPr>
                <w:rFonts w:cs="Times New Roman"/>
                <w:sz w:val="20"/>
                <w:szCs w:val="20"/>
              </w:rPr>
            </w:pPr>
            <w:r w:rsidRPr="009F3D22">
              <w:rPr>
                <w:rFonts w:cs="Times New Roman"/>
                <w:sz w:val="20"/>
                <w:szCs w:val="20"/>
              </w:rPr>
              <w:t>0.84 (0.82, 0.8</w:t>
            </w:r>
            <w:r w:rsidR="000D60B1">
              <w:rPr>
                <w:rFonts w:cs="Times New Roman"/>
                <w:sz w:val="20"/>
                <w:szCs w:val="20"/>
              </w:rPr>
              <w:t>6</w:t>
            </w:r>
            <w:r w:rsidRPr="009F3D22">
              <w:rPr>
                <w:rFonts w:cs="Times New Roman"/>
                <w:sz w:val="20"/>
                <w:szCs w:val="20"/>
              </w:rPr>
              <w:t>)</w:t>
            </w:r>
          </w:p>
        </w:tc>
        <w:tc>
          <w:tcPr>
            <w:tcW w:w="2025" w:type="dxa"/>
            <w:tcBorders>
              <w:top w:val="nil"/>
              <w:left w:val="nil"/>
              <w:bottom w:val="nil"/>
              <w:right w:val="nil"/>
            </w:tcBorders>
          </w:tcPr>
          <w:p w14:paraId="26913FE2"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0.84 (0.8</w:t>
            </w:r>
            <w:r>
              <w:rPr>
                <w:rFonts w:cs="Times New Roman"/>
                <w:sz w:val="20"/>
                <w:szCs w:val="20"/>
              </w:rPr>
              <w:t>3</w:t>
            </w:r>
            <w:r w:rsidRPr="009F3D22">
              <w:rPr>
                <w:rFonts w:cs="Times New Roman"/>
                <w:sz w:val="20"/>
                <w:szCs w:val="20"/>
              </w:rPr>
              <w:t>, 0.8</w:t>
            </w:r>
            <w:r>
              <w:rPr>
                <w:rFonts w:cs="Times New Roman"/>
                <w:sz w:val="20"/>
                <w:szCs w:val="20"/>
              </w:rPr>
              <w:t>6</w:t>
            </w:r>
            <w:r w:rsidRPr="009F3D22">
              <w:rPr>
                <w:rFonts w:cs="Times New Roman"/>
                <w:sz w:val="20"/>
                <w:szCs w:val="20"/>
              </w:rPr>
              <w:t>)</w:t>
            </w:r>
          </w:p>
        </w:tc>
        <w:tc>
          <w:tcPr>
            <w:tcW w:w="2025" w:type="dxa"/>
            <w:tcBorders>
              <w:top w:val="nil"/>
              <w:left w:val="nil"/>
              <w:bottom w:val="nil"/>
              <w:right w:val="nil"/>
            </w:tcBorders>
            <w:shd w:val="clear" w:color="auto" w:fill="auto"/>
          </w:tcPr>
          <w:p w14:paraId="2D4C7ACC" w14:textId="722442C1" w:rsidR="0083061B" w:rsidRPr="009F3D22" w:rsidRDefault="0083061B" w:rsidP="00613316">
            <w:pPr>
              <w:spacing w:line="240" w:lineRule="auto"/>
              <w:jc w:val="center"/>
              <w:rPr>
                <w:rFonts w:cs="Times New Roman"/>
                <w:sz w:val="20"/>
                <w:szCs w:val="20"/>
              </w:rPr>
            </w:pPr>
            <w:r w:rsidRPr="009F3D22">
              <w:rPr>
                <w:rFonts w:cs="Times New Roman"/>
                <w:sz w:val="20"/>
                <w:szCs w:val="20"/>
              </w:rPr>
              <w:t>0.8</w:t>
            </w:r>
            <w:r>
              <w:rPr>
                <w:rFonts w:cs="Times New Roman"/>
                <w:sz w:val="20"/>
                <w:szCs w:val="20"/>
              </w:rPr>
              <w:t>4</w:t>
            </w:r>
            <w:r w:rsidRPr="009F3D22">
              <w:rPr>
                <w:rFonts w:cs="Times New Roman"/>
                <w:sz w:val="20"/>
                <w:szCs w:val="20"/>
              </w:rPr>
              <w:t xml:space="preserve"> (0.82, 0.8</w:t>
            </w:r>
            <w:r w:rsidR="000D60B1">
              <w:rPr>
                <w:rFonts w:cs="Times New Roman"/>
                <w:sz w:val="20"/>
                <w:szCs w:val="20"/>
              </w:rPr>
              <w:t>6</w:t>
            </w:r>
            <w:r w:rsidRPr="009F3D22">
              <w:rPr>
                <w:rFonts w:cs="Times New Roman"/>
                <w:sz w:val="20"/>
                <w:szCs w:val="20"/>
              </w:rPr>
              <w:t>)</w:t>
            </w:r>
          </w:p>
        </w:tc>
      </w:tr>
      <w:tr w:rsidR="0083061B" w:rsidRPr="009F3D22" w14:paraId="0090CA5F" w14:textId="77777777" w:rsidTr="00613316">
        <w:tc>
          <w:tcPr>
            <w:tcW w:w="4860" w:type="dxa"/>
            <w:tcBorders>
              <w:top w:val="nil"/>
              <w:left w:val="nil"/>
              <w:bottom w:val="nil"/>
              <w:right w:val="nil"/>
            </w:tcBorders>
          </w:tcPr>
          <w:p w14:paraId="782DAE00" w14:textId="4AD4D2AC" w:rsidR="0083061B" w:rsidRPr="009F3D22" w:rsidRDefault="0083061B" w:rsidP="00613316">
            <w:pPr>
              <w:spacing w:line="240" w:lineRule="auto"/>
              <w:rPr>
                <w:rFonts w:cs="Times New Roman"/>
                <w:sz w:val="20"/>
                <w:szCs w:val="20"/>
              </w:rPr>
            </w:pPr>
            <w:r w:rsidRPr="009F3D22">
              <w:rPr>
                <w:rFonts w:cs="Times New Roman"/>
                <w:sz w:val="20"/>
                <w:szCs w:val="20"/>
              </w:rPr>
              <w:t xml:space="preserve">  Prior colonoscopy: 6-10 vs. </w:t>
            </w:r>
            <w:r>
              <w:rPr>
                <w:rFonts w:cs="Times New Roman"/>
                <w:sz w:val="20"/>
                <w:szCs w:val="20"/>
              </w:rPr>
              <w:t>&gt;</w:t>
            </w:r>
            <w:r w:rsidRPr="009F3D22">
              <w:rPr>
                <w:rFonts w:cs="Times New Roman"/>
                <w:sz w:val="20"/>
                <w:szCs w:val="20"/>
              </w:rPr>
              <w: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0B792353"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1.09 (1.07, 1.11)</w:t>
            </w:r>
          </w:p>
        </w:tc>
        <w:tc>
          <w:tcPr>
            <w:tcW w:w="2025" w:type="dxa"/>
            <w:tcBorders>
              <w:top w:val="nil"/>
              <w:left w:val="nil"/>
              <w:bottom w:val="nil"/>
              <w:right w:val="nil"/>
            </w:tcBorders>
          </w:tcPr>
          <w:p w14:paraId="414CDB3A"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w:t>
            </w:r>
            <w:r>
              <w:rPr>
                <w:rFonts w:cs="Times New Roman"/>
                <w:sz w:val="20"/>
                <w:szCs w:val="20"/>
              </w:rPr>
              <w:t>8</w:t>
            </w:r>
            <w:r w:rsidRPr="009F3D22">
              <w:rPr>
                <w:rFonts w:cs="Times New Roman"/>
                <w:sz w:val="20"/>
                <w:szCs w:val="20"/>
              </w:rPr>
              <w:t xml:space="preserve"> (1.0</w:t>
            </w:r>
            <w:r>
              <w:rPr>
                <w:rFonts w:cs="Times New Roman"/>
                <w:sz w:val="20"/>
                <w:szCs w:val="20"/>
              </w:rPr>
              <w:t>6</w:t>
            </w:r>
            <w:r w:rsidRPr="009F3D22">
              <w:rPr>
                <w:rFonts w:cs="Times New Roman"/>
                <w:sz w:val="20"/>
                <w:szCs w:val="20"/>
              </w:rPr>
              <w:t>, 1.</w:t>
            </w:r>
            <w:r>
              <w:rPr>
                <w:rFonts w:cs="Times New Roman"/>
                <w:sz w:val="20"/>
                <w:szCs w:val="20"/>
              </w:rPr>
              <w:t>10</w:t>
            </w:r>
            <w:r w:rsidRPr="009F3D22">
              <w:rPr>
                <w:rFonts w:cs="Times New Roman"/>
                <w:sz w:val="20"/>
                <w:szCs w:val="20"/>
              </w:rPr>
              <w:t>)</w:t>
            </w:r>
          </w:p>
        </w:tc>
        <w:tc>
          <w:tcPr>
            <w:tcW w:w="2025" w:type="dxa"/>
            <w:tcBorders>
              <w:top w:val="nil"/>
              <w:left w:val="nil"/>
              <w:bottom w:val="nil"/>
              <w:right w:val="nil"/>
            </w:tcBorders>
          </w:tcPr>
          <w:p w14:paraId="3C832320" w14:textId="77777777" w:rsidR="0083061B" w:rsidRPr="009F3D22" w:rsidRDefault="0083061B" w:rsidP="00613316">
            <w:pPr>
              <w:spacing w:line="240" w:lineRule="auto"/>
              <w:jc w:val="center"/>
              <w:rPr>
                <w:rFonts w:cs="Times New Roman"/>
                <w:sz w:val="20"/>
                <w:szCs w:val="20"/>
              </w:rPr>
            </w:pPr>
            <w:r w:rsidRPr="009F3D22">
              <w:rPr>
                <w:rFonts w:cs="Times New Roman"/>
                <w:sz w:val="20"/>
                <w:szCs w:val="20"/>
              </w:rPr>
              <w:t>1.0</w:t>
            </w:r>
            <w:r>
              <w:rPr>
                <w:rFonts w:cs="Times New Roman"/>
                <w:sz w:val="20"/>
                <w:szCs w:val="20"/>
              </w:rPr>
              <w:t>8</w:t>
            </w:r>
            <w:r w:rsidRPr="009F3D22">
              <w:rPr>
                <w:rFonts w:cs="Times New Roman"/>
                <w:sz w:val="20"/>
                <w:szCs w:val="20"/>
              </w:rPr>
              <w:t xml:space="preserve"> (1.0</w:t>
            </w:r>
            <w:r>
              <w:rPr>
                <w:rFonts w:cs="Times New Roman"/>
                <w:sz w:val="20"/>
                <w:szCs w:val="20"/>
              </w:rPr>
              <w:t>6</w:t>
            </w:r>
            <w:r w:rsidRPr="009F3D22">
              <w:rPr>
                <w:rFonts w:cs="Times New Roman"/>
                <w:sz w:val="20"/>
                <w:szCs w:val="20"/>
              </w:rPr>
              <w:t>, 1.</w:t>
            </w:r>
            <w:r>
              <w:rPr>
                <w:rFonts w:cs="Times New Roman"/>
                <w:sz w:val="20"/>
                <w:szCs w:val="20"/>
              </w:rPr>
              <w:t>10</w:t>
            </w:r>
            <w:r w:rsidRPr="009F3D22">
              <w:rPr>
                <w:rFonts w:cs="Times New Roman"/>
                <w:sz w:val="20"/>
                <w:szCs w:val="20"/>
              </w:rPr>
              <w:t>)</w:t>
            </w:r>
          </w:p>
        </w:tc>
        <w:tc>
          <w:tcPr>
            <w:tcW w:w="2025" w:type="dxa"/>
            <w:tcBorders>
              <w:top w:val="nil"/>
              <w:left w:val="nil"/>
              <w:bottom w:val="nil"/>
              <w:right w:val="nil"/>
            </w:tcBorders>
            <w:shd w:val="clear" w:color="auto" w:fill="auto"/>
          </w:tcPr>
          <w:p w14:paraId="0DE7616A" w14:textId="7421E903" w:rsidR="0083061B" w:rsidRPr="009F3D22" w:rsidRDefault="0083061B" w:rsidP="00613316">
            <w:pPr>
              <w:spacing w:line="240" w:lineRule="auto"/>
              <w:jc w:val="center"/>
              <w:rPr>
                <w:rFonts w:cs="Times New Roman"/>
                <w:sz w:val="20"/>
                <w:szCs w:val="20"/>
              </w:rPr>
            </w:pPr>
            <w:r w:rsidRPr="009F3D22">
              <w:rPr>
                <w:rFonts w:cs="Times New Roman"/>
                <w:sz w:val="20"/>
                <w:szCs w:val="20"/>
              </w:rPr>
              <w:t>1.07 (1.05, 1.</w:t>
            </w:r>
            <w:r w:rsidR="000D60B1">
              <w:rPr>
                <w:rFonts w:cs="Times New Roman"/>
                <w:sz w:val="20"/>
                <w:szCs w:val="20"/>
              </w:rPr>
              <w:t>10</w:t>
            </w:r>
            <w:r w:rsidRPr="009F3D22">
              <w:rPr>
                <w:rFonts w:cs="Times New Roman"/>
                <w:sz w:val="20"/>
                <w:szCs w:val="20"/>
              </w:rPr>
              <w:t>)</w:t>
            </w:r>
          </w:p>
        </w:tc>
      </w:tr>
      <w:tr w:rsidR="0083061B" w:rsidRPr="009F3D22" w14:paraId="5D26D3E5" w14:textId="77777777" w:rsidTr="00613316">
        <w:tc>
          <w:tcPr>
            <w:tcW w:w="4860" w:type="dxa"/>
            <w:tcBorders>
              <w:top w:val="nil"/>
              <w:left w:val="nil"/>
              <w:bottom w:val="single" w:sz="4" w:space="0" w:color="auto"/>
              <w:right w:val="nil"/>
            </w:tcBorders>
          </w:tcPr>
          <w:p w14:paraId="4DB04E17" w14:textId="2F958A6E" w:rsidR="0083061B" w:rsidRPr="009F3D22" w:rsidRDefault="0083061B" w:rsidP="00613316">
            <w:pPr>
              <w:spacing w:line="240" w:lineRule="auto"/>
              <w:rPr>
                <w:rFonts w:cs="Times New Roman"/>
                <w:sz w:val="20"/>
                <w:szCs w:val="20"/>
              </w:rPr>
            </w:pPr>
            <w:r w:rsidRPr="009F3D22">
              <w:rPr>
                <w:rFonts w:cs="Times New Roman"/>
                <w:sz w:val="20"/>
                <w:szCs w:val="20"/>
              </w:rPr>
              <w:t xml:space="preserve">  Index year</w:t>
            </w:r>
            <w:r>
              <w:rPr>
                <w:rFonts w:cs="Times New Roman"/>
                <w:sz w:val="20"/>
                <w:szCs w:val="20"/>
              </w:rPr>
              <w:t xml:space="preserve"> (year of positive FOBT</w:t>
            </w:r>
            <w:r w:rsidR="008E6849">
              <w:rPr>
                <w:rFonts w:cs="Times New Roman"/>
                <w:sz w:val="20"/>
                <w:szCs w:val="20"/>
              </w:rPr>
              <w:t xml:space="preserve">, </w:t>
            </w:r>
            <w:r w:rsidR="008E6849" w:rsidRPr="00E70483">
              <w:rPr>
                <w:rFonts w:cs="Times New Roman"/>
                <w:sz w:val="20"/>
                <w:szCs w:val="20"/>
              </w:rPr>
              <w:t>per 1-unit increase</w:t>
            </w:r>
            <w:r>
              <w:rPr>
                <w:rFonts w:cs="Times New Roman"/>
                <w:sz w:val="20"/>
                <w:szCs w:val="20"/>
              </w:rPr>
              <w:t>)</w:t>
            </w:r>
          </w:p>
        </w:tc>
        <w:tc>
          <w:tcPr>
            <w:tcW w:w="2025" w:type="dxa"/>
            <w:tcBorders>
              <w:top w:val="nil"/>
              <w:left w:val="nil"/>
              <w:bottom w:val="single" w:sz="4" w:space="0" w:color="auto"/>
              <w:right w:val="nil"/>
            </w:tcBorders>
          </w:tcPr>
          <w:p w14:paraId="7FB0AF4E" w14:textId="77777777" w:rsidR="0083061B" w:rsidRPr="006D3EAE" w:rsidRDefault="0083061B" w:rsidP="00613316">
            <w:pPr>
              <w:spacing w:line="240" w:lineRule="auto"/>
              <w:jc w:val="center"/>
              <w:rPr>
                <w:rFonts w:cs="Times New Roman"/>
                <w:sz w:val="20"/>
                <w:szCs w:val="20"/>
                <w:highlight w:val="yellow"/>
              </w:rPr>
            </w:pPr>
            <w:r w:rsidRPr="00062CE2">
              <w:rPr>
                <w:rFonts w:cs="Times New Roman"/>
                <w:sz w:val="20"/>
                <w:szCs w:val="20"/>
              </w:rPr>
              <w:t>1.06 (1.05, 1.06)</w:t>
            </w:r>
          </w:p>
        </w:tc>
        <w:tc>
          <w:tcPr>
            <w:tcW w:w="2025" w:type="dxa"/>
            <w:tcBorders>
              <w:top w:val="nil"/>
              <w:left w:val="nil"/>
              <w:bottom w:val="single" w:sz="4" w:space="0" w:color="auto"/>
              <w:right w:val="nil"/>
            </w:tcBorders>
          </w:tcPr>
          <w:p w14:paraId="38423EAB" w14:textId="77777777" w:rsidR="0083061B" w:rsidRPr="006D3EAE" w:rsidRDefault="0083061B" w:rsidP="00613316">
            <w:pPr>
              <w:spacing w:line="240" w:lineRule="auto"/>
              <w:jc w:val="center"/>
              <w:rPr>
                <w:rFonts w:cs="Times New Roman"/>
                <w:sz w:val="20"/>
                <w:szCs w:val="20"/>
                <w:highlight w:val="yellow"/>
              </w:rPr>
            </w:pPr>
            <w:r w:rsidRPr="00062CE2">
              <w:rPr>
                <w:rFonts w:cs="Times New Roman"/>
                <w:sz w:val="20"/>
                <w:szCs w:val="20"/>
              </w:rPr>
              <w:t>1.05 (1.05, 1.06)</w:t>
            </w:r>
          </w:p>
        </w:tc>
        <w:tc>
          <w:tcPr>
            <w:tcW w:w="2025" w:type="dxa"/>
            <w:tcBorders>
              <w:top w:val="nil"/>
              <w:left w:val="nil"/>
              <w:bottom w:val="single" w:sz="4" w:space="0" w:color="auto"/>
              <w:right w:val="nil"/>
            </w:tcBorders>
          </w:tcPr>
          <w:p w14:paraId="606AFF5C" w14:textId="77777777" w:rsidR="0083061B" w:rsidRPr="006D3EAE" w:rsidRDefault="0083061B" w:rsidP="00613316">
            <w:pPr>
              <w:spacing w:line="240" w:lineRule="auto"/>
              <w:jc w:val="center"/>
              <w:rPr>
                <w:rFonts w:cs="Times New Roman"/>
                <w:sz w:val="20"/>
                <w:szCs w:val="20"/>
                <w:highlight w:val="yellow"/>
              </w:rPr>
            </w:pPr>
            <w:r w:rsidRPr="0069789D">
              <w:rPr>
                <w:rFonts w:cs="Times New Roman"/>
                <w:sz w:val="20"/>
                <w:szCs w:val="20"/>
              </w:rPr>
              <w:t>1.05 (1.0</w:t>
            </w:r>
            <w:r>
              <w:rPr>
                <w:rFonts w:cs="Times New Roman"/>
                <w:sz w:val="20"/>
                <w:szCs w:val="20"/>
              </w:rPr>
              <w:t>5</w:t>
            </w:r>
            <w:r w:rsidRPr="0069789D">
              <w:rPr>
                <w:rFonts w:cs="Times New Roman"/>
                <w:sz w:val="20"/>
                <w:szCs w:val="20"/>
              </w:rPr>
              <w:t>, 1.</w:t>
            </w:r>
            <w:r>
              <w:rPr>
                <w:rFonts w:cs="Times New Roman"/>
                <w:sz w:val="20"/>
                <w:szCs w:val="20"/>
              </w:rPr>
              <w:t>06)</w:t>
            </w:r>
          </w:p>
        </w:tc>
        <w:tc>
          <w:tcPr>
            <w:tcW w:w="2025" w:type="dxa"/>
            <w:tcBorders>
              <w:top w:val="nil"/>
              <w:left w:val="nil"/>
              <w:bottom w:val="single" w:sz="4" w:space="0" w:color="auto"/>
              <w:right w:val="nil"/>
            </w:tcBorders>
            <w:shd w:val="clear" w:color="auto" w:fill="auto"/>
          </w:tcPr>
          <w:p w14:paraId="03D35314" w14:textId="77777777" w:rsidR="0083061B" w:rsidRPr="006D3EAE" w:rsidRDefault="0083061B" w:rsidP="00613316">
            <w:pPr>
              <w:spacing w:line="240" w:lineRule="auto"/>
              <w:jc w:val="center"/>
              <w:rPr>
                <w:rFonts w:cs="Times New Roman"/>
                <w:sz w:val="20"/>
                <w:szCs w:val="20"/>
                <w:highlight w:val="yellow"/>
              </w:rPr>
            </w:pPr>
            <w:r w:rsidRPr="00A31F7E">
              <w:rPr>
                <w:rFonts w:cs="Times New Roman"/>
                <w:sz w:val="20"/>
                <w:szCs w:val="20"/>
              </w:rPr>
              <w:t>1.05 (1.05, 1.06)</w:t>
            </w:r>
          </w:p>
        </w:tc>
      </w:tr>
    </w:tbl>
    <w:p w14:paraId="359BE9C9" w14:textId="77777777" w:rsidR="0083061B" w:rsidRPr="00E25C2B" w:rsidRDefault="0083061B" w:rsidP="0083061B">
      <w:pPr>
        <w:spacing w:line="240" w:lineRule="auto"/>
        <w:rPr>
          <w:rFonts w:cs="Times New Roman"/>
          <w:szCs w:val="24"/>
        </w:rPr>
      </w:pPr>
    </w:p>
    <w:p w14:paraId="39648595" w14:textId="77777777" w:rsidR="0083061B" w:rsidRPr="00E25C2B" w:rsidRDefault="0083061B" w:rsidP="0083061B">
      <w:pPr>
        <w:spacing w:line="240" w:lineRule="auto"/>
        <w:rPr>
          <w:rFonts w:cs="Times New Roman"/>
          <w:szCs w:val="24"/>
        </w:rPr>
      </w:pPr>
      <w:r w:rsidRPr="00E25C2B">
        <w:rPr>
          <w:rFonts w:cs="Times New Roman"/>
          <w:szCs w:val="24"/>
          <w:vertAlign w:val="superscript"/>
        </w:rPr>
        <w:lastRenderedPageBreak/>
        <w:t>a</w:t>
      </w:r>
      <w:r w:rsidRPr="00E25C2B">
        <w:rPr>
          <w:rFonts w:cs="Times New Roman"/>
          <w:szCs w:val="24"/>
        </w:rPr>
        <w:t xml:space="preserve"> Includes diabetes, ESRD, COPD, CHF, and CVD</w:t>
      </w:r>
    </w:p>
    <w:p w14:paraId="60657C7E" w14:textId="64202B52" w:rsidR="0083061B" w:rsidRPr="00E25C2B" w:rsidRDefault="0083061B" w:rsidP="0083061B">
      <w:pPr>
        <w:spacing w:line="240" w:lineRule="auto"/>
        <w:rPr>
          <w:rFonts w:cs="Times New Roman"/>
          <w:szCs w:val="24"/>
        </w:rPr>
      </w:pPr>
      <w:r w:rsidRPr="00E25C2B">
        <w:rPr>
          <w:rFonts w:cs="Times New Roman"/>
          <w:szCs w:val="24"/>
        </w:rPr>
        <w:t xml:space="preserve">Abbreviations: hazard ratio, HR; confidence interval, CI; end-stage renal disease, ESRD; cardiovascular disease, CVD; chronic obstructive pulmonary disease, COPD; colorectal cancer, CRC; congestive heart failure, CHF; primary care </w:t>
      </w:r>
      <w:r w:rsidR="00046555">
        <w:rPr>
          <w:rFonts w:cs="Times New Roman"/>
          <w:szCs w:val="24"/>
        </w:rPr>
        <w:t>provider</w:t>
      </w:r>
      <w:r w:rsidRPr="00E25C2B">
        <w:rPr>
          <w:rFonts w:cs="Times New Roman"/>
          <w:szCs w:val="24"/>
        </w:rPr>
        <w:t>, PCP</w:t>
      </w:r>
    </w:p>
    <w:p w14:paraId="3065E609" w14:textId="77777777" w:rsidR="0083061B" w:rsidRDefault="0083061B" w:rsidP="0083061B">
      <w:pPr>
        <w:rPr>
          <w:rFonts w:cs="Times New Roman"/>
          <w:sz w:val="28"/>
          <w:szCs w:val="28"/>
          <w:highlight w:val="yellow"/>
          <w:lang w:val="en-GB"/>
        </w:rPr>
      </w:pPr>
    </w:p>
    <w:p w14:paraId="5036AF33" w14:textId="77777777" w:rsidR="0083061B" w:rsidRDefault="0083061B" w:rsidP="0083061B">
      <w:pPr>
        <w:rPr>
          <w:rFonts w:cs="Times New Roman"/>
          <w:sz w:val="28"/>
          <w:szCs w:val="28"/>
          <w:highlight w:val="yellow"/>
          <w:lang w:val="en-GB"/>
        </w:rPr>
      </w:pPr>
    </w:p>
    <w:p w14:paraId="5CEC1FC0" w14:textId="77777777" w:rsidR="0083061B" w:rsidRDefault="0083061B" w:rsidP="0083061B">
      <w:pPr>
        <w:rPr>
          <w:rFonts w:cs="Times New Roman"/>
          <w:sz w:val="28"/>
          <w:szCs w:val="28"/>
          <w:highlight w:val="yellow"/>
          <w:lang w:val="en-GB"/>
        </w:rPr>
      </w:pPr>
    </w:p>
    <w:p w14:paraId="698AFBFD" w14:textId="77777777" w:rsidR="0083061B" w:rsidRDefault="0083061B" w:rsidP="0083061B">
      <w:pPr>
        <w:rPr>
          <w:rFonts w:cs="Times New Roman"/>
          <w:sz w:val="28"/>
          <w:szCs w:val="28"/>
          <w:highlight w:val="yellow"/>
          <w:lang w:val="en-GB"/>
        </w:rPr>
      </w:pPr>
    </w:p>
    <w:p w14:paraId="13F200B0" w14:textId="77777777" w:rsidR="0083061B" w:rsidRDefault="0083061B" w:rsidP="0083061B">
      <w:pPr>
        <w:rPr>
          <w:rFonts w:cs="Times New Roman"/>
          <w:sz w:val="28"/>
          <w:szCs w:val="28"/>
          <w:highlight w:val="yellow"/>
          <w:lang w:val="en-GB"/>
        </w:rPr>
      </w:pPr>
    </w:p>
    <w:p w14:paraId="4611295E" w14:textId="77777777" w:rsidR="0083061B" w:rsidRDefault="0083061B" w:rsidP="0083061B">
      <w:pPr>
        <w:rPr>
          <w:rFonts w:cs="Times New Roman"/>
          <w:sz w:val="28"/>
          <w:szCs w:val="28"/>
          <w:highlight w:val="yellow"/>
          <w:lang w:val="en-GB"/>
        </w:rPr>
      </w:pPr>
    </w:p>
    <w:p w14:paraId="1B6CD54A" w14:textId="77777777" w:rsidR="0083061B" w:rsidRDefault="0083061B" w:rsidP="0083061B">
      <w:pPr>
        <w:rPr>
          <w:rFonts w:cs="Times New Roman"/>
          <w:sz w:val="28"/>
          <w:szCs w:val="28"/>
          <w:highlight w:val="yellow"/>
          <w:lang w:val="en-GB"/>
        </w:rPr>
      </w:pPr>
    </w:p>
    <w:p w14:paraId="393F3F11" w14:textId="77777777" w:rsidR="0083061B" w:rsidRDefault="0083061B" w:rsidP="0083061B">
      <w:pPr>
        <w:rPr>
          <w:rFonts w:cs="Times New Roman"/>
          <w:sz w:val="28"/>
          <w:szCs w:val="28"/>
          <w:highlight w:val="yellow"/>
          <w:lang w:val="en-GB"/>
        </w:rPr>
      </w:pPr>
    </w:p>
    <w:p w14:paraId="4A633815" w14:textId="77777777" w:rsidR="0083061B" w:rsidRDefault="0083061B" w:rsidP="0083061B">
      <w:pPr>
        <w:rPr>
          <w:rFonts w:cs="Times New Roman"/>
          <w:sz w:val="28"/>
          <w:szCs w:val="28"/>
          <w:highlight w:val="yellow"/>
          <w:lang w:val="en-GB"/>
        </w:rPr>
      </w:pPr>
    </w:p>
    <w:p w14:paraId="5B6B4D5A" w14:textId="77777777" w:rsidR="0083061B" w:rsidRDefault="0083061B" w:rsidP="0083061B">
      <w:pPr>
        <w:rPr>
          <w:rFonts w:cs="Times New Roman"/>
          <w:sz w:val="28"/>
          <w:szCs w:val="28"/>
          <w:highlight w:val="yellow"/>
          <w:lang w:val="en-GB"/>
        </w:rPr>
      </w:pPr>
    </w:p>
    <w:p w14:paraId="3E8359BA" w14:textId="77777777" w:rsidR="0083061B" w:rsidRDefault="0083061B" w:rsidP="0083061B">
      <w:pPr>
        <w:rPr>
          <w:rFonts w:cs="Times New Roman"/>
          <w:sz w:val="28"/>
          <w:szCs w:val="28"/>
          <w:highlight w:val="yellow"/>
          <w:lang w:val="en-GB"/>
        </w:rPr>
      </w:pPr>
    </w:p>
    <w:p w14:paraId="5015FADA" w14:textId="77777777" w:rsidR="0083061B" w:rsidRDefault="0083061B" w:rsidP="0083061B">
      <w:pPr>
        <w:tabs>
          <w:tab w:val="left" w:pos="3181"/>
        </w:tabs>
        <w:spacing w:line="240" w:lineRule="auto"/>
        <w:rPr>
          <w:rFonts w:cs="Times New Roman"/>
          <w:b/>
          <w:bCs/>
          <w:szCs w:val="24"/>
          <w:lang w:val="en-GB"/>
        </w:rPr>
      </w:pPr>
    </w:p>
    <w:p w14:paraId="76456591" w14:textId="77777777" w:rsidR="0083061B" w:rsidRDefault="0083061B" w:rsidP="0083061B">
      <w:pPr>
        <w:tabs>
          <w:tab w:val="left" w:pos="3181"/>
        </w:tabs>
        <w:spacing w:line="240" w:lineRule="auto"/>
        <w:rPr>
          <w:rFonts w:cs="Times New Roman"/>
          <w:b/>
          <w:bCs/>
          <w:szCs w:val="24"/>
          <w:lang w:val="en-GB"/>
        </w:rPr>
      </w:pPr>
    </w:p>
    <w:p w14:paraId="5F566CDA" w14:textId="77777777" w:rsidR="0083061B" w:rsidRDefault="0083061B" w:rsidP="0083061B">
      <w:pPr>
        <w:tabs>
          <w:tab w:val="left" w:pos="3181"/>
        </w:tabs>
        <w:spacing w:line="240" w:lineRule="auto"/>
        <w:rPr>
          <w:rFonts w:cs="Times New Roman"/>
          <w:b/>
          <w:bCs/>
          <w:szCs w:val="24"/>
          <w:lang w:val="en-GB"/>
        </w:rPr>
      </w:pPr>
    </w:p>
    <w:p w14:paraId="119AC6BB" w14:textId="77777777" w:rsidR="0083061B" w:rsidRDefault="0083061B" w:rsidP="0083061B">
      <w:pPr>
        <w:tabs>
          <w:tab w:val="left" w:pos="3181"/>
        </w:tabs>
        <w:spacing w:line="240" w:lineRule="auto"/>
        <w:rPr>
          <w:rFonts w:cs="Times New Roman"/>
          <w:b/>
          <w:bCs/>
          <w:szCs w:val="24"/>
          <w:lang w:val="en-GB"/>
        </w:rPr>
      </w:pPr>
    </w:p>
    <w:p w14:paraId="79C6BE1C" w14:textId="77777777" w:rsidR="0083061B" w:rsidRDefault="0083061B" w:rsidP="0083061B">
      <w:pPr>
        <w:tabs>
          <w:tab w:val="left" w:pos="3181"/>
        </w:tabs>
        <w:spacing w:line="240" w:lineRule="auto"/>
        <w:rPr>
          <w:rFonts w:cs="Times New Roman"/>
          <w:b/>
          <w:bCs/>
          <w:szCs w:val="24"/>
          <w:lang w:val="en-GB"/>
        </w:rPr>
      </w:pPr>
    </w:p>
    <w:p w14:paraId="587831A1" w14:textId="77777777" w:rsidR="0083061B" w:rsidRDefault="0083061B" w:rsidP="0083061B">
      <w:pPr>
        <w:tabs>
          <w:tab w:val="left" w:pos="3181"/>
        </w:tabs>
        <w:spacing w:line="240" w:lineRule="auto"/>
        <w:rPr>
          <w:rFonts w:cs="Times New Roman"/>
          <w:b/>
          <w:bCs/>
          <w:szCs w:val="24"/>
          <w:lang w:val="en-GB"/>
        </w:rPr>
      </w:pPr>
    </w:p>
    <w:p w14:paraId="1614D844" w14:textId="77777777" w:rsidR="0083061B" w:rsidRDefault="0083061B" w:rsidP="0083061B">
      <w:pPr>
        <w:tabs>
          <w:tab w:val="left" w:pos="3181"/>
        </w:tabs>
        <w:spacing w:line="240" w:lineRule="auto"/>
        <w:rPr>
          <w:rFonts w:cs="Times New Roman"/>
          <w:b/>
          <w:bCs/>
          <w:szCs w:val="24"/>
          <w:lang w:val="en-GB"/>
        </w:rPr>
      </w:pPr>
    </w:p>
    <w:p w14:paraId="554A6D60" w14:textId="77777777" w:rsidR="00BC090F" w:rsidRDefault="00BC090F" w:rsidP="001A0354">
      <w:pPr>
        <w:spacing w:line="480" w:lineRule="auto"/>
        <w:rPr>
          <w:rFonts w:cs="Times New Roman"/>
          <w:b/>
          <w:bCs/>
          <w:szCs w:val="24"/>
          <w:lang w:val="en-GB"/>
        </w:rPr>
      </w:pPr>
    </w:p>
    <w:p w14:paraId="49D87686" w14:textId="77777777" w:rsidR="007C2CDE" w:rsidRDefault="007C2CDE" w:rsidP="007C2CDE">
      <w:pPr>
        <w:spacing w:line="240" w:lineRule="auto"/>
        <w:rPr>
          <w:rFonts w:cs="Times New Roman"/>
          <w:b/>
          <w:bCs/>
          <w:szCs w:val="24"/>
          <w:lang w:val="en-GB"/>
        </w:rPr>
      </w:pPr>
    </w:p>
    <w:p w14:paraId="4AFDB514" w14:textId="12462B3B" w:rsidR="001A0354" w:rsidRDefault="001A0354" w:rsidP="007C2CDE">
      <w:pPr>
        <w:spacing w:line="240" w:lineRule="auto"/>
        <w:rPr>
          <w:rFonts w:cs="Times New Roman"/>
          <w:szCs w:val="24"/>
          <w:lang w:val="en-GB"/>
        </w:rPr>
      </w:pPr>
      <w:r w:rsidRPr="005F7CEE">
        <w:rPr>
          <w:rFonts w:cs="Times New Roman"/>
          <w:b/>
          <w:bCs/>
          <w:szCs w:val="24"/>
          <w:lang w:val="en-GB"/>
        </w:rPr>
        <w:lastRenderedPageBreak/>
        <w:t xml:space="preserve">Supplementary </w:t>
      </w:r>
      <w:r w:rsidR="007C2CDE">
        <w:rPr>
          <w:rFonts w:cs="Times New Roman"/>
          <w:b/>
          <w:bCs/>
          <w:szCs w:val="24"/>
          <w:lang w:val="en-GB"/>
        </w:rPr>
        <w:t>Table 4</w:t>
      </w:r>
      <w:r w:rsidRPr="005F7CEE">
        <w:rPr>
          <w:rFonts w:cs="Times New Roman"/>
          <w:b/>
          <w:bCs/>
          <w:szCs w:val="24"/>
          <w:lang w:val="en-GB"/>
        </w:rPr>
        <w:t>.</w:t>
      </w:r>
      <w:r w:rsidRPr="005F7CEE">
        <w:rPr>
          <w:rFonts w:cs="Times New Roman"/>
          <w:szCs w:val="24"/>
          <w:lang w:val="en-GB"/>
        </w:rPr>
        <w:t xml:space="preserve"> Full cause-specific hazard regression models for the association between comorbidity and first follow-up colonoscopy within 2 months of the positive FOBT result</w:t>
      </w:r>
    </w:p>
    <w:p w14:paraId="3029FD36" w14:textId="77777777" w:rsidR="007C2CDE" w:rsidRDefault="007C2CDE" w:rsidP="007C2CDE">
      <w:pPr>
        <w:spacing w:line="240" w:lineRule="auto"/>
        <w:rPr>
          <w:rFonts w:cs="Times New Roman"/>
          <w:szCs w:val="24"/>
          <w:lang w:val="en-GB"/>
        </w:rPr>
      </w:pPr>
    </w:p>
    <w:tbl>
      <w:tblPr>
        <w:tblStyle w:val="TableGrid"/>
        <w:tblW w:w="0" w:type="auto"/>
        <w:tblLook w:val="04A0" w:firstRow="1" w:lastRow="0" w:firstColumn="1" w:lastColumn="0" w:noHBand="0" w:noVBand="1"/>
      </w:tblPr>
      <w:tblGrid>
        <w:gridCol w:w="4860"/>
        <w:gridCol w:w="2025"/>
        <w:gridCol w:w="2025"/>
        <w:gridCol w:w="2025"/>
        <w:gridCol w:w="2025"/>
      </w:tblGrid>
      <w:tr w:rsidR="007D1642" w:rsidRPr="007D1642" w14:paraId="4E86E882" w14:textId="77777777" w:rsidTr="001B7103">
        <w:tc>
          <w:tcPr>
            <w:tcW w:w="4860" w:type="dxa"/>
            <w:tcBorders>
              <w:left w:val="nil"/>
              <w:bottom w:val="single" w:sz="4" w:space="0" w:color="auto"/>
              <w:right w:val="nil"/>
            </w:tcBorders>
            <w:vAlign w:val="center"/>
          </w:tcPr>
          <w:p w14:paraId="79A3D599"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Variable</w:t>
            </w:r>
          </w:p>
        </w:tc>
        <w:tc>
          <w:tcPr>
            <w:tcW w:w="2025" w:type="dxa"/>
            <w:tcBorders>
              <w:left w:val="nil"/>
              <w:bottom w:val="single" w:sz="4" w:space="0" w:color="auto"/>
              <w:right w:val="nil"/>
            </w:tcBorders>
            <w:vAlign w:val="center"/>
          </w:tcPr>
          <w:p w14:paraId="1D464545"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Unadjusted</w:t>
            </w:r>
          </w:p>
          <w:p w14:paraId="2BDC371E"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HR (95% CI)</w:t>
            </w:r>
          </w:p>
        </w:tc>
        <w:tc>
          <w:tcPr>
            <w:tcW w:w="2025" w:type="dxa"/>
            <w:tcBorders>
              <w:left w:val="nil"/>
              <w:bottom w:val="single" w:sz="4" w:space="0" w:color="auto"/>
              <w:right w:val="nil"/>
            </w:tcBorders>
            <w:vAlign w:val="center"/>
          </w:tcPr>
          <w:p w14:paraId="3A3B4594" w14:textId="77777777" w:rsidR="007D1642" w:rsidRPr="007D1642" w:rsidRDefault="007D1642" w:rsidP="007D1642">
            <w:pPr>
              <w:spacing w:line="240" w:lineRule="auto"/>
              <w:jc w:val="center"/>
              <w:rPr>
                <w:rFonts w:cs="Times New Roman"/>
                <w:b/>
                <w:bCs/>
                <w:sz w:val="20"/>
                <w:szCs w:val="20"/>
                <w:vertAlign w:val="superscript"/>
              </w:rPr>
            </w:pPr>
            <w:r w:rsidRPr="007D1642">
              <w:rPr>
                <w:rFonts w:cs="Times New Roman"/>
                <w:b/>
                <w:bCs/>
                <w:sz w:val="20"/>
                <w:szCs w:val="20"/>
              </w:rPr>
              <w:t>Adjusted 1</w:t>
            </w:r>
          </w:p>
          <w:p w14:paraId="0EE903C7"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HR (95% CI)</w:t>
            </w:r>
          </w:p>
        </w:tc>
        <w:tc>
          <w:tcPr>
            <w:tcW w:w="2025" w:type="dxa"/>
            <w:tcBorders>
              <w:left w:val="nil"/>
              <w:bottom w:val="single" w:sz="4" w:space="0" w:color="auto"/>
              <w:right w:val="nil"/>
            </w:tcBorders>
            <w:vAlign w:val="center"/>
          </w:tcPr>
          <w:p w14:paraId="1C42A7EF" w14:textId="77777777" w:rsidR="007D1642" w:rsidRPr="007D1642" w:rsidRDefault="007D1642" w:rsidP="007D1642">
            <w:pPr>
              <w:spacing w:line="240" w:lineRule="auto"/>
              <w:jc w:val="center"/>
              <w:rPr>
                <w:rFonts w:cs="Times New Roman"/>
                <w:b/>
                <w:bCs/>
                <w:sz w:val="20"/>
                <w:szCs w:val="20"/>
                <w:vertAlign w:val="superscript"/>
              </w:rPr>
            </w:pPr>
            <w:r w:rsidRPr="007D1642">
              <w:rPr>
                <w:rFonts w:cs="Times New Roman"/>
                <w:b/>
                <w:bCs/>
                <w:sz w:val="20"/>
                <w:szCs w:val="20"/>
              </w:rPr>
              <w:t>Adjusted 2</w:t>
            </w:r>
          </w:p>
          <w:p w14:paraId="44314FF8"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HR (95% CI)</w:t>
            </w:r>
          </w:p>
        </w:tc>
        <w:tc>
          <w:tcPr>
            <w:tcW w:w="2025" w:type="dxa"/>
            <w:tcBorders>
              <w:left w:val="nil"/>
              <w:bottom w:val="single" w:sz="4" w:space="0" w:color="auto"/>
              <w:right w:val="nil"/>
            </w:tcBorders>
            <w:vAlign w:val="center"/>
          </w:tcPr>
          <w:p w14:paraId="32D5B642" w14:textId="77777777" w:rsidR="007D1642" w:rsidRPr="007D1642" w:rsidRDefault="007D1642" w:rsidP="007D1642">
            <w:pPr>
              <w:spacing w:line="240" w:lineRule="auto"/>
              <w:jc w:val="center"/>
              <w:rPr>
                <w:rFonts w:cs="Times New Roman"/>
                <w:b/>
                <w:bCs/>
                <w:sz w:val="20"/>
                <w:szCs w:val="20"/>
                <w:vertAlign w:val="superscript"/>
              </w:rPr>
            </w:pPr>
            <w:r w:rsidRPr="007D1642">
              <w:rPr>
                <w:rFonts w:cs="Times New Roman"/>
                <w:b/>
                <w:bCs/>
                <w:sz w:val="20"/>
                <w:szCs w:val="20"/>
              </w:rPr>
              <w:t>Adjusted 3</w:t>
            </w:r>
          </w:p>
          <w:p w14:paraId="4BBDE1A9"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HR (95% CI)</w:t>
            </w:r>
          </w:p>
        </w:tc>
      </w:tr>
      <w:tr w:rsidR="007D1642" w:rsidRPr="007D1642" w14:paraId="679F64A0" w14:textId="77777777" w:rsidTr="001B7103">
        <w:tc>
          <w:tcPr>
            <w:tcW w:w="4860" w:type="dxa"/>
            <w:tcBorders>
              <w:left w:val="nil"/>
              <w:bottom w:val="nil"/>
              <w:right w:val="nil"/>
            </w:tcBorders>
          </w:tcPr>
          <w:p w14:paraId="2892B472" w14:textId="77777777" w:rsidR="007D1642" w:rsidRPr="007D1642" w:rsidRDefault="007D1642" w:rsidP="007D1642">
            <w:pPr>
              <w:spacing w:line="240" w:lineRule="auto"/>
              <w:rPr>
                <w:rFonts w:cs="Times New Roman"/>
                <w:sz w:val="20"/>
                <w:szCs w:val="20"/>
              </w:rPr>
            </w:pPr>
            <w:r w:rsidRPr="007D1642">
              <w:rPr>
                <w:rFonts w:cs="Times New Roman"/>
                <w:b/>
                <w:bCs/>
                <w:sz w:val="20"/>
                <w:szCs w:val="20"/>
              </w:rPr>
              <w:t>Individual chronic conditions</w:t>
            </w:r>
          </w:p>
        </w:tc>
        <w:tc>
          <w:tcPr>
            <w:tcW w:w="2025" w:type="dxa"/>
            <w:tcBorders>
              <w:left w:val="nil"/>
              <w:bottom w:val="nil"/>
              <w:right w:val="nil"/>
            </w:tcBorders>
          </w:tcPr>
          <w:p w14:paraId="1F213E80" w14:textId="77777777" w:rsidR="007D1642" w:rsidRPr="007D1642" w:rsidRDefault="007D1642" w:rsidP="007D1642">
            <w:pPr>
              <w:spacing w:line="240" w:lineRule="auto"/>
              <w:jc w:val="center"/>
              <w:rPr>
                <w:rFonts w:cs="Times New Roman"/>
                <w:sz w:val="20"/>
                <w:szCs w:val="20"/>
              </w:rPr>
            </w:pPr>
          </w:p>
        </w:tc>
        <w:tc>
          <w:tcPr>
            <w:tcW w:w="2025" w:type="dxa"/>
            <w:tcBorders>
              <w:left w:val="nil"/>
              <w:bottom w:val="nil"/>
              <w:right w:val="nil"/>
            </w:tcBorders>
          </w:tcPr>
          <w:p w14:paraId="59677A1B" w14:textId="77777777" w:rsidR="007D1642" w:rsidRPr="007D1642" w:rsidRDefault="007D1642" w:rsidP="007D1642">
            <w:pPr>
              <w:spacing w:line="240" w:lineRule="auto"/>
              <w:jc w:val="center"/>
              <w:rPr>
                <w:rFonts w:cs="Times New Roman"/>
                <w:sz w:val="20"/>
                <w:szCs w:val="20"/>
              </w:rPr>
            </w:pPr>
          </w:p>
        </w:tc>
        <w:tc>
          <w:tcPr>
            <w:tcW w:w="2025" w:type="dxa"/>
            <w:tcBorders>
              <w:left w:val="nil"/>
              <w:bottom w:val="nil"/>
              <w:right w:val="nil"/>
            </w:tcBorders>
          </w:tcPr>
          <w:p w14:paraId="71C45431" w14:textId="77777777" w:rsidR="007D1642" w:rsidRPr="007D1642" w:rsidRDefault="007D1642" w:rsidP="007D1642">
            <w:pPr>
              <w:spacing w:line="240" w:lineRule="auto"/>
              <w:jc w:val="center"/>
              <w:rPr>
                <w:rFonts w:cs="Times New Roman"/>
                <w:sz w:val="20"/>
                <w:szCs w:val="20"/>
              </w:rPr>
            </w:pPr>
          </w:p>
        </w:tc>
        <w:tc>
          <w:tcPr>
            <w:tcW w:w="2025" w:type="dxa"/>
            <w:tcBorders>
              <w:left w:val="nil"/>
              <w:bottom w:val="nil"/>
              <w:right w:val="nil"/>
            </w:tcBorders>
          </w:tcPr>
          <w:p w14:paraId="13DEDBB5" w14:textId="77777777" w:rsidR="007D1642" w:rsidRPr="007D1642" w:rsidRDefault="007D1642" w:rsidP="007D1642">
            <w:pPr>
              <w:spacing w:line="240" w:lineRule="auto"/>
              <w:jc w:val="center"/>
              <w:rPr>
                <w:rFonts w:cs="Times New Roman"/>
                <w:sz w:val="20"/>
                <w:szCs w:val="20"/>
              </w:rPr>
            </w:pPr>
          </w:p>
        </w:tc>
      </w:tr>
      <w:tr w:rsidR="007D1642" w:rsidRPr="007D1642" w14:paraId="397294F3" w14:textId="77777777" w:rsidTr="001B7103">
        <w:tc>
          <w:tcPr>
            <w:tcW w:w="4860" w:type="dxa"/>
            <w:tcBorders>
              <w:top w:val="nil"/>
              <w:left w:val="nil"/>
              <w:bottom w:val="nil"/>
              <w:right w:val="nil"/>
            </w:tcBorders>
          </w:tcPr>
          <w:p w14:paraId="68E43EF7"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Diabetes (incident) vs. no diabetes</w:t>
            </w:r>
          </w:p>
        </w:tc>
        <w:tc>
          <w:tcPr>
            <w:tcW w:w="2025" w:type="dxa"/>
            <w:tcBorders>
              <w:top w:val="nil"/>
              <w:left w:val="nil"/>
              <w:bottom w:val="nil"/>
              <w:right w:val="nil"/>
            </w:tcBorders>
          </w:tcPr>
          <w:p w14:paraId="175078B4"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0.89 (0.86, 0.92)</w:t>
            </w:r>
          </w:p>
        </w:tc>
        <w:tc>
          <w:tcPr>
            <w:tcW w:w="2025" w:type="dxa"/>
            <w:tcBorders>
              <w:top w:val="nil"/>
              <w:left w:val="nil"/>
              <w:bottom w:val="nil"/>
              <w:right w:val="nil"/>
            </w:tcBorders>
          </w:tcPr>
          <w:p w14:paraId="0533453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0.91 (0.88, 0.95)</w:t>
            </w:r>
          </w:p>
        </w:tc>
        <w:tc>
          <w:tcPr>
            <w:tcW w:w="2025" w:type="dxa"/>
            <w:tcBorders>
              <w:top w:val="nil"/>
              <w:left w:val="nil"/>
              <w:bottom w:val="nil"/>
              <w:right w:val="nil"/>
            </w:tcBorders>
          </w:tcPr>
          <w:p w14:paraId="1AF429AD"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23EF96A2"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57F55D6A" w14:textId="77777777" w:rsidTr="001B7103">
        <w:tc>
          <w:tcPr>
            <w:tcW w:w="4860" w:type="dxa"/>
            <w:tcBorders>
              <w:top w:val="nil"/>
              <w:left w:val="nil"/>
              <w:bottom w:val="nil"/>
              <w:right w:val="nil"/>
            </w:tcBorders>
          </w:tcPr>
          <w:p w14:paraId="7BC90EC8"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Diabetes (prevalent)</w:t>
            </w:r>
            <w:r w:rsidRPr="007D1642">
              <w:rPr>
                <w:rFonts w:cs="Times New Roman"/>
                <w:sz w:val="20"/>
                <w:szCs w:val="20"/>
                <w:vertAlign w:val="superscript"/>
              </w:rPr>
              <w:t xml:space="preserve"> </w:t>
            </w:r>
            <w:r w:rsidRPr="007D1642">
              <w:rPr>
                <w:rFonts w:cs="Times New Roman"/>
                <w:sz w:val="20"/>
                <w:szCs w:val="20"/>
              </w:rPr>
              <w:t>vs. no diabetes</w:t>
            </w:r>
          </w:p>
        </w:tc>
        <w:tc>
          <w:tcPr>
            <w:tcW w:w="2025" w:type="dxa"/>
            <w:tcBorders>
              <w:top w:val="nil"/>
              <w:left w:val="nil"/>
              <w:bottom w:val="nil"/>
              <w:right w:val="nil"/>
            </w:tcBorders>
          </w:tcPr>
          <w:p w14:paraId="6B490D0F"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0.90 (0.88, 0.91)</w:t>
            </w:r>
          </w:p>
        </w:tc>
        <w:tc>
          <w:tcPr>
            <w:tcW w:w="2025" w:type="dxa"/>
            <w:tcBorders>
              <w:top w:val="nil"/>
              <w:left w:val="nil"/>
              <w:bottom w:val="nil"/>
              <w:right w:val="nil"/>
            </w:tcBorders>
          </w:tcPr>
          <w:p w14:paraId="6C86E2C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0.93 (0.91, 0.94)</w:t>
            </w:r>
          </w:p>
        </w:tc>
        <w:tc>
          <w:tcPr>
            <w:tcW w:w="2025" w:type="dxa"/>
            <w:tcBorders>
              <w:top w:val="nil"/>
              <w:left w:val="nil"/>
              <w:bottom w:val="nil"/>
              <w:right w:val="nil"/>
            </w:tcBorders>
          </w:tcPr>
          <w:p w14:paraId="0DB6962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30AC2AD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27CD3E1F" w14:textId="77777777" w:rsidTr="001B7103">
        <w:tc>
          <w:tcPr>
            <w:tcW w:w="4860" w:type="dxa"/>
            <w:tcBorders>
              <w:top w:val="nil"/>
              <w:left w:val="nil"/>
              <w:bottom w:val="nil"/>
              <w:right w:val="nil"/>
            </w:tcBorders>
          </w:tcPr>
          <w:p w14:paraId="7B0D9262"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ESRD vs. no ESRD</w:t>
            </w:r>
          </w:p>
        </w:tc>
        <w:tc>
          <w:tcPr>
            <w:tcW w:w="2025" w:type="dxa"/>
            <w:tcBorders>
              <w:top w:val="nil"/>
              <w:left w:val="nil"/>
              <w:bottom w:val="nil"/>
              <w:right w:val="nil"/>
            </w:tcBorders>
          </w:tcPr>
          <w:p w14:paraId="52B5A280"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0.48 (0.39, 0.60)</w:t>
            </w:r>
          </w:p>
        </w:tc>
        <w:tc>
          <w:tcPr>
            <w:tcW w:w="2025" w:type="dxa"/>
            <w:tcBorders>
              <w:top w:val="nil"/>
              <w:left w:val="nil"/>
              <w:bottom w:val="nil"/>
              <w:right w:val="nil"/>
            </w:tcBorders>
          </w:tcPr>
          <w:p w14:paraId="1D27EDBB"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0.55 (0.44, 0.69)</w:t>
            </w:r>
          </w:p>
        </w:tc>
        <w:tc>
          <w:tcPr>
            <w:tcW w:w="2025" w:type="dxa"/>
            <w:tcBorders>
              <w:top w:val="nil"/>
              <w:left w:val="nil"/>
              <w:bottom w:val="nil"/>
              <w:right w:val="nil"/>
            </w:tcBorders>
          </w:tcPr>
          <w:p w14:paraId="1FD7E19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37F75D90"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3D79E96B" w14:textId="77777777" w:rsidTr="001B7103">
        <w:tc>
          <w:tcPr>
            <w:tcW w:w="4860" w:type="dxa"/>
            <w:tcBorders>
              <w:top w:val="nil"/>
              <w:left w:val="nil"/>
              <w:bottom w:val="nil"/>
              <w:right w:val="nil"/>
            </w:tcBorders>
          </w:tcPr>
          <w:p w14:paraId="07D4F8D1"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COPD vs. no COPD</w:t>
            </w:r>
          </w:p>
        </w:tc>
        <w:tc>
          <w:tcPr>
            <w:tcW w:w="2025" w:type="dxa"/>
            <w:tcBorders>
              <w:top w:val="nil"/>
              <w:left w:val="nil"/>
              <w:bottom w:val="nil"/>
              <w:right w:val="nil"/>
            </w:tcBorders>
          </w:tcPr>
          <w:p w14:paraId="105A1D54"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0.87 (0.86, 0.89)</w:t>
            </w:r>
          </w:p>
        </w:tc>
        <w:tc>
          <w:tcPr>
            <w:tcW w:w="2025" w:type="dxa"/>
            <w:tcBorders>
              <w:top w:val="nil"/>
              <w:left w:val="nil"/>
              <w:bottom w:val="nil"/>
              <w:right w:val="nil"/>
            </w:tcBorders>
          </w:tcPr>
          <w:p w14:paraId="6C23EA3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0.93 (0.91, 0.95)</w:t>
            </w:r>
          </w:p>
        </w:tc>
        <w:tc>
          <w:tcPr>
            <w:tcW w:w="2025" w:type="dxa"/>
            <w:tcBorders>
              <w:top w:val="nil"/>
              <w:left w:val="nil"/>
              <w:bottom w:val="nil"/>
              <w:right w:val="nil"/>
            </w:tcBorders>
          </w:tcPr>
          <w:p w14:paraId="38DD43D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1B80F66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0A76C615" w14:textId="77777777" w:rsidTr="001B7103">
        <w:tc>
          <w:tcPr>
            <w:tcW w:w="4860" w:type="dxa"/>
            <w:tcBorders>
              <w:top w:val="nil"/>
              <w:left w:val="nil"/>
              <w:bottom w:val="nil"/>
              <w:right w:val="nil"/>
            </w:tcBorders>
          </w:tcPr>
          <w:p w14:paraId="08FC8E75"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CHF vs. no CHF</w:t>
            </w:r>
          </w:p>
        </w:tc>
        <w:tc>
          <w:tcPr>
            <w:tcW w:w="2025" w:type="dxa"/>
            <w:tcBorders>
              <w:top w:val="nil"/>
              <w:left w:val="nil"/>
              <w:bottom w:val="nil"/>
              <w:right w:val="nil"/>
            </w:tcBorders>
          </w:tcPr>
          <w:p w14:paraId="5BF1D726"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0.68 (0.66, 0.71)</w:t>
            </w:r>
          </w:p>
        </w:tc>
        <w:tc>
          <w:tcPr>
            <w:tcW w:w="2025" w:type="dxa"/>
            <w:tcBorders>
              <w:top w:val="nil"/>
              <w:left w:val="nil"/>
              <w:bottom w:val="nil"/>
              <w:right w:val="nil"/>
            </w:tcBorders>
          </w:tcPr>
          <w:p w14:paraId="67D7B2EE"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0.76 (0.73, 0.80)</w:t>
            </w:r>
          </w:p>
        </w:tc>
        <w:tc>
          <w:tcPr>
            <w:tcW w:w="2025" w:type="dxa"/>
            <w:tcBorders>
              <w:top w:val="nil"/>
              <w:left w:val="nil"/>
              <w:bottom w:val="nil"/>
              <w:right w:val="nil"/>
            </w:tcBorders>
          </w:tcPr>
          <w:p w14:paraId="58F8446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47650B7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4802A936" w14:textId="77777777" w:rsidTr="001B7103">
        <w:tc>
          <w:tcPr>
            <w:tcW w:w="4860" w:type="dxa"/>
            <w:tcBorders>
              <w:top w:val="nil"/>
              <w:left w:val="nil"/>
              <w:bottom w:val="nil"/>
              <w:right w:val="nil"/>
            </w:tcBorders>
          </w:tcPr>
          <w:p w14:paraId="0999B6EC"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CVD vs. no CVD</w:t>
            </w:r>
          </w:p>
        </w:tc>
        <w:tc>
          <w:tcPr>
            <w:tcW w:w="2025" w:type="dxa"/>
            <w:tcBorders>
              <w:top w:val="nil"/>
              <w:left w:val="nil"/>
              <w:bottom w:val="nil"/>
              <w:right w:val="nil"/>
            </w:tcBorders>
          </w:tcPr>
          <w:p w14:paraId="690B446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0.80 (0.77, 0.82)</w:t>
            </w:r>
          </w:p>
        </w:tc>
        <w:tc>
          <w:tcPr>
            <w:tcW w:w="2025" w:type="dxa"/>
            <w:tcBorders>
              <w:top w:val="nil"/>
              <w:left w:val="nil"/>
              <w:bottom w:val="nil"/>
              <w:right w:val="nil"/>
            </w:tcBorders>
          </w:tcPr>
          <w:p w14:paraId="704C77B0"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0.88 (0.85, 0.90)</w:t>
            </w:r>
          </w:p>
        </w:tc>
        <w:tc>
          <w:tcPr>
            <w:tcW w:w="2025" w:type="dxa"/>
            <w:tcBorders>
              <w:top w:val="nil"/>
              <w:left w:val="nil"/>
              <w:bottom w:val="nil"/>
              <w:right w:val="nil"/>
            </w:tcBorders>
          </w:tcPr>
          <w:p w14:paraId="40988B5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3726010A"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07DD4EBA" w14:textId="77777777" w:rsidTr="001B7103">
        <w:tc>
          <w:tcPr>
            <w:tcW w:w="4860" w:type="dxa"/>
            <w:tcBorders>
              <w:top w:val="nil"/>
              <w:left w:val="nil"/>
              <w:bottom w:val="nil"/>
              <w:right w:val="nil"/>
            </w:tcBorders>
          </w:tcPr>
          <w:p w14:paraId="29224885"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Serious mental illness vs. no mental illness</w:t>
            </w:r>
          </w:p>
        </w:tc>
        <w:tc>
          <w:tcPr>
            <w:tcW w:w="2025" w:type="dxa"/>
            <w:tcBorders>
              <w:top w:val="nil"/>
              <w:left w:val="nil"/>
              <w:bottom w:val="nil"/>
              <w:right w:val="nil"/>
            </w:tcBorders>
          </w:tcPr>
          <w:p w14:paraId="2344F03C"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0.83 (0.79, 0.88)</w:t>
            </w:r>
          </w:p>
        </w:tc>
        <w:tc>
          <w:tcPr>
            <w:tcW w:w="2025" w:type="dxa"/>
            <w:tcBorders>
              <w:top w:val="nil"/>
              <w:left w:val="nil"/>
              <w:bottom w:val="nil"/>
              <w:right w:val="nil"/>
            </w:tcBorders>
          </w:tcPr>
          <w:p w14:paraId="26C0E013"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0.87 (0.82, 0.91)</w:t>
            </w:r>
          </w:p>
        </w:tc>
        <w:tc>
          <w:tcPr>
            <w:tcW w:w="2025" w:type="dxa"/>
            <w:tcBorders>
              <w:top w:val="nil"/>
              <w:left w:val="nil"/>
              <w:bottom w:val="nil"/>
              <w:right w:val="nil"/>
            </w:tcBorders>
          </w:tcPr>
          <w:p w14:paraId="50610E2C"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0.87 (0.83, 0.91)</w:t>
            </w:r>
          </w:p>
        </w:tc>
        <w:tc>
          <w:tcPr>
            <w:tcW w:w="2025" w:type="dxa"/>
            <w:tcBorders>
              <w:top w:val="nil"/>
              <w:left w:val="nil"/>
              <w:bottom w:val="nil"/>
              <w:right w:val="nil"/>
            </w:tcBorders>
          </w:tcPr>
          <w:p w14:paraId="36697C96"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1AD31C40" w14:textId="77777777" w:rsidTr="001B7103">
        <w:tc>
          <w:tcPr>
            <w:tcW w:w="4860" w:type="dxa"/>
            <w:tcBorders>
              <w:top w:val="nil"/>
              <w:left w:val="nil"/>
              <w:bottom w:val="nil"/>
              <w:right w:val="nil"/>
            </w:tcBorders>
          </w:tcPr>
          <w:p w14:paraId="5021ECF1"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Common mental illness vs. no mental illness</w:t>
            </w:r>
          </w:p>
        </w:tc>
        <w:tc>
          <w:tcPr>
            <w:tcW w:w="2025" w:type="dxa"/>
            <w:tcBorders>
              <w:top w:val="nil"/>
              <w:left w:val="nil"/>
              <w:bottom w:val="nil"/>
              <w:right w:val="nil"/>
            </w:tcBorders>
          </w:tcPr>
          <w:p w14:paraId="408BBC4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0.92 (0.91, 0.94)</w:t>
            </w:r>
          </w:p>
        </w:tc>
        <w:tc>
          <w:tcPr>
            <w:tcW w:w="2025" w:type="dxa"/>
            <w:tcBorders>
              <w:top w:val="nil"/>
              <w:left w:val="nil"/>
              <w:bottom w:val="nil"/>
              <w:right w:val="nil"/>
            </w:tcBorders>
          </w:tcPr>
          <w:p w14:paraId="4BC3E59C"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0.97 (0.95, 0.99)</w:t>
            </w:r>
          </w:p>
        </w:tc>
        <w:tc>
          <w:tcPr>
            <w:tcW w:w="2025" w:type="dxa"/>
            <w:tcBorders>
              <w:top w:val="nil"/>
              <w:left w:val="nil"/>
              <w:bottom w:val="nil"/>
              <w:right w:val="nil"/>
            </w:tcBorders>
          </w:tcPr>
          <w:p w14:paraId="354C7361"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0.97 (0.95, 0.99)</w:t>
            </w:r>
          </w:p>
        </w:tc>
        <w:tc>
          <w:tcPr>
            <w:tcW w:w="2025" w:type="dxa"/>
            <w:tcBorders>
              <w:top w:val="nil"/>
              <w:left w:val="nil"/>
              <w:bottom w:val="nil"/>
              <w:right w:val="nil"/>
            </w:tcBorders>
          </w:tcPr>
          <w:p w14:paraId="50F324A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29762A96" w14:textId="77777777" w:rsidTr="001B7103">
        <w:tc>
          <w:tcPr>
            <w:tcW w:w="4860" w:type="dxa"/>
            <w:tcBorders>
              <w:top w:val="nil"/>
              <w:left w:val="nil"/>
              <w:bottom w:val="nil"/>
              <w:right w:val="nil"/>
            </w:tcBorders>
          </w:tcPr>
          <w:p w14:paraId="2FEF9273" w14:textId="77777777" w:rsidR="007D1642" w:rsidRPr="007D1642" w:rsidRDefault="007D1642" w:rsidP="007D1642">
            <w:pPr>
              <w:spacing w:line="240" w:lineRule="auto"/>
              <w:rPr>
                <w:rFonts w:cs="Times New Roman"/>
                <w:sz w:val="20"/>
                <w:szCs w:val="20"/>
                <w:vertAlign w:val="superscript"/>
              </w:rPr>
            </w:pPr>
            <w:r w:rsidRPr="007D1642">
              <w:rPr>
                <w:rFonts w:cs="Times New Roman"/>
                <w:b/>
                <w:bCs/>
                <w:sz w:val="20"/>
                <w:szCs w:val="20"/>
              </w:rPr>
              <w:t>Number of major medical comorbidities</w:t>
            </w:r>
            <w:r w:rsidRPr="007D1642">
              <w:rPr>
                <w:rFonts w:cs="Times New Roman"/>
                <w:b/>
                <w:bCs/>
                <w:sz w:val="20"/>
                <w:szCs w:val="20"/>
                <w:vertAlign w:val="superscript"/>
              </w:rPr>
              <w:t>a</w:t>
            </w:r>
          </w:p>
        </w:tc>
        <w:tc>
          <w:tcPr>
            <w:tcW w:w="2025" w:type="dxa"/>
            <w:tcBorders>
              <w:top w:val="nil"/>
              <w:left w:val="nil"/>
              <w:bottom w:val="nil"/>
              <w:right w:val="nil"/>
            </w:tcBorders>
          </w:tcPr>
          <w:p w14:paraId="14D21F65" w14:textId="77777777" w:rsidR="007D1642" w:rsidRPr="007D1642" w:rsidRDefault="007D1642" w:rsidP="007D1642">
            <w:pPr>
              <w:spacing w:line="240" w:lineRule="auto"/>
              <w:jc w:val="center"/>
              <w:rPr>
                <w:rFonts w:cs="Times New Roman"/>
                <w:sz w:val="20"/>
                <w:szCs w:val="20"/>
                <w:highlight w:val="lightGray"/>
              </w:rPr>
            </w:pPr>
          </w:p>
        </w:tc>
        <w:tc>
          <w:tcPr>
            <w:tcW w:w="2025" w:type="dxa"/>
            <w:tcBorders>
              <w:top w:val="nil"/>
              <w:left w:val="nil"/>
              <w:bottom w:val="nil"/>
              <w:right w:val="nil"/>
            </w:tcBorders>
          </w:tcPr>
          <w:p w14:paraId="5C0B2275" w14:textId="77777777" w:rsidR="007D1642" w:rsidRPr="007D1642" w:rsidRDefault="007D1642" w:rsidP="007D1642">
            <w:pPr>
              <w:spacing w:line="240" w:lineRule="auto"/>
              <w:jc w:val="center"/>
              <w:rPr>
                <w:rFonts w:cs="Times New Roman"/>
                <w:sz w:val="20"/>
                <w:szCs w:val="20"/>
              </w:rPr>
            </w:pPr>
          </w:p>
        </w:tc>
        <w:tc>
          <w:tcPr>
            <w:tcW w:w="2025" w:type="dxa"/>
            <w:tcBorders>
              <w:top w:val="nil"/>
              <w:left w:val="nil"/>
              <w:bottom w:val="nil"/>
              <w:right w:val="nil"/>
            </w:tcBorders>
          </w:tcPr>
          <w:p w14:paraId="3235C842" w14:textId="77777777" w:rsidR="007D1642" w:rsidRPr="007D1642" w:rsidRDefault="007D1642" w:rsidP="007D1642">
            <w:pPr>
              <w:spacing w:line="240" w:lineRule="auto"/>
              <w:jc w:val="center"/>
              <w:rPr>
                <w:rFonts w:cs="Times New Roman"/>
                <w:sz w:val="20"/>
                <w:szCs w:val="20"/>
                <w:highlight w:val="lightGray"/>
              </w:rPr>
            </w:pPr>
          </w:p>
        </w:tc>
        <w:tc>
          <w:tcPr>
            <w:tcW w:w="2025" w:type="dxa"/>
            <w:tcBorders>
              <w:top w:val="nil"/>
              <w:left w:val="nil"/>
              <w:bottom w:val="nil"/>
              <w:right w:val="nil"/>
            </w:tcBorders>
          </w:tcPr>
          <w:p w14:paraId="54505914" w14:textId="77777777" w:rsidR="007D1642" w:rsidRPr="007D1642" w:rsidRDefault="007D1642" w:rsidP="007D1642">
            <w:pPr>
              <w:spacing w:line="240" w:lineRule="auto"/>
              <w:jc w:val="center"/>
              <w:rPr>
                <w:rFonts w:cs="Times New Roman"/>
                <w:sz w:val="20"/>
                <w:szCs w:val="20"/>
              </w:rPr>
            </w:pPr>
          </w:p>
        </w:tc>
      </w:tr>
      <w:tr w:rsidR="007D1642" w:rsidRPr="007D1642" w14:paraId="1D0B31A0" w14:textId="77777777" w:rsidTr="001B7103">
        <w:tc>
          <w:tcPr>
            <w:tcW w:w="4860" w:type="dxa"/>
            <w:tcBorders>
              <w:top w:val="nil"/>
              <w:left w:val="nil"/>
              <w:bottom w:val="nil"/>
              <w:right w:val="nil"/>
            </w:tcBorders>
          </w:tcPr>
          <w:p w14:paraId="354C798F"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Comorbidity 1 vs. 0</w:t>
            </w:r>
          </w:p>
        </w:tc>
        <w:tc>
          <w:tcPr>
            <w:tcW w:w="2025" w:type="dxa"/>
            <w:tcBorders>
              <w:top w:val="nil"/>
              <w:left w:val="nil"/>
              <w:bottom w:val="nil"/>
              <w:right w:val="nil"/>
            </w:tcBorders>
          </w:tcPr>
          <w:p w14:paraId="51E03E36"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0.91 (0.89, 0.92)</w:t>
            </w:r>
          </w:p>
        </w:tc>
        <w:tc>
          <w:tcPr>
            <w:tcW w:w="2025" w:type="dxa"/>
            <w:tcBorders>
              <w:top w:val="nil"/>
              <w:left w:val="nil"/>
              <w:bottom w:val="nil"/>
              <w:right w:val="nil"/>
            </w:tcBorders>
          </w:tcPr>
          <w:p w14:paraId="22BF809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27B54566"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0.91 (0.90, 0.93)</w:t>
            </w:r>
          </w:p>
        </w:tc>
        <w:tc>
          <w:tcPr>
            <w:tcW w:w="2025" w:type="dxa"/>
            <w:tcBorders>
              <w:top w:val="nil"/>
              <w:left w:val="nil"/>
              <w:bottom w:val="nil"/>
              <w:right w:val="nil"/>
            </w:tcBorders>
          </w:tcPr>
          <w:p w14:paraId="70342F6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42DC189E" w14:textId="77777777" w:rsidTr="001B7103">
        <w:tc>
          <w:tcPr>
            <w:tcW w:w="4860" w:type="dxa"/>
            <w:tcBorders>
              <w:top w:val="nil"/>
              <w:left w:val="nil"/>
              <w:bottom w:val="nil"/>
              <w:right w:val="nil"/>
            </w:tcBorders>
          </w:tcPr>
          <w:p w14:paraId="517B8B62"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Comorbidity 2 vs. 0</w:t>
            </w:r>
          </w:p>
        </w:tc>
        <w:tc>
          <w:tcPr>
            <w:tcW w:w="2025" w:type="dxa"/>
            <w:tcBorders>
              <w:top w:val="nil"/>
              <w:left w:val="nil"/>
              <w:bottom w:val="nil"/>
              <w:right w:val="nil"/>
            </w:tcBorders>
          </w:tcPr>
          <w:p w14:paraId="0B9F1AA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0.78 (0.75, 0.80)</w:t>
            </w:r>
          </w:p>
        </w:tc>
        <w:tc>
          <w:tcPr>
            <w:tcW w:w="2025" w:type="dxa"/>
            <w:tcBorders>
              <w:top w:val="nil"/>
              <w:left w:val="nil"/>
              <w:bottom w:val="nil"/>
              <w:right w:val="nil"/>
            </w:tcBorders>
          </w:tcPr>
          <w:p w14:paraId="71CE294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0D131E08"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0.80 (0.77, 0.82)</w:t>
            </w:r>
          </w:p>
        </w:tc>
        <w:tc>
          <w:tcPr>
            <w:tcW w:w="2025" w:type="dxa"/>
            <w:tcBorders>
              <w:top w:val="nil"/>
              <w:left w:val="nil"/>
              <w:bottom w:val="nil"/>
              <w:right w:val="nil"/>
            </w:tcBorders>
          </w:tcPr>
          <w:p w14:paraId="3173CF1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15BC406C" w14:textId="77777777" w:rsidTr="001B7103">
        <w:tc>
          <w:tcPr>
            <w:tcW w:w="4860" w:type="dxa"/>
            <w:tcBorders>
              <w:top w:val="nil"/>
              <w:left w:val="nil"/>
              <w:bottom w:val="nil"/>
              <w:right w:val="nil"/>
            </w:tcBorders>
          </w:tcPr>
          <w:p w14:paraId="10A943E3"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Comorbidity 3 vs. 0</w:t>
            </w:r>
          </w:p>
        </w:tc>
        <w:tc>
          <w:tcPr>
            <w:tcW w:w="2025" w:type="dxa"/>
            <w:tcBorders>
              <w:top w:val="nil"/>
              <w:left w:val="nil"/>
              <w:bottom w:val="nil"/>
              <w:right w:val="nil"/>
            </w:tcBorders>
          </w:tcPr>
          <w:p w14:paraId="489E10D0"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0.68 (0.64, 0.72)</w:t>
            </w:r>
          </w:p>
        </w:tc>
        <w:tc>
          <w:tcPr>
            <w:tcW w:w="2025" w:type="dxa"/>
            <w:tcBorders>
              <w:top w:val="nil"/>
              <w:left w:val="nil"/>
              <w:bottom w:val="nil"/>
              <w:right w:val="nil"/>
            </w:tcBorders>
          </w:tcPr>
          <w:p w14:paraId="72F7E1FD"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2AA58C5D"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0.71 (0.67, 0.75)</w:t>
            </w:r>
          </w:p>
        </w:tc>
        <w:tc>
          <w:tcPr>
            <w:tcW w:w="2025" w:type="dxa"/>
            <w:tcBorders>
              <w:top w:val="nil"/>
              <w:left w:val="nil"/>
              <w:bottom w:val="nil"/>
              <w:right w:val="nil"/>
            </w:tcBorders>
          </w:tcPr>
          <w:p w14:paraId="2C06A38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3DE139AF" w14:textId="77777777" w:rsidTr="001B7103">
        <w:tc>
          <w:tcPr>
            <w:tcW w:w="4860" w:type="dxa"/>
            <w:tcBorders>
              <w:top w:val="nil"/>
              <w:left w:val="nil"/>
              <w:bottom w:val="nil"/>
              <w:right w:val="nil"/>
            </w:tcBorders>
          </w:tcPr>
          <w:p w14:paraId="7200228F"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Comorbidity ≥4 vs. 0</w:t>
            </w:r>
          </w:p>
        </w:tc>
        <w:tc>
          <w:tcPr>
            <w:tcW w:w="2025" w:type="dxa"/>
            <w:tcBorders>
              <w:top w:val="nil"/>
              <w:left w:val="nil"/>
              <w:bottom w:val="nil"/>
              <w:right w:val="nil"/>
            </w:tcBorders>
          </w:tcPr>
          <w:p w14:paraId="0A3AB20D"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0.52 (0.46, 0.59)</w:t>
            </w:r>
          </w:p>
        </w:tc>
        <w:tc>
          <w:tcPr>
            <w:tcW w:w="2025" w:type="dxa"/>
            <w:tcBorders>
              <w:top w:val="nil"/>
              <w:left w:val="nil"/>
              <w:bottom w:val="nil"/>
              <w:right w:val="nil"/>
            </w:tcBorders>
          </w:tcPr>
          <w:p w14:paraId="08CD57F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48B578C0"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0.55 (0.48, 0.63)</w:t>
            </w:r>
          </w:p>
        </w:tc>
        <w:tc>
          <w:tcPr>
            <w:tcW w:w="2025" w:type="dxa"/>
            <w:tcBorders>
              <w:top w:val="nil"/>
              <w:left w:val="nil"/>
              <w:bottom w:val="nil"/>
              <w:right w:val="nil"/>
            </w:tcBorders>
          </w:tcPr>
          <w:p w14:paraId="74E6308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66B8D705" w14:textId="77777777" w:rsidTr="001B7103">
        <w:tc>
          <w:tcPr>
            <w:tcW w:w="4860" w:type="dxa"/>
            <w:tcBorders>
              <w:top w:val="nil"/>
              <w:left w:val="nil"/>
              <w:bottom w:val="nil"/>
              <w:right w:val="nil"/>
            </w:tcBorders>
          </w:tcPr>
          <w:p w14:paraId="046ECBB7" w14:textId="77777777" w:rsidR="007D1642" w:rsidRPr="007D1642" w:rsidRDefault="007D1642" w:rsidP="007D1642">
            <w:pPr>
              <w:spacing w:line="240" w:lineRule="auto"/>
              <w:rPr>
                <w:rFonts w:cs="Times New Roman"/>
                <w:sz w:val="20"/>
                <w:szCs w:val="20"/>
              </w:rPr>
            </w:pPr>
            <w:r w:rsidRPr="007D1642">
              <w:rPr>
                <w:rFonts w:cs="Times New Roman"/>
                <w:b/>
                <w:bCs/>
                <w:sz w:val="20"/>
                <w:szCs w:val="20"/>
              </w:rPr>
              <w:t>Mental and medical comorbidity</w:t>
            </w:r>
          </w:p>
        </w:tc>
        <w:tc>
          <w:tcPr>
            <w:tcW w:w="2025" w:type="dxa"/>
            <w:tcBorders>
              <w:top w:val="nil"/>
              <w:left w:val="nil"/>
              <w:bottom w:val="nil"/>
              <w:right w:val="nil"/>
            </w:tcBorders>
          </w:tcPr>
          <w:p w14:paraId="2989D67E" w14:textId="77777777" w:rsidR="007D1642" w:rsidRPr="007D1642" w:rsidRDefault="007D1642" w:rsidP="007D1642">
            <w:pPr>
              <w:spacing w:line="240" w:lineRule="auto"/>
              <w:jc w:val="center"/>
              <w:rPr>
                <w:rFonts w:cs="Times New Roman"/>
                <w:sz w:val="20"/>
                <w:szCs w:val="20"/>
                <w:highlight w:val="lightGray"/>
              </w:rPr>
            </w:pPr>
          </w:p>
        </w:tc>
        <w:tc>
          <w:tcPr>
            <w:tcW w:w="2025" w:type="dxa"/>
            <w:tcBorders>
              <w:top w:val="nil"/>
              <w:left w:val="nil"/>
              <w:bottom w:val="nil"/>
              <w:right w:val="nil"/>
            </w:tcBorders>
          </w:tcPr>
          <w:p w14:paraId="27F65D4B" w14:textId="77777777" w:rsidR="007D1642" w:rsidRPr="007D1642" w:rsidRDefault="007D1642" w:rsidP="007D1642">
            <w:pPr>
              <w:spacing w:line="240" w:lineRule="auto"/>
              <w:jc w:val="center"/>
              <w:rPr>
                <w:rFonts w:cs="Times New Roman"/>
                <w:sz w:val="20"/>
                <w:szCs w:val="20"/>
              </w:rPr>
            </w:pPr>
          </w:p>
        </w:tc>
        <w:tc>
          <w:tcPr>
            <w:tcW w:w="2025" w:type="dxa"/>
            <w:tcBorders>
              <w:top w:val="nil"/>
              <w:left w:val="nil"/>
              <w:bottom w:val="nil"/>
              <w:right w:val="nil"/>
            </w:tcBorders>
          </w:tcPr>
          <w:p w14:paraId="3165BE98" w14:textId="77777777" w:rsidR="007D1642" w:rsidRPr="007D1642" w:rsidRDefault="007D1642" w:rsidP="007D1642">
            <w:pPr>
              <w:spacing w:line="240" w:lineRule="auto"/>
              <w:jc w:val="center"/>
              <w:rPr>
                <w:rFonts w:cs="Times New Roman"/>
                <w:sz w:val="20"/>
                <w:szCs w:val="20"/>
              </w:rPr>
            </w:pPr>
          </w:p>
        </w:tc>
        <w:tc>
          <w:tcPr>
            <w:tcW w:w="2025" w:type="dxa"/>
            <w:tcBorders>
              <w:top w:val="nil"/>
              <w:left w:val="nil"/>
              <w:bottom w:val="nil"/>
              <w:right w:val="nil"/>
            </w:tcBorders>
          </w:tcPr>
          <w:p w14:paraId="274D9779" w14:textId="77777777" w:rsidR="007D1642" w:rsidRPr="007D1642" w:rsidRDefault="007D1642" w:rsidP="007D1642">
            <w:pPr>
              <w:spacing w:line="240" w:lineRule="auto"/>
              <w:jc w:val="center"/>
              <w:rPr>
                <w:rFonts w:cs="Times New Roman"/>
                <w:sz w:val="20"/>
                <w:szCs w:val="20"/>
              </w:rPr>
            </w:pPr>
          </w:p>
        </w:tc>
      </w:tr>
      <w:tr w:rsidR="003D2972" w:rsidRPr="007D1642" w14:paraId="69E66C85" w14:textId="77777777" w:rsidTr="001B7103">
        <w:tc>
          <w:tcPr>
            <w:tcW w:w="4860" w:type="dxa"/>
            <w:tcBorders>
              <w:top w:val="nil"/>
              <w:left w:val="nil"/>
              <w:bottom w:val="nil"/>
              <w:right w:val="nil"/>
            </w:tcBorders>
          </w:tcPr>
          <w:p w14:paraId="5C1DC164" w14:textId="27F9ECF7" w:rsidR="003D2972" w:rsidRPr="007D1642" w:rsidRDefault="003D2972" w:rsidP="003D2972">
            <w:pPr>
              <w:spacing w:line="240" w:lineRule="auto"/>
              <w:rPr>
                <w:rFonts w:cs="Times New Roman"/>
                <w:sz w:val="20"/>
                <w:szCs w:val="20"/>
              </w:rPr>
            </w:pPr>
            <w:r w:rsidRPr="009F3D22">
              <w:rPr>
                <w:rFonts w:cs="Times New Roman"/>
                <w:sz w:val="20"/>
                <w:szCs w:val="20"/>
              </w:rPr>
              <w:t xml:space="preserve">  </w:t>
            </w:r>
            <w:r>
              <w:rPr>
                <w:rFonts w:cs="Times New Roman"/>
                <w:sz w:val="20"/>
                <w:szCs w:val="20"/>
              </w:rPr>
              <w:t>M</w:t>
            </w:r>
            <w:r w:rsidRPr="009F3D22">
              <w:rPr>
                <w:rFonts w:cs="Times New Roman"/>
                <w:sz w:val="20"/>
                <w:szCs w:val="20"/>
              </w:rPr>
              <w:t xml:space="preserve">edical and mental </w:t>
            </w:r>
            <w:r>
              <w:rPr>
                <w:rFonts w:cs="Times New Roman"/>
                <w:sz w:val="20"/>
                <w:szCs w:val="20"/>
              </w:rPr>
              <w:t xml:space="preserve">health </w:t>
            </w:r>
            <w:r w:rsidRPr="009F3D22">
              <w:rPr>
                <w:rFonts w:cs="Times New Roman"/>
                <w:sz w:val="20"/>
                <w:szCs w:val="20"/>
              </w:rPr>
              <w:t>comorbidit</w:t>
            </w:r>
            <w:r>
              <w:rPr>
                <w:rFonts w:cs="Times New Roman"/>
                <w:sz w:val="20"/>
                <w:szCs w:val="20"/>
              </w:rPr>
              <w:t>ies</w:t>
            </w:r>
            <w:r w:rsidRPr="009F3D22">
              <w:rPr>
                <w:rFonts w:cs="Times New Roman"/>
                <w:sz w:val="20"/>
                <w:szCs w:val="20"/>
              </w:rPr>
              <w:t xml:space="preserve"> vs. none</w:t>
            </w:r>
          </w:p>
        </w:tc>
        <w:tc>
          <w:tcPr>
            <w:tcW w:w="2025" w:type="dxa"/>
            <w:tcBorders>
              <w:top w:val="nil"/>
              <w:left w:val="nil"/>
              <w:bottom w:val="nil"/>
              <w:right w:val="nil"/>
            </w:tcBorders>
          </w:tcPr>
          <w:p w14:paraId="7C910CB7"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0.80 (0.78, 0.82)</w:t>
            </w:r>
          </w:p>
        </w:tc>
        <w:tc>
          <w:tcPr>
            <w:tcW w:w="2025" w:type="dxa"/>
            <w:tcBorders>
              <w:top w:val="nil"/>
              <w:left w:val="nil"/>
              <w:bottom w:val="nil"/>
              <w:right w:val="nil"/>
            </w:tcBorders>
          </w:tcPr>
          <w:p w14:paraId="63A1BE31"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4F0A456D"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58164874"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0.84 (0.82, 0.86)</w:t>
            </w:r>
          </w:p>
        </w:tc>
      </w:tr>
      <w:tr w:rsidR="003D2972" w:rsidRPr="007D1642" w14:paraId="79334D5D" w14:textId="77777777" w:rsidTr="001B7103">
        <w:tc>
          <w:tcPr>
            <w:tcW w:w="4860" w:type="dxa"/>
            <w:tcBorders>
              <w:top w:val="nil"/>
              <w:left w:val="nil"/>
              <w:bottom w:val="nil"/>
              <w:right w:val="nil"/>
            </w:tcBorders>
          </w:tcPr>
          <w:p w14:paraId="47DE171D" w14:textId="5AA188F2" w:rsidR="003D2972" w:rsidRPr="007D1642" w:rsidRDefault="003D2972" w:rsidP="003D2972">
            <w:pPr>
              <w:spacing w:line="240" w:lineRule="auto"/>
              <w:rPr>
                <w:rFonts w:cs="Times New Roman"/>
                <w:sz w:val="20"/>
                <w:szCs w:val="20"/>
              </w:rPr>
            </w:pPr>
            <w:r w:rsidRPr="009F3D22">
              <w:rPr>
                <w:rFonts w:cs="Times New Roman"/>
                <w:sz w:val="20"/>
                <w:szCs w:val="20"/>
              </w:rPr>
              <w:t xml:space="preserve">  </w:t>
            </w:r>
            <w:r>
              <w:rPr>
                <w:rFonts w:cs="Times New Roman"/>
                <w:sz w:val="20"/>
                <w:szCs w:val="20"/>
              </w:rPr>
              <w:t>M</w:t>
            </w:r>
            <w:r w:rsidRPr="009F3D22">
              <w:rPr>
                <w:rFonts w:cs="Times New Roman"/>
                <w:sz w:val="20"/>
                <w:szCs w:val="20"/>
              </w:rPr>
              <w:t>edical comorbidit</w:t>
            </w:r>
            <w:r>
              <w:rPr>
                <w:rFonts w:cs="Times New Roman"/>
                <w:sz w:val="20"/>
                <w:szCs w:val="20"/>
              </w:rPr>
              <w:t>ies</w:t>
            </w:r>
            <w:r w:rsidRPr="009F3D22">
              <w:rPr>
                <w:rFonts w:cs="Times New Roman"/>
                <w:sz w:val="20"/>
                <w:szCs w:val="20"/>
              </w:rPr>
              <w:t xml:space="preserve"> only vs. none</w:t>
            </w:r>
          </w:p>
        </w:tc>
        <w:tc>
          <w:tcPr>
            <w:tcW w:w="2025" w:type="dxa"/>
            <w:tcBorders>
              <w:top w:val="nil"/>
              <w:left w:val="nil"/>
              <w:bottom w:val="nil"/>
              <w:right w:val="nil"/>
            </w:tcBorders>
          </w:tcPr>
          <w:p w14:paraId="2E29837C"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0.86 (0.85, 0.88)</w:t>
            </w:r>
          </w:p>
        </w:tc>
        <w:tc>
          <w:tcPr>
            <w:tcW w:w="2025" w:type="dxa"/>
            <w:tcBorders>
              <w:top w:val="nil"/>
              <w:left w:val="nil"/>
              <w:bottom w:val="nil"/>
              <w:right w:val="nil"/>
            </w:tcBorders>
          </w:tcPr>
          <w:p w14:paraId="09A5FE9F"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4025D3AE"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0636A3B7"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0.88 (0.86, 0.89)</w:t>
            </w:r>
          </w:p>
        </w:tc>
      </w:tr>
      <w:tr w:rsidR="003D2972" w:rsidRPr="007D1642" w14:paraId="013504ED" w14:textId="77777777" w:rsidTr="001B7103">
        <w:tc>
          <w:tcPr>
            <w:tcW w:w="4860" w:type="dxa"/>
            <w:tcBorders>
              <w:top w:val="nil"/>
              <w:left w:val="nil"/>
              <w:bottom w:val="single" w:sz="4" w:space="0" w:color="auto"/>
              <w:right w:val="nil"/>
            </w:tcBorders>
          </w:tcPr>
          <w:p w14:paraId="402BD73B" w14:textId="2BF7C758" w:rsidR="003D2972" w:rsidRPr="007D1642" w:rsidRDefault="003D2972" w:rsidP="003D2972">
            <w:pPr>
              <w:spacing w:line="240" w:lineRule="auto"/>
              <w:rPr>
                <w:rFonts w:cs="Times New Roman"/>
                <w:sz w:val="20"/>
                <w:szCs w:val="20"/>
              </w:rPr>
            </w:pPr>
            <w:r w:rsidRPr="009F3D22">
              <w:rPr>
                <w:rFonts w:cs="Times New Roman"/>
                <w:sz w:val="20"/>
                <w:szCs w:val="20"/>
              </w:rPr>
              <w:t xml:space="preserve">  </w:t>
            </w:r>
            <w:r>
              <w:rPr>
                <w:rFonts w:cs="Times New Roman"/>
                <w:sz w:val="20"/>
                <w:szCs w:val="20"/>
              </w:rPr>
              <w:t>M</w:t>
            </w:r>
            <w:r w:rsidRPr="009F3D22">
              <w:rPr>
                <w:rFonts w:cs="Times New Roman"/>
                <w:sz w:val="20"/>
                <w:szCs w:val="20"/>
              </w:rPr>
              <w:t xml:space="preserve">ental </w:t>
            </w:r>
            <w:r>
              <w:rPr>
                <w:rFonts w:cs="Times New Roman"/>
                <w:sz w:val="20"/>
                <w:szCs w:val="20"/>
              </w:rPr>
              <w:t xml:space="preserve">health </w:t>
            </w:r>
            <w:r w:rsidRPr="009F3D22">
              <w:rPr>
                <w:rFonts w:cs="Times New Roman"/>
                <w:sz w:val="20"/>
                <w:szCs w:val="20"/>
              </w:rPr>
              <w:t>comorbidit</w:t>
            </w:r>
            <w:r>
              <w:rPr>
                <w:rFonts w:cs="Times New Roman"/>
                <w:sz w:val="20"/>
                <w:szCs w:val="20"/>
              </w:rPr>
              <w:t>ies</w:t>
            </w:r>
            <w:r w:rsidRPr="009F3D22">
              <w:rPr>
                <w:rFonts w:cs="Times New Roman"/>
                <w:sz w:val="20"/>
                <w:szCs w:val="20"/>
              </w:rPr>
              <w:t xml:space="preserve"> only vs. none</w:t>
            </w:r>
          </w:p>
        </w:tc>
        <w:tc>
          <w:tcPr>
            <w:tcW w:w="2025" w:type="dxa"/>
            <w:tcBorders>
              <w:top w:val="nil"/>
              <w:left w:val="nil"/>
              <w:bottom w:val="single" w:sz="4" w:space="0" w:color="auto"/>
              <w:right w:val="nil"/>
            </w:tcBorders>
          </w:tcPr>
          <w:p w14:paraId="6CECC261"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0.92 (0.90, 0.94)</w:t>
            </w:r>
          </w:p>
        </w:tc>
        <w:tc>
          <w:tcPr>
            <w:tcW w:w="2025" w:type="dxa"/>
            <w:tcBorders>
              <w:top w:val="nil"/>
              <w:left w:val="nil"/>
              <w:bottom w:val="single" w:sz="4" w:space="0" w:color="auto"/>
              <w:right w:val="nil"/>
            </w:tcBorders>
          </w:tcPr>
          <w:p w14:paraId="51E9FC2C"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single" w:sz="4" w:space="0" w:color="auto"/>
              <w:right w:val="nil"/>
            </w:tcBorders>
          </w:tcPr>
          <w:p w14:paraId="187C046B"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single" w:sz="4" w:space="0" w:color="auto"/>
              <w:right w:val="nil"/>
            </w:tcBorders>
          </w:tcPr>
          <w:p w14:paraId="68C24DF1"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0.95 (0.93, 0.97)</w:t>
            </w:r>
          </w:p>
        </w:tc>
      </w:tr>
      <w:tr w:rsidR="007D1642" w:rsidRPr="007D1642" w14:paraId="16155B5C" w14:textId="77777777" w:rsidTr="001B7103">
        <w:tc>
          <w:tcPr>
            <w:tcW w:w="4860" w:type="dxa"/>
            <w:tcBorders>
              <w:top w:val="single" w:sz="4" w:space="0" w:color="auto"/>
              <w:left w:val="nil"/>
              <w:bottom w:val="nil"/>
              <w:right w:val="nil"/>
            </w:tcBorders>
          </w:tcPr>
          <w:p w14:paraId="6A0A9A90" w14:textId="77777777" w:rsidR="007D1642" w:rsidRPr="007D1642" w:rsidRDefault="007D1642" w:rsidP="007D1642">
            <w:pPr>
              <w:spacing w:line="240" w:lineRule="auto"/>
              <w:rPr>
                <w:rFonts w:cs="Times New Roman"/>
                <w:b/>
                <w:bCs/>
                <w:sz w:val="20"/>
                <w:szCs w:val="20"/>
              </w:rPr>
            </w:pPr>
            <w:r w:rsidRPr="007D1642">
              <w:rPr>
                <w:rFonts w:cs="Times New Roman"/>
                <w:b/>
                <w:bCs/>
                <w:sz w:val="20"/>
                <w:szCs w:val="20"/>
              </w:rPr>
              <w:t>Covariates</w:t>
            </w:r>
          </w:p>
        </w:tc>
        <w:tc>
          <w:tcPr>
            <w:tcW w:w="2025" w:type="dxa"/>
            <w:tcBorders>
              <w:top w:val="single" w:sz="4" w:space="0" w:color="auto"/>
              <w:left w:val="nil"/>
              <w:bottom w:val="nil"/>
              <w:right w:val="nil"/>
            </w:tcBorders>
          </w:tcPr>
          <w:p w14:paraId="33D8756F" w14:textId="77777777" w:rsidR="007D1642" w:rsidRPr="007D1642" w:rsidRDefault="007D1642" w:rsidP="007D1642">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121DF094" w14:textId="77777777" w:rsidR="007D1642" w:rsidRPr="007D1642" w:rsidRDefault="007D1642" w:rsidP="007D1642">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21A31BA9" w14:textId="77777777" w:rsidR="007D1642" w:rsidRPr="007D1642" w:rsidRDefault="007D1642" w:rsidP="007D1642">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0968D739" w14:textId="77777777" w:rsidR="007D1642" w:rsidRPr="007D1642" w:rsidRDefault="007D1642" w:rsidP="007D1642">
            <w:pPr>
              <w:spacing w:line="240" w:lineRule="auto"/>
              <w:jc w:val="center"/>
              <w:rPr>
                <w:rFonts w:cs="Times New Roman"/>
                <w:sz w:val="20"/>
                <w:szCs w:val="20"/>
                <w:highlight w:val="yellow"/>
              </w:rPr>
            </w:pPr>
          </w:p>
        </w:tc>
      </w:tr>
      <w:tr w:rsidR="007D1642" w:rsidRPr="007D1642" w14:paraId="6723B250" w14:textId="77777777" w:rsidTr="001B7103">
        <w:tc>
          <w:tcPr>
            <w:tcW w:w="4860" w:type="dxa"/>
            <w:tcBorders>
              <w:top w:val="nil"/>
              <w:left w:val="nil"/>
              <w:bottom w:val="nil"/>
              <w:right w:val="nil"/>
            </w:tcBorders>
          </w:tcPr>
          <w:p w14:paraId="4C5E8DFF" w14:textId="77777777" w:rsidR="007D1642" w:rsidRPr="007D1642" w:rsidRDefault="007D1642" w:rsidP="007D1642">
            <w:pPr>
              <w:spacing w:line="240" w:lineRule="auto"/>
              <w:rPr>
                <w:rFonts w:cs="Times New Roman"/>
                <w:b/>
                <w:bCs/>
                <w:sz w:val="20"/>
                <w:szCs w:val="20"/>
              </w:rPr>
            </w:pPr>
            <w:r w:rsidRPr="007D1642">
              <w:rPr>
                <w:rFonts w:cs="Times New Roman"/>
                <w:sz w:val="20"/>
                <w:szCs w:val="20"/>
              </w:rPr>
              <w:t xml:space="preserve">  Age (per 1-unit increase)</w:t>
            </w:r>
          </w:p>
        </w:tc>
        <w:tc>
          <w:tcPr>
            <w:tcW w:w="2025" w:type="dxa"/>
            <w:tcBorders>
              <w:top w:val="nil"/>
              <w:left w:val="nil"/>
              <w:bottom w:val="nil"/>
              <w:right w:val="nil"/>
            </w:tcBorders>
          </w:tcPr>
          <w:p w14:paraId="627A449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1.00 (0.99, 1.00)</w:t>
            </w:r>
          </w:p>
        </w:tc>
        <w:tc>
          <w:tcPr>
            <w:tcW w:w="2025" w:type="dxa"/>
            <w:tcBorders>
              <w:top w:val="nil"/>
              <w:left w:val="nil"/>
              <w:bottom w:val="nil"/>
              <w:right w:val="nil"/>
            </w:tcBorders>
          </w:tcPr>
          <w:p w14:paraId="07A6C76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1.00 (0.99, 1.00)</w:t>
            </w:r>
          </w:p>
        </w:tc>
        <w:tc>
          <w:tcPr>
            <w:tcW w:w="2025" w:type="dxa"/>
            <w:tcBorders>
              <w:top w:val="nil"/>
              <w:left w:val="nil"/>
              <w:bottom w:val="nil"/>
              <w:right w:val="nil"/>
            </w:tcBorders>
          </w:tcPr>
          <w:p w14:paraId="243C6CC6"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1.00 (0.99, 1.00)</w:t>
            </w:r>
          </w:p>
        </w:tc>
        <w:tc>
          <w:tcPr>
            <w:tcW w:w="2025" w:type="dxa"/>
            <w:tcBorders>
              <w:top w:val="nil"/>
              <w:left w:val="nil"/>
              <w:bottom w:val="nil"/>
              <w:right w:val="nil"/>
            </w:tcBorders>
          </w:tcPr>
          <w:p w14:paraId="3D259DCE" w14:textId="77777777" w:rsidR="007D1642" w:rsidRPr="007D1642" w:rsidRDefault="007D1642" w:rsidP="007D1642">
            <w:pPr>
              <w:spacing w:line="240" w:lineRule="auto"/>
              <w:jc w:val="center"/>
              <w:rPr>
                <w:rFonts w:cs="Times New Roman"/>
                <w:sz w:val="20"/>
                <w:szCs w:val="20"/>
                <w:highlight w:val="yellow"/>
              </w:rPr>
            </w:pPr>
            <w:r w:rsidRPr="007D1642">
              <w:rPr>
                <w:rFonts w:cs="Times New Roman"/>
                <w:sz w:val="20"/>
                <w:szCs w:val="20"/>
              </w:rPr>
              <w:t>1.00 (0.99, 1.00)</w:t>
            </w:r>
          </w:p>
        </w:tc>
      </w:tr>
      <w:tr w:rsidR="007D1642" w:rsidRPr="007D1642" w14:paraId="1BF6E470" w14:textId="77777777" w:rsidTr="001B7103">
        <w:tc>
          <w:tcPr>
            <w:tcW w:w="4860" w:type="dxa"/>
            <w:tcBorders>
              <w:top w:val="nil"/>
              <w:left w:val="nil"/>
              <w:bottom w:val="nil"/>
              <w:right w:val="nil"/>
            </w:tcBorders>
          </w:tcPr>
          <w:p w14:paraId="5B37A68E"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Male vs. female</w:t>
            </w:r>
          </w:p>
        </w:tc>
        <w:tc>
          <w:tcPr>
            <w:tcW w:w="2025" w:type="dxa"/>
            <w:tcBorders>
              <w:top w:val="nil"/>
              <w:left w:val="nil"/>
              <w:bottom w:val="nil"/>
              <w:right w:val="nil"/>
            </w:tcBorders>
          </w:tcPr>
          <w:p w14:paraId="00FD7918"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1.02 (1.00, 1.03)</w:t>
            </w:r>
          </w:p>
        </w:tc>
        <w:tc>
          <w:tcPr>
            <w:tcW w:w="2025" w:type="dxa"/>
            <w:tcBorders>
              <w:top w:val="nil"/>
              <w:left w:val="nil"/>
              <w:bottom w:val="nil"/>
              <w:right w:val="nil"/>
            </w:tcBorders>
          </w:tcPr>
          <w:p w14:paraId="171B499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1.03 (1.01, 1.04)</w:t>
            </w:r>
          </w:p>
        </w:tc>
        <w:tc>
          <w:tcPr>
            <w:tcW w:w="2025" w:type="dxa"/>
            <w:tcBorders>
              <w:top w:val="nil"/>
              <w:left w:val="nil"/>
              <w:bottom w:val="nil"/>
              <w:right w:val="nil"/>
            </w:tcBorders>
          </w:tcPr>
          <w:p w14:paraId="0CE2DE5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1.02 (1.01, 1.04)</w:t>
            </w:r>
          </w:p>
        </w:tc>
        <w:tc>
          <w:tcPr>
            <w:tcW w:w="2025" w:type="dxa"/>
            <w:tcBorders>
              <w:top w:val="nil"/>
              <w:left w:val="nil"/>
              <w:bottom w:val="nil"/>
              <w:right w:val="nil"/>
            </w:tcBorders>
            <w:shd w:val="clear" w:color="auto" w:fill="auto"/>
          </w:tcPr>
          <w:p w14:paraId="76790662"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1.02 (1.01, 1.03)</w:t>
            </w:r>
          </w:p>
        </w:tc>
      </w:tr>
      <w:tr w:rsidR="007D1642" w:rsidRPr="007D1642" w14:paraId="100BA07D" w14:textId="77777777" w:rsidTr="001B7103">
        <w:tc>
          <w:tcPr>
            <w:tcW w:w="4860" w:type="dxa"/>
            <w:tcBorders>
              <w:top w:val="nil"/>
              <w:left w:val="nil"/>
              <w:bottom w:val="nil"/>
              <w:right w:val="nil"/>
            </w:tcBorders>
          </w:tcPr>
          <w:p w14:paraId="69A65E19"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Rural residence vs. urban</w:t>
            </w:r>
          </w:p>
        </w:tc>
        <w:tc>
          <w:tcPr>
            <w:tcW w:w="2025" w:type="dxa"/>
            <w:tcBorders>
              <w:top w:val="nil"/>
              <w:left w:val="nil"/>
              <w:bottom w:val="nil"/>
              <w:right w:val="nil"/>
            </w:tcBorders>
          </w:tcPr>
          <w:p w14:paraId="2E74D4E0"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0.87 (0.85, 0.89)</w:t>
            </w:r>
          </w:p>
        </w:tc>
        <w:tc>
          <w:tcPr>
            <w:tcW w:w="2025" w:type="dxa"/>
            <w:tcBorders>
              <w:top w:val="nil"/>
              <w:left w:val="nil"/>
              <w:bottom w:val="nil"/>
              <w:right w:val="nil"/>
            </w:tcBorders>
          </w:tcPr>
          <w:p w14:paraId="53176F83"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0.87 (0.85, 0.89)</w:t>
            </w:r>
          </w:p>
        </w:tc>
        <w:tc>
          <w:tcPr>
            <w:tcW w:w="2025" w:type="dxa"/>
            <w:tcBorders>
              <w:top w:val="nil"/>
              <w:left w:val="nil"/>
              <w:bottom w:val="nil"/>
              <w:right w:val="nil"/>
            </w:tcBorders>
          </w:tcPr>
          <w:p w14:paraId="451DE223"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0.87 (0.85, 0.89)</w:t>
            </w:r>
          </w:p>
        </w:tc>
        <w:tc>
          <w:tcPr>
            <w:tcW w:w="2025" w:type="dxa"/>
            <w:tcBorders>
              <w:top w:val="nil"/>
              <w:left w:val="nil"/>
              <w:bottom w:val="nil"/>
              <w:right w:val="nil"/>
            </w:tcBorders>
            <w:shd w:val="clear" w:color="auto" w:fill="auto"/>
          </w:tcPr>
          <w:p w14:paraId="2679219F"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0.87 (0.85, 0.89)</w:t>
            </w:r>
          </w:p>
        </w:tc>
      </w:tr>
      <w:tr w:rsidR="007D1642" w:rsidRPr="007D1642" w14:paraId="29A47C82" w14:textId="77777777" w:rsidTr="001B7103">
        <w:tc>
          <w:tcPr>
            <w:tcW w:w="4860" w:type="dxa"/>
            <w:tcBorders>
              <w:top w:val="nil"/>
              <w:left w:val="nil"/>
              <w:bottom w:val="nil"/>
              <w:right w:val="nil"/>
            </w:tcBorders>
          </w:tcPr>
          <w:p w14:paraId="29189914"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Income quintile 1 vs. 5</w:t>
            </w:r>
          </w:p>
        </w:tc>
        <w:tc>
          <w:tcPr>
            <w:tcW w:w="2025" w:type="dxa"/>
            <w:tcBorders>
              <w:top w:val="nil"/>
              <w:left w:val="nil"/>
              <w:bottom w:val="nil"/>
              <w:right w:val="nil"/>
            </w:tcBorders>
          </w:tcPr>
          <w:p w14:paraId="2FB55A8D"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0.88 (0.86, 0.90)</w:t>
            </w:r>
          </w:p>
        </w:tc>
        <w:tc>
          <w:tcPr>
            <w:tcW w:w="2025" w:type="dxa"/>
            <w:tcBorders>
              <w:top w:val="nil"/>
              <w:left w:val="nil"/>
              <w:bottom w:val="nil"/>
              <w:right w:val="nil"/>
            </w:tcBorders>
          </w:tcPr>
          <w:p w14:paraId="5B5F953C"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0.87 (0.85, 0.89)</w:t>
            </w:r>
          </w:p>
        </w:tc>
        <w:tc>
          <w:tcPr>
            <w:tcW w:w="2025" w:type="dxa"/>
            <w:tcBorders>
              <w:top w:val="nil"/>
              <w:left w:val="nil"/>
              <w:bottom w:val="nil"/>
              <w:right w:val="nil"/>
            </w:tcBorders>
          </w:tcPr>
          <w:p w14:paraId="7CECF99B"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0.87 (0.85, 0.89)</w:t>
            </w:r>
          </w:p>
        </w:tc>
        <w:tc>
          <w:tcPr>
            <w:tcW w:w="2025" w:type="dxa"/>
            <w:tcBorders>
              <w:top w:val="nil"/>
              <w:left w:val="nil"/>
              <w:bottom w:val="nil"/>
              <w:right w:val="nil"/>
            </w:tcBorders>
            <w:shd w:val="clear" w:color="auto" w:fill="auto"/>
          </w:tcPr>
          <w:p w14:paraId="2A30B53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0.86 (0.84, 0.88)</w:t>
            </w:r>
          </w:p>
        </w:tc>
      </w:tr>
      <w:tr w:rsidR="007D1642" w:rsidRPr="007D1642" w14:paraId="56541676" w14:textId="77777777" w:rsidTr="001B7103">
        <w:tc>
          <w:tcPr>
            <w:tcW w:w="4860" w:type="dxa"/>
            <w:tcBorders>
              <w:top w:val="nil"/>
              <w:left w:val="nil"/>
              <w:bottom w:val="nil"/>
              <w:right w:val="nil"/>
            </w:tcBorders>
          </w:tcPr>
          <w:p w14:paraId="2649614B"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Income quintile 2 vs. 5</w:t>
            </w:r>
          </w:p>
        </w:tc>
        <w:tc>
          <w:tcPr>
            <w:tcW w:w="2025" w:type="dxa"/>
            <w:tcBorders>
              <w:top w:val="nil"/>
              <w:left w:val="nil"/>
              <w:bottom w:val="nil"/>
              <w:right w:val="nil"/>
            </w:tcBorders>
          </w:tcPr>
          <w:p w14:paraId="68263A7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0.94 (0.92, 0.97)</w:t>
            </w:r>
          </w:p>
        </w:tc>
        <w:tc>
          <w:tcPr>
            <w:tcW w:w="2025" w:type="dxa"/>
            <w:tcBorders>
              <w:top w:val="nil"/>
              <w:left w:val="nil"/>
              <w:bottom w:val="nil"/>
              <w:right w:val="nil"/>
            </w:tcBorders>
          </w:tcPr>
          <w:p w14:paraId="1D9D8DE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0.94 (0.91, 0.96)</w:t>
            </w:r>
          </w:p>
        </w:tc>
        <w:tc>
          <w:tcPr>
            <w:tcW w:w="2025" w:type="dxa"/>
            <w:tcBorders>
              <w:top w:val="nil"/>
              <w:left w:val="nil"/>
              <w:bottom w:val="nil"/>
              <w:right w:val="nil"/>
            </w:tcBorders>
          </w:tcPr>
          <w:p w14:paraId="4059598A"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0.94 (0.92, 0.96)</w:t>
            </w:r>
          </w:p>
        </w:tc>
        <w:tc>
          <w:tcPr>
            <w:tcW w:w="2025" w:type="dxa"/>
            <w:tcBorders>
              <w:top w:val="nil"/>
              <w:left w:val="nil"/>
              <w:bottom w:val="nil"/>
              <w:right w:val="nil"/>
            </w:tcBorders>
            <w:shd w:val="clear" w:color="auto" w:fill="auto"/>
          </w:tcPr>
          <w:p w14:paraId="3ECCEAA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0.93 (0.91, 0.95)</w:t>
            </w:r>
          </w:p>
        </w:tc>
      </w:tr>
      <w:tr w:rsidR="007D1642" w:rsidRPr="007D1642" w14:paraId="41F028F7" w14:textId="77777777" w:rsidTr="001B7103">
        <w:tc>
          <w:tcPr>
            <w:tcW w:w="4860" w:type="dxa"/>
            <w:tcBorders>
              <w:top w:val="nil"/>
              <w:left w:val="nil"/>
              <w:bottom w:val="nil"/>
              <w:right w:val="nil"/>
            </w:tcBorders>
          </w:tcPr>
          <w:p w14:paraId="72EE935E"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Income quintile 3 vs. 5</w:t>
            </w:r>
          </w:p>
        </w:tc>
        <w:tc>
          <w:tcPr>
            <w:tcW w:w="2025" w:type="dxa"/>
            <w:tcBorders>
              <w:top w:val="nil"/>
              <w:left w:val="nil"/>
              <w:bottom w:val="nil"/>
              <w:right w:val="nil"/>
            </w:tcBorders>
          </w:tcPr>
          <w:p w14:paraId="45986992"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0.98 (0.96, 1.00)</w:t>
            </w:r>
          </w:p>
        </w:tc>
        <w:tc>
          <w:tcPr>
            <w:tcW w:w="2025" w:type="dxa"/>
            <w:tcBorders>
              <w:top w:val="nil"/>
              <w:left w:val="nil"/>
              <w:bottom w:val="nil"/>
              <w:right w:val="nil"/>
            </w:tcBorders>
          </w:tcPr>
          <w:p w14:paraId="0316D997"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0.97 (0.95, 0.99)</w:t>
            </w:r>
          </w:p>
        </w:tc>
        <w:tc>
          <w:tcPr>
            <w:tcW w:w="2025" w:type="dxa"/>
            <w:tcBorders>
              <w:top w:val="nil"/>
              <w:left w:val="nil"/>
              <w:bottom w:val="nil"/>
              <w:right w:val="nil"/>
            </w:tcBorders>
          </w:tcPr>
          <w:p w14:paraId="1EA61747"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0.97 (0.95, 0.99)</w:t>
            </w:r>
          </w:p>
        </w:tc>
        <w:tc>
          <w:tcPr>
            <w:tcW w:w="2025" w:type="dxa"/>
            <w:tcBorders>
              <w:top w:val="nil"/>
              <w:left w:val="nil"/>
              <w:bottom w:val="nil"/>
              <w:right w:val="nil"/>
            </w:tcBorders>
            <w:shd w:val="clear" w:color="auto" w:fill="auto"/>
          </w:tcPr>
          <w:p w14:paraId="64D7B2B8"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0.97 (0.95, 0.99)</w:t>
            </w:r>
          </w:p>
        </w:tc>
      </w:tr>
      <w:tr w:rsidR="007D1642" w:rsidRPr="007D1642" w14:paraId="3B65952C" w14:textId="77777777" w:rsidTr="001B7103">
        <w:tc>
          <w:tcPr>
            <w:tcW w:w="4860" w:type="dxa"/>
            <w:tcBorders>
              <w:top w:val="nil"/>
              <w:left w:val="nil"/>
              <w:bottom w:val="nil"/>
              <w:right w:val="nil"/>
            </w:tcBorders>
          </w:tcPr>
          <w:p w14:paraId="356069B1"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Income quintile 4 vs. 5</w:t>
            </w:r>
          </w:p>
        </w:tc>
        <w:tc>
          <w:tcPr>
            <w:tcW w:w="2025" w:type="dxa"/>
            <w:tcBorders>
              <w:top w:val="nil"/>
              <w:left w:val="nil"/>
              <w:bottom w:val="nil"/>
              <w:right w:val="nil"/>
            </w:tcBorders>
          </w:tcPr>
          <w:p w14:paraId="4EC37C9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1.00 (0.97, 1.02)</w:t>
            </w:r>
          </w:p>
        </w:tc>
        <w:tc>
          <w:tcPr>
            <w:tcW w:w="2025" w:type="dxa"/>
            <w:tcBorders>
              <w:top w:val="nil"/>
              <w:left w:val="nil"/>
              <w:bottom w:val="nil"/>
              <w:right w:val="nil"/>
            </w:tcBorders>
          </w:tcPr>
          <w:p w14:paraId="3C8FD67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0.99 (0.97, 1.02)</w:t>
            </w:r>
          </w:p>
        </w:tc>
        <w:tc>
          <w:tcPr>
            <w:tcW w:w="2025" w:type="dxa"/>
            <w:tcBorders>
              <w:top w:val="nil"/>
              <w:left w:val="nil"/>
              <w:bottom w:val="nil"/>
              <w:right w:val="nil"/>
            </w:tcBorders>
          </w:tcPr>
          <w:p w14:paraId="7524829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0.99 (0.97, 1.02)</w:t>
            </w:r>
          </w:p>
        </w:tc>
        <w:tc>
          <w:tcPr>
            <w:tcW w:w="2025" w:type="dxa"/>
            <w:tcBorders>
              <w:top w:val="nil"/>
              <w:left w:val="nil"/>
              <w:bottom w:val="nil"/>
              <w:right w:val="nil"/>
            </w:tcBorders>
            <w:shd w:val="clear" w:color="auto" w:fill="auto"/>
          </w:tcPr>
          <w:p w14:paraId="14B33E31"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0.99 (0.97, 1.02)</w:t>
            </w:r>
          </w:p>
        </w:tc>
      </w:tr>
      <w:tr w:rsidR="007D1642" w:rsidRPr="007D1642" w14:paraId="0CE1F037" w14:textId="77777777" w:rsidTr="001B7103">
        <w:tc>
          <w:tcPr>
            <w:tcW w:w="4860" w:type="dxa"/>
            <w:tcBorders>
              <w:top w:val="nil"/>
              <w:left w:val="nil"/>
              <w:bottom w:val="nil"/>
              <w:right w:val="nil"/>
            </w:tcBorders>
          </w:tcPr>
          <w:p w14:paraId="43189BBD"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Rostered to a PCP</w:t>
            </w:r>
          </w:p>
        </w:tc>
        <w:tc>
          <w:tcPr>
            <w:tcW w:w="2025" w:type="dxa"/>
            <w:tcBorders>
              <w:top w:val="nil"/>
              <w:left w:val="nil"/>
              <w:bottom w:val="nil"/>
              <w:right w:val="nil"/>
            </w:tcBorders>
          </w:tcPr>
          <w:p w14:paraId="221B8AF0"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1.09 (1.04, 1.14)</w:t>
            </w:r>
          </w:p>
        </w:tc>
        <w:tc>
          <w:tcPr>
            <w:tcW w:w="2025" w:type="dxa"/>
            <w:tcBorders>
              <w:top w:val="nil"/>
              <w:left w:val="nil"/>
              <w:bottom w:val="nil"/>
              <w:right w:val="nil"/>
            </w:tcBorders>
          </w:tcPr>
          <w:p w14:paraId="15ADD489"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1.14 (1.09, 1.20)</w:t>
            </w:r>
          </w:p>
        </w:tc>
        <w:tc>
          <w:tcPr>
            <w:tcW w:w="2025" w:type="dxa"/>
            <w:tcBorders>
              <w:top w:val="nil"/>
              <w:left w:val="nil"/>
              <w:bottom w:val="nil"/>
              <w:right w:val="nil"/>
            </w:tcBorders>
          </w:tcPr>
          <w:p w14:paraId="48BF39D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1.14 (1.09, 1.20)</w:t>
            </w:r>
          </w:p>
        </w:tc>
        <w:tc>
          <w:tcPr>
            <w:tcW w:w="2025" w:type="dxa"/>
            <w:tcBorders>
              <w:top w:val="nil"/>
              <w:left w:val="nil"/>
              <w:bottom w:val="nil"/>
              <w:right w:val="nil"/>
            </w:tcBorders>
            <w:shd w:val="clear" w:color="auto" w:fill="auto"/>
          </w:tcPr>
          <w:p w14:paraId="6B1B2EDE"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1.14 (1.09, 1.20)</w:t>
            </w:r>
          </w:p>
        </w:tc>
      </w:tr>
      <w:tr w:rsidR="007D1642" w:rsidRPr="007D1642" w14:paraId="17DB5483" w14:textId="77777777" w:rsidTr="001B7103">
        <w:tc>
          <w:tcPr>
            <w:tcW w:w="4860" w:type="dxa"/>
            <w:tcBorders>
              <w:top w:val="nil"/>
              <w:left w:val="nil"/>
              <w:bottom w:val="nil"/>
              <w:right w:val="nil"/>
            </w:tcBorders>
          </w:tcPr>
          <w:p w14:paraId="52C9214E" w14:textId="3FCB1D6E" w:rsidR="007D1642" w:rsidRPr="007D1642" w:rsidRDefault="007D1642" w:rsidP="007D1642">
            <w:pPr>
              <w:spacing w:line="240" w:lineRule="auto"/>
              <w:rPr>
                <w:rFonts w:cs="Times New Roman"/>
                <w:sz w:val="20"/>
                <w:szCs w:val="20"/>
              </w:rPr>
            </w:pPr>
            <w:r w:rsidRPr="007D1642">
              <w:rPr>
                <w:rFonts w:cs="Times New Roman"/>
                <w:sz w:val="20"/>
                <w:szCs w:val="20"/>
              </w:rPr>
              <w:t xml:space="preserve">  History of non-CRC cancer: ≤5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090F9770"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0.93 (0.89, 0.97)</w:t>
            </w:r>
          </w:p>
        </w:tc>
        <w:tc>
          <w:tcPr>
            <w:tcW w:w="2025" w:type="dxa"/>
            <w:tcBorders>
              <w:top w:val="nil"/>
              <w:left w:val="nil"/>
              <w:bottom w:val="nil"/>
              <w:right w:val="nil"/>
            </w:tcBorders>
          </w:tcPr>
          <w:p w14:paraId="36315EF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0.98 (0.94, 1.02)</w:t>
            </w:r>
          </w:p>
        </w:tc>
        <w:tc>
          <w:tcPr>
            <w:tcW w:w="2025" w:type="dxa"/>
            <w:tcBorders>
              <w:top w:val="nil"/>
              <w:left w:val="nil"/>
              <w:bottom w:val="nil"/>
              <w:right w:val="nil"/>
            </w:tcBorders>
          </w:tcPr>
          <w:p w14:paraId="1F14AA7B"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0.98 (0.94, 1.02)</w:t>
            </w:r>
          </w:p>
        </w:tc>
        <w:tc>
          <w:tcPr>
            <w:tcW w:w="2025" w:type="dxa"/>
            <w:tcBorders>
              <w:top w:val="nil"/>
              <w:left w:val="nil"/>
              <w:bottom w:val="nil"/>
              <w:right w:val="nil"/>
            </w:tcBorders>
            <w:shd w:val="clear" w:color="auto" w:fill="auto"/>
          </w:tcPr>
          <w:p w14:paraId="76DD037A"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0.98 (0.94, 1.02)</w:t>
            </w:r>
          </w:p>
        </w:tc>
      </w:tr>
      <w:tr w:rsidR="007D1642" w:rsidRPr="007D1642" w14:paraId="798FE5A0" w14:textId="77777777" w:rsidTr="001B7103">
        <w:tc>
          <w:tcPr>
            <w:tcW w:w="4860" w:type="dxa"/>
            <w:tcBorders>
              <w:top w:val="nil"/>
              <w:left w:val="nil"/>
              <w:bottom w:val="nil"/>
              <w:right w:val="nil"/>
            </w:tcBorders>
          </w:tcPr>
          <w:p w14:paraId="5445DC5D" w14:textId="7ECF9F12" w:rsidR="007D1642" w:rsidRPr="007D1642" w:rsidRDefault="007D1642" w:rsidP="007D1642">
            <w:pPr>
              <w:spacing w:line="240" w:lineRule="auto"/>
              <w:rPr>
                <w:rFonts w:cs="Times New Roman"/>
                <w:sz w:val="20"/>
                <w:szCs w:val="20"/>
              </w:rPr>
            </w:pPr>
            <w:r w:rsidRPr="007D1642">
              <w:rPr>
                <w:rFonts w:cs="Times New Roman"/>
                <w:sz w:val="20"/>
                <w:szCs w:val="20"/>
              </w:rPr>
              <w:t xml:space="preserve">  History of non-CRC cancer: 6-10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1723AD2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0.95 (0.90, 1.00)</w:t>
            </w:r>
          </w:p>
        </w:tc>
        <w:tc>
          <w:tcPr>
            <w:tcW w:w="2025" w:type="dxa"/>
            <w:tcBorders>
              <w:top w:val="nil"/>
              <w:left w:val="nil"/>
              <w:bottom w:val="nil"/>
              <w:right w:val="nil"/>
            </w:tcBorders>
          </w:tcPr>
          <w:p w14:paraId="4EB6BB6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0.99 (0.94, 1.05)</w:t>
            </w:r>
          </w:p>
        </w:tc>
        <w:tc>
          <w:tcPr>
            <w:tcW w:w="2025" w:type="dxa"/>
            <w:tcBorders>
              <w:top w:val="nil"/>
              <w:left w:val="nil"/>
              <w:bottom w:val="nil"/>
              <w:right w:val="nil"/>
            </w:tcBorders>
          </w:tcPr>
          <w:p w14:paraId="534089D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0.99 (0.94, 1.04)</w:t>
            </w:r>
          </w:p>
        </w:tc>
        <w:tc>
          <w:tcPr>
            <w:tcW w:w="2025" w:type="dxa"/>
            <w:tcBorders>
              <w:top w:val="nil"/>
              <w:left w:val="nil"/>
              <w:bottom w:val="nil"/>
              <w:right w:val="nil"/>
            </w:tcBorders>
            <w:shd w:val="clear" w:color="auto" w:fill="auto"/>
          </w:tcPr>
          <w:p w14:paraId="6DF560C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0.99 (0.94, 1.04)</w:t>
            </w:r>
          </w:p>
        </w:tc>
      </w:tr>
      <w:tr w:rsidR="007D1642" w:rsidRPr="007D1642" w14:paraId="1D02709B" w14:textId="77777777" w:rsidTr="001B7103">
        <w:tc>
          <w:tcPr>
            <w:tcW w:w="4860" w:type="dxa"/>
            <w:tcBorders>
              <w:top w:val="nil"/>
              <w:left w:val="nil"/>
              <w:bottom w:val="nil"/>
              <w:right w:val="nil"/>
            </w:tcBorders>
          </w:tcPr>
          <w:p w14:paraId="206911DB" w14:textId="7E166E8B" w:rsidR="007D1642" w:rsidRPr="007D1642" w:rsidRDefault="007D1642" w:rsidP="007D1642">
            <w:pPr>
              <w:spacing w:line="240" w:lineRule="auto"/>
              <w:rPr>
                <w:rFonts w:cs="Times New Roman"/>
                <w:sz w:val="20"/>
                <w:szCs w:val="20"/>
              </w:rPr>
            </w:pPr>
            <w:r w:rsidRPr="007D1642">
              <w:rPr>
                <w:rFonts w:cs="Times New Roman"/>
                <w:sz w:val="20"/>
                <w:szCs w:val="20"/>
              </w:rPr>
              <w:t xml:space="preserve">  Prior colonoscopy: ≤2 vs. &gt;10 years </w:t>
            </w:r>
            <w:r w:rsidR="003D2972">
              <w:rPr>
                <w:rFonts w:cs="Times New Roman"/>
                <w:sz w:val="20"/>
                <w:szCs w:val="20"/>
              </w:rPr>
              <w:t>or none</w:t>
            </w:r>
          </w:p>
        </w:tc>
        <w:tc>
          <w:tcPr>
            <w:tcW w:w="2025" w:type="dxa"/>
            <w:tcBorders>
              <w:top w:val="nil"/>
              <w:left w:val="nil"/>
              <w:bottom w:val="nil"/>
              <w:right w:val="nil"/>
            </w:tcBorders>
          </w:tcPr>
          <w:p w14:paraId="79DEB33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0.40 (0.39, 0.42)</w:t>
            </w:r>
          </w:p>
        </w:tc>
        <w:tc>
          <w:tcPr>
            <w:tcW w:w="2025" w:type="dxa"/>
            <w:tcBorders>
              <w:top w:val="nil"/>
              <w:left w:val="nil"/>
              <w:bottom w:val="nil"/>
              <w:right w:val="nil"/>
            </w:tcBorders>
          </w:tcPr>
          <w:p w14:paraId="6F8ED2DF"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0.43 (0.41, 0.45)</w:t>
            </w:r>
          </w:p>
        </w:tc>
        <w:tc>
          <w:tcPr>
            <w:tcW w:w="2025" w:type="dxa"/>
            <w:tcBorders>
              <w:top w:val="nil"/>
              <w:left w:val="nil"/>
              <w:bottom w:val="nil"/>
              <w:right w:val="nil"/>
            </w:tcBorders>
          </w:tcPr>
          <w:p w14:paraId="553C9957"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0.43 (0.41, 0.45)</w:t>
            </w:r>
          </w:p>
        </w:tc>
        <w:tc>
          <w:tcPr>
            <w:tcW w:w="2025" w:type="dxa"/>
            <w:tcBorders>
              <w:top w:val="nil"/>
              <w:left w:val="nil"/>
              <w:bottom w:val="nil"/>
              <w:right w:val="nil"/>
            </w:tcBorders>
            <w:shd w:val="clear" w:color="auto" w:fill="auto"/>
          </w:tcPr>
          <w:p w14:paraId="10D380D7"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0.43 (0.41, 0.45)</w:t>
            </w:r>
          </w:p>
        </w:tc>
      </w:tr>
      <w:tr w:rsidR="007D1642" w:rsidRPr="007D1642" w14:paraId="13F20133" w14:textId="77777777" w:rsidTr="001B7103">
        <w:tc>
          <w:tcPr>
            <w:tcW w:w="4860" w:type="dxa"/>
            <w:tcBorders>
              <w:top w:val="nil"/>
              <w:left w:val="nil"/>
              <w:bottom w:val="nil"/>
              <w:right w:val="nil"/>
            </w:tcBorders>
          </w:tcPr>
          <w:p w14:paraId="01A69C24" w14:textId="1EC16F7F" w:rsidR="007D1642" w:rsidRPr="007D1642" w:rsidRDefault="007D1642" w:rsidP="007D1642">
            <w:pPr>
              <w:spacing w:line="240" w:lineRule="auto"/>
              <w:rPr>
                <w:rFonts w:cs="Times New Roman"/>
                <w:sz w:val="20"/>
                <w:szCs w:val="20"/>
              </w:rPr>
            </w:pPr>
            <w:r w:rsidRPr="007D1642">
              <w:rPr>
                <w:rFonts w:cs="Times New Roman"/>
                <w:sz w:val="20"/>
                <w:szCs w:val="20"/>
              </w:rPr>
              <w:t xml:space="preserve">  Prior colonoscopy: 3-5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6FC0BC8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0.80 (0.78, 0.82)</w:t>
            </w:r>
          </w:p>
        </w:tc>
        <w:tc>
          <w:tcPr>
            <w:tcW w:w="2025" w:type="dxa"/>
            <w:tcBorders>
              <w:top w:val="nil"/>
              <w:left w:val="nil"/>
              <w:bottom w:val="nil"/>
              <w:right w:val="nil"/>
            </w:tcBorders>
          </w:tcPr>
          <w:p w14:paraId="500DBB19"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0.82 (0.80, 0.84)</w:t>
            </w:r>
          </w:p>
        </w:tc>
        <w:tc>
          <w:tcPr>
            <w:tcW w:w="2025" w:type="dxa"/>
            <w:tcBorders>
              <w:top w:val="nil"/>
              <w:left w:val="nil"/>
              <w:bottom w:val="nil"/>
              <w:right w:val="nil"/>
            </w:tcBorders>
          </w:tcPr>
          <w:p w14:paraId="39CF7FA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0.82 (0.80, 0.84)</w:t>
            </w:r>
          </w:p>
        </w:tc>
        <w:tc>
          <w:tcPr>
            <w:tcW w:w="2025" w:type="dxa"/>
            <w:tcBorders>
              <w:top w:val="nil"/>
              <w:left w:val="nil"/>
              <w:bottom w:val="nil"/>
              <w:right w:val="nil"/>
            </w:tcBorders>
            <w:shd w:val="clear" w:color="auto" w:fill="auto"/>
          </w:tcPr>
          <w:p w14:paraId="686208A1"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0.82 (0.80, 0.84)</w:t>
            </w:r>
          </w:p>
        </w:tc>
      </w:tr>
      <w:tr w:rsidR="007D1642" w:rsidRPr="007D1642" w14:paraId="416281F5" w14:textId="77777777" w:rsidTr="001B7103">
        <w:tc>
          <w:tcPr>
            <w:tcW w:w="4860" w:type="dxa"/>
            <w:tcBorders>
              <w:top w:val="nil"/>
              <w:left w:val="nil"/>
              <w:bottom w:val="nil"/>
              <w:right w:val="nil"/>
            </w:tcBorders>
          </w:tcPr>
          <w:p w14:paraId="4624CCE8" w14:textId="760BD77B" w:rsidR="007D1642" w:rsidRPr="007D1642" w:rsidRDefault="007D1642" w:rsidP="007D1642">
            <w:pPr>
              <w:spacing w:line="240" w:lineRule="auto"/>
              <w:rPr>
                <w:rFonts w:cs="Times New Roman"/>
                <w:sz w:val="20"/>
                <w:szCs w:val="20"/>
              </w:rPr>
            </w:pPr>
            <w:r w:rsidRPr="007D1642">
              <w:rPr>
                <w:rFonts w:cs="Times New Roman"/>
                <w:sz w:val="20"/>
                <w:szCs w:val="20"/>
              </w:rPr>
              <w:t xml:space="preserve">  Prior colonoscopy: 6-10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0CD5AFC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1.04 (1.01, 1.06)</w:t>
            </w:r>
          </w:p>
        </w:tc>
        <w:tc>
          <w:tcPr>
            <w:tcW w:w="2025" w:type="dxa"/>
            <w:tcBorders>
              <w:top w:val="nil"/>
              <w:left w:val="nil"/>
              <w:bottom w:val="nil"/>
              <w:right w:val="nil"/>
            </w:tcBorders>
          </w:tcPr>
          <w:p w14:paraId="7CC55AC7"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1.02 (0.99, 1.04)</w:t>
            </w:r>
          </w:p>
        </w:tc>
        <w:tc>
          <w:tcPr>
            <w:tcW w:w="2025" w:type="dxa"/>
            <w:tcBorders>
              <w:top w:val="nil"/>
              <w:left w:val="nil"/>
              <w:bottom w:val="nil"/>
              <w:right w:val="nil"/>
            </w:tcBorders>
          </w:tcPr>
          <w:p w14:paraId="3A387D4E"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1.02 (0.99, 1.04)</w:t>
            </w:r>
          </w:p>
        </w:tc>
        <w:tc>
          <w:tcPr>
            <w:tcW w:w="2025" w:type="dxa"/>
            <w:tcBorders>
              <w:top w:val="nil"/>
              <w:left w:val="nil"/>
              <w:bottom w:val="nil"/>
              <w:right w:val="nil"/>
            </w:tcBorders>
            <w:shd w:val="clear" w:color="auto" w:fill="auto"/>
          </w:tcPr>
          <w:p w14:paraId="242BDA4D"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1.02 (0.99, 1.04)</w:t>
            </w:r>
          </w:p>
        </w:tc>
      </w:tr>
      <w:tr w:rsidR="007D1642" w:rsidRPr="007D1642" w14:paraId="54C78071" w14:textId="77777777" w:rsidTr="001B7103">
        <w:tc>
          <w:tcPr>
            <w:tcW w:w="4860" w:type="dxa"/>
            <w:tcBorders>
              <w:top w:val="nil"/>
              <w:left w:val="nil"/>
              <w:bottom w:val="single" w:sz="4" w:space="0" w:color="auto"/>
              <w:right w:val="nil"/>
            </w:tcBorders>
          </w:tcPr>
          <w:p w14:paraId="7B206081"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Index year (year of positive FOBT, per 1-unit increase)</w:t>
            </w:r>
          </w:p>
        </w:tc>
        <w:tc>
          <w:tcPr>
            <w:tcW w:w="2025" w:type="dxa"/>
            <w:tcBorders>
              <w:top w:val="nil"/>
              <w:left w:val="nil"/>
              <w:bottom w:val="single" w:sz="4" w:space="0" w:color="auto"/>
              <w:right w:val="nil"/>
            </w:tcBorders>
          </w:tcPr>
          <w:p w14:paraId="2423202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1.07 (1.07, 1.08)</w:t>
            </w:r>
          </w:p>
        </w:tc>
        <w:tc>
          <w:tcPr>
            <w:tcW w:w="2025" w:type="dxa"/>
            <w:tcBorders>
              <w:top w:val="nil"/>
              <w:left w:val="nil"/>
              <w:bottom w:val="single" w:sz="4" w:space="0" w:color="auto"/>
              <w:right w:val="nil"/>
            </w:tcBorders>
          </w:tcPr>
          <w:p w14:paraId="7295A2ED"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1.07 (1.06, 1.07)</w:t>
            </w:r>
          </w:p>
        </w:tc>
        <w:tc>
          <w:tcPr>
            <w:tcW w:w="2025" w:type="dxa"/>
            <w:tcBorders>
              <w:top w:val="nil"/>
              <w:left w:val="nil"/>
              <w:bottom w:val="single" w:sz="4" w:space="0" w:color="auto"/>
              <w:right w:val="nil"/>
            </w:tcBorders>
          </w:tcPr>
          <w:p w14:paraId="71985CB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1.07 (1.06, 1.07)</w:t>
            </w:r>
          </w:p>
        </w:tc>
        <w:tc>
          <w:tcPr>
            <w:tcW w:w="2025" w:type="dxa"/>
            <w:tcBorders>
              <w:top w:val="nil"/>
              <w:left w:val="nil"/>
              <w:bottom w:val="single" w:sz="4" w:space="0" w:color="auto"/>
              <w:right w:val="nil"/>
            </w:tcBorders>
            <w:shd w:val="clear" w:color="auto" w:fill="auto"/>
          </w:tcPr>
          <w:p w14:paraId="7D2A2482"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1.07 (1.06, 1.07)</w:t>
            </w:r>
          </w:p>
        </w:tc>
      </w:tr>
    </w:tbl>
    <w:p w14:paraId="1DA132F7" w14:textId="77777777" w:rsidR="007D1642" w:rsidRDefault="007D1642" w:rsidP="007D1642">
      <w:pPr>
        <w:spacing w:line="240" w:lineRule="auto"/>
        <w:rPr>
          <w:rFonts w:cs="Times New Roman"/>
          <w:szCs w:val="24"/>
          <w:vertAlign w:val="superscript"/>
        </w:rPr>
      </w:pPr>
    </w:p>
    <w:p w14:paraId="032A6FCE" w14:textId="3FC25770" w:rsidR="007D1642" w:rsidRPr="000A25D2" w:rsidRDefault="007D1642" w:rsidP="007D1642">
      <w:pPr>
        <w:spacing w:line="240" w:lineRule="auto"/>
        <w:rPr>
          <w:rFonts w:cs="Times New Roman"/>
          <w:szCs w:val="24"/>
        </w:rPr>
      </w:pPr>
      <w:r w:rsidRPr="000A25D2">
        <w:rPr>
          <w:rFonts w:cs="Times New Roman"/>
          <w:szCs w:val="24"/>
          <w:vertAlign w:val="superscript"/>
        </w:rPr>
        <w:lastRenderedPageBreak/>
        <w:t>a</w:t>
      </w:r>
      <w:r w:rsidRPr="000A25D2">
        <w:rPr>
          <w:rFonts w:cs="Times New Roman"/>
          <w:szCs w:val="24"/>
        </w:rPr>
        <w:t xml:space="preserve"> Includes diabetes, ESRD, COPD, CHF, and CVD</w:t>
      </w:r>
    </w:p>
    <w:p w14:paraId="0E0FD654" w14:textId="37509FA3" w:rsidR="007D1642" w:rsidRPr="000A25D2" w:rsidRDefault="007D1642" w:rsidP="007D1642">
      <w:pPr>
        <w:spacing w:line="240" w:lineRule="auto"/>
        <w:rPr>
          <w:rFonts w:cs="Times New Roman"/>
        </w:rPr>
      </w:pPr>
      <w:r w:rsidRPr="000A25D2">
        <w:rPr>
          <w:rFonts w:cs="Times New Roman"/>
          <w:szCs w:val="24"/>
        </w:rPr>
        <w:t xml:space="preserve">Abbreviations: hazard ratio, HR; confidence interval, CI; end-stage renal disease, ESRD; cardiovascular disease, CVD; chronic obstructive pulmonary disease, COPD; colorectal cancer, CRC; congestive heart failure, CHF; primary care </w:t>
      </w:r>
      <w:r w:rsidR="00046555">
        <w:rPr>
          <w:rFonts w:cs="Times New Roman"/>
          <w:szCs w:val="24"/>
        </w:rPr>
        <w:t>provider</w:t>
      </w:r>
      <w:r w:rsidRPr="000A25D2">
        <w:rPr>
          <w:rFonts w:cs="Times New Roman"/>
          <w:szCs w:val="24"/>
        </w:rPr>
        <w:t>, PCP</w:t>
      </w:r>
    </w:p>
    <w:p w14:paraId="5DB89A36" w14:textId="7AEF64BD" w:rsidR="007D1642" w:rsidRDefault="007D1642" w:rsidP="001A0354">
      <w:pPr>
        <w:spacing w:line="480" w:lineRule="auto"/>
        <w:rPr>
          <w:rFonts w:cs="Times New Roman"/>
          <w:szCs w:val="24"/>
          <w:highlight w:val="yellow"/>
          <w:lang w:val="en-GB"/>
        </w:rPr>
      </w:pPr>
    </w:p>
    <w:p w14:paraId="4CF8ACA2" w14:textId="376ADDD5" w:rsidR="007D1642" w:rsidRDefault="007D1642" w:rsidP="001A0354">
      <w:pPr>
        <w:spacing w:line="480" w:lineRule="auto"/>
        <w:rPr>
          <w:rFonts w:cs="Times New Roman"/>
          <w:szCs w:val="24"/>
          <w:highlight w:val="yellow"/>
          <w:lang w:val="en-GB"/>
        </w:rPr>
      </w:pPr>
    </w:p>
    <w:p w14:paraId="19CD066E" w14:textId="697C5977" w:rsidR="007D1642" w:rsidRDefault="007D1642" w:rsidP="001A0354">
      <w:pPr>
        <w:spacing w:line="480" w:lineRule="auto"/>
        <w:rPr>
          <w:rFonts w:cs="Times New Roman"/>
          <w:szCs w:val="24"/>
          <w:highlight w:val="yellow"/>
          <w:lang w:val="en-GB"/>
        </w:rPr>
      </w:pPr>
    </w:p>
    <w:p w14:paraId="62810A36" w14:textId="0B71AD9C" w:rsidR="007D1642" w:rsidRDefault="007D1642" w:rsidP="001A0354">
      <w:pPr>
        <w:spacing w:line="480" w:lineRule="auto"/>
        <w:rPr>
          <w:rFonts w:cs="Times New Roman"/>
          <w:szCs w:val="24"/>
          <w:highlight w:val="yellow"/>
          <w:lang w:val="en-GB"/>
        </w:rPr>
      </w:pPr>
    </w:p>
    <w:p w14:paraId="231DF40B" w14:textId="4F281094" w:rsidR="007D1642" w:rsidRDefault="007D1642" w:rsidP="001A0354">
      <w:pPr>
        <w:spacing w:line="480" w:lineRule="auto"/>
        <w:rPr>
          <w:rFonts w:cs="Times New Roman"/>
          <w:szCs w:val="24"/>
          <w:highlight w:val="yellow"/>
          <w:lang w:val="en-GB"/>
        </w:rPr>
      </w:pPr>
    </w:p>
    <w:p w14:paraId="4F10DBA6" w14:textId="54C75FFF" w:rsidR="007D1642" w:rsidRDefault="007D1642" w:rsidP="001A0354">
      <w:pPr>
        <w:spacing w:line="480" w:lineRule="auto"/>
        <w:rPr>
          <w:rFonts w:cs="Times New Roman"/>
          <w:szCs w:val="24"/>
          <w:highlight w:val="yellow"/>
          <w:lang w:val="en-GB"/>
        </w:rPr>
      </w:pPr>
    </w:p>
    <w:p w14:paraId="7FBA9AAA" w14:textId="34CC7494" w:rsidR="007D1642" w:rsidRDefault="007D1642" w:rsidP="001A0354">
      <w:pPr>
        <w:spacing w:line="480" w:lineRule="auto"/>
        <w:rPr>
          <w:rFonts w:cs="Times New Roman"/>
          <w:szCs w:val="24"/>
          <w:highlight w:val="yellow"/>
          <w:lang w:val="en-GB"/>
        </w:rPr>
      </w:pPr>
    </w:p>
    <w:p w14:paraId="22A11F52" w14:textId="1A3B4031" w:rsidR="007D1642" w:rsidRDefault="007D1642" w:rsidP="001A0354">
      <w:pPr>
        <w:spacing w:line="480" w:lineRule="auto"/>
        <w:rPr>
          <w:rFonts w:cs="Times New Roman"/>
          <w:szCs w:val="24"/>
          <w:highlight w:val="yellow"/>
          <w:lang w:val="en-GB"/>
        </w:rPr>
      </w:pPr>
    </w:p>
    <w:p w14:paraId="6E1A6280" w14:textId="0541CC61" w:rsidR="007D1642" w:rsidRDefault="007D1642" w:rsidP="001A0354">
      <w:pPr>
        <w:spacing w:line="480" w:lineRule="auto"/>
        <w:rPr>
          <w:rFonts w:cs="Times New Roman"/>
          <w:szCs w:val="24"/>
          <w:highlight w:val="yellow"/>
          <w:lang w:val="en-GB"/>
        </w:rPr>
      </w:pPr>
    </w:p>
    <w:p w14:paraId="484A4CBA" w14:textId="656E4AD8" w:rsidR="007D1642" w:rsidRDefault="007D1642" w:rsidP="001A0354">
      <w:pPr>
        <w:spacing w:line="480" w:lineRule="auto"/>
        <w:rPr>
          <w:rFonts w:cs="Times New Roman"/>
          <w:szCs w:val="24"/>
          <w:highlight w:val="yellow"/>
          <w:lang w:val="en-GB"/>
        </w:rPr>
      </w:pPr>
    </w:p>
    <w:p w14:paraId="533A210D" w14:textId="120FE59A" w:rsidR="007D1642" w:rsidRDefault="007D1642" w:rsidP="001A0354">
      <w:pPr>
        <w:spacing w:line="480" w:lineRule="auto"/>
        <w:rPr>
          <w:rFonts w:cs="Times New Roman"/>
          <w:szCs w:val="24"/>
          <w:highlight w:val="yellow"/>
          <w:lang w:val="en-GB"/>
        </w:rPr>
      </w:pPr>
    </w:p>
    <w:p w14:paraId="004FABB7" w14:textId="77777777" w:rsidR="007D1642" w:rsidRPr="00A0643C" w:rsidRDefault="007D1642" w:rsidP="001A0354">
      <w:pPr>
        <w:spacing w:line="480" w:lineRule="auto"/>
        <w:rPr>
          <w:rFonts w:cs="Times New Roman"/>
          <w:szCs w:val="24"/>
          <w:highlight w:val="yellow"/>
          <w:lang w:val="en-GB"/>
        </w:rPr>
      </w:pPr>
    </w:p>
    <w:p w14:paraId="6736DF31" w14:textId="4365B5FF" w:rsidR="00E20E6A" w:rsidRDefault="00E20E6A" w:rsidP="007D1642">
      <w:pPr>
        <w:spacing w:line="480" w:lineRule="auto"/>
        <w:rPr>
          <w:rFonts w:cs="Times New Roman"/>
          <w:b/>
          <w:bCs/>
          <w:szCs w:val="24"/>
          <w:lang w:val="en-GB"/>
        </w:rPr>
      </w:pPr>
    </w:p>
    <w:p w14:paraId="3003C304" w14:textId="77777777" w:rsidR="007C2CDE" w:rsidRDefault="007C2CDE" w:rsidP="007D1642">
      <w:pPr>
        <w:spacing w:line="480" w:lineRule="auto"/>
        <w:rPr>
          <w:rFonts w:cs="Times New Roman"/>
          <w:b/>
          <w:bCs/>
          <w:szCs w:val="24"/>
          <w:lang w:val="en-GB"/>
        </w:rPr>
      </w:pPr>
    </w:p>
    <w:p w14:paraId="6E653BEE" w14:textId="77777777" w:rsidR="00E20E6A" w:rsidRDefault="00E20E6A" w:rsidP="007D1642">
      <w:pPr>
        <w:spacing w:line="480" w:lineRule="auto"/>
        <w:rPr>
          <w:rFonts w:cs="Times New Roman"/>
          <w:b/>
          <w:bCs/>
          <w:szCs w:val="24"/>
          <w:lang w:val="en-GB"/>
        </w:rPr>
      </w:pPr>
    </w:p>
    <w:p w14:paraId="2C02F096" w14:textId="3E70E1AF" w:rsidR="001A0354" w:rsidRDefault="001A0354" w:rsidP="007C2CDE">
      <w:pPr>
        <w:spacing w:line="240" w:lineRule="auto"/>
        <w:rPr>
          <w:rFonts w:cs="Times New Roman"/>
          <w:szCs w:val="24"/>
          <w:lang w:val="en-GB"/>
        </w:rPr>
      </w:pPr>
      <w:r w:rsidRPr="005F7CEE">
        <w:rPr>
          <w:rFonts w:cs="Times New Roman"/>
          <w:b/>
          <w:bCs/>
          <w:szCs w:val="24"/>
          <w:lang w:val="en-GB"/>
        </w:rPr>
        <w:lastRenderedPageBreak/>
        <w:t xml:space="preserve">Supplementary </w:t>
      </w:r>
      <w:r w:rsidR="007C2CDE">
        <w:rPr>
          <w:rFonts w:cs="Times New Roman"/>
          <w:b/>
          <w:bCs/>
          <w:szCs w:val="24"/>
          <w:lang w:val="en-GB"/>
        </w:rPr>
        <w:t>Table 5</w:t>
      </w:r>
      <w:r w:rsidRPr="005F7CEE">
        <w:rPr>
          <w:rFonts w:cs="Times New Roman"/>
          <w:b/>
          <w:bCs/>
          <w:szCs w:val="24"/>
          <w:lang w:val="en-GB"/>
        </w:rPr>
        <w:t>.</w:t>
      </w:r>
      <w:r w:rsidRPr="005F7CEE">
        <w:rPr>
          <w:rFonts w:cs="Times New Roman"/>
          <w:szCs w:val="24"/>
          <w:lang w:val="en-GB"/>
        </w:rPr>
        <w:t xml:space="preserve"> Full cause-specific hazard regression models for the association between comorbidity and first follow-up colonoscopy within </w:t>
      </w:r>
      <w:r>
        <w:rPr>
          <w:rFonts w:cs="Times New Roman"/>
          <w:szCs w:val="24"/>
          <w:lang w:val="en-GB"/>
        </w:rPr>
        <w:t>6</w:t>
      </w:r>
      <w:r w:rsidRPr="005F7CEE">
        <w:rPr>
          <w:rFonts w:cs="Times New Roman"/>
          <w:szCs w:val="24"/>
          <w:lang w:val="en-GB"/>
        </w:rPr>
        <w:t xml:space="preserve"> months of the positive FOBT result</w:t>
      </w:r>
    </w:p>
    <w:p w14:paraId="636B42C3" w14:textId="77777777" w:rsidR="007C2CDE" w:rsidRPr="007D1642" w:rsidRDefault="007C2CDE" w:rsidP="007C2CDE">
      <w:pPr>
        <w:spacing w:line="240" w:lineRule="auto"/>
        <w:rPr>
          <w:rFonts w:cs="Times New Roman"/>
          <w:szCs w:val="24"/>
          <w:highlight w:val="yellow"/>
          <w:lang w:val="en-GB"/>
        </w:rPr>
      </w:pPr>
    </w:p>
    <w:tbl>
      <w:tblPr>
        <w:tblStyle w:val="TableGrid"/>
        <w:tblW w:w="0" w:type="auto"/>
        <w:tblLook w:val="04A0" w:firstRow="1" w:lastRow="0" w:firstColumn="1" w:lastColumn="0" w:noHBand="0" w:noVBand="1"/>
      </w:tblPr>
      <w:tblGrid>
        <w:gridCol w:w="4860"/>
        <w:gridCol w:w="2025"/>
        <w:gridCol w:w="2025"/>
        <w:gridCol w:w="2025"/>
        <w:gridCol w:w="2025"/>
      </w:tblGrid>
      <w:tr w:rsidR="007D1642" w:rsidRPr="007D1642" w14:paraId="6AE126B7" w14:textId="77777777" w:rsidTr="001B7103">
        <w:tc>
          <w:tcPr>
            <w:tcW w:w="4860" w:type="dxa"/>
            <w:tcBorders>
              <w:left w:val="nil"/>
              <w:bottom w:val="single" w:sz="4" w:space="0" w:color="auto"/>
              <w:right w:val="nil"/>
            </w:tcBorders>
            <w:vAlign w:val="center"/>
          </w:tcPr>
          <w:p w14:paraId="0DF8FB99"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Variable</w:t>
            </w:r>
          </w:p>
        </w:tc>
        <w:tc>
          <w:tcPr>
            <w:tcW w:w="2025" w:type="dxa"/>
            <w:tcBorders>
              <w:left w:val="nil"/>
              <w:bottom w:val="single" w:sz="4" w:space="0" w:color="auto"/>
              <w:right w:val="nil"/>
            </w:tcBorders>
            <w:vAlign w:val="center"/>
          </w:tcPr>
          <w:p w14:paraId="23D8D12F"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Unadjusted</w:t>
            </w:r>
          </w:p>
          <w:p w14:paraId="4FDDBF2E"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HR (95% CI)</w:t>
            </w:r>
          </w:p>
        </w:tc>
        <w:tc>
          <w:tcPr>
            <w:tcW w:w="2025" w:type="dxa"/>
            <w:tcBorders>
              <w:left w:val="nil"/>
              <w:bottom w:val="single" w:sz="4" w:space="0" w:color="auto"/>
              <w:right w:val="nil"/>
            </w:tcBorders>
            <w:vAlign w:val="center"/>
          </w:tcPr>
          <w:p w14:paraId="08FC3004" w14:textId="77777777" w:rsidR="007D1642" w:rsidRPr="007D1642" w:rsidRDefault="007D1642" w:rsidP="007D1642">
            <w:pPr>
              <w:spacing w:line="240" w:lineRule="auto"/>
              <w:jc w:val="center"/>
              <w:rPr>
                <w:rFonts w:cs="Times New Roman"/>
                <w:b/>
                <w:bCs/>
                <w:sz w:val="20"/>
                <w:szCs w:val="20"/>
                <w:vertAlign w:val="superscript"/>
              </w:rPr>
            </w:pPr>
            <w:r w:rsidRPr="007D1642">
              <w:rPr>
                <w:rFonts w:cs="Times New Roman"/>
                <w:b/>
                <w:bCs/>
                <w:sz w:val="20"/>
                <w:szCs w:val="20"/>
              </w:rPr>
              <w:t>Adjusted 1</w:t>
            </w:r>
          </w:p>
          <w:p w14:paraId="4DCAB6EF"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HR (95% CI)</w:t>
            </w:r>
          </w:p>
        </w:tc>
        <w:tc>
          <w:tcPr>
            <w:tcW w:w="2025" w:type="dxa"/>
            <w:tcBorders>
              <w:left w:val="nil"/>
              <w:bottom w:val="single" w:sz="4" w:space="0" w:color="auto"/>
              <w:right w:val="nil"/>
            </w:tcBorders>
            <w:vAlign w:val="center"/>
          </w:tcPr>
          <w:p w14:paraId="74D8D27A" w14:textId="77777777" w:rsidR="007D1642" w:rsidRPr="007D1642" w:rsidRDefault="007D1642" w:rsidP="007D1642">
            <w:pPr>
              <w:spacing w:line="240" w:lineRule="auto"/>
              <w:jc w:val="center"/>
              <w:rPr>
                <w:rFonts w:cs="Times New Roman"/>
                <w:b/>
                <w:bCs/>
                <w:sz w:val="20"/>
                <w:szCs w:val="20"/>
                <w:vertAlign w:val="superscript"/>
              </w:rPr>
            </w:pPr>
            <w:r w:rsidRPr="007D1642">
              <w:rPr>
                <w:rFonts w:cs="Times New Roman"/>
                <w:b/>
                <w:bCs/>
                <w:sz w:val="20"/>
                <w:szCs w:val="20"/>
              </w:rPr>
              <w:t>Adjusted 2</w:t>
            </w:r>
          </w:p>
          <w:p w14:paraId="3D0F827D"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HR (95% CI)</w:t>
            </w:r>
          </w:p>
        </w:tc>
        <w:tc>
          <w:tcPr>
            <w:tcW w:w="2025" w:type="dxa"/>
            <w:tcBorders>
              <w:left w:val="nil"/>
              <w:bottom w:val="single" w:sz="4" w:space="0" w:color="auto"/>
              <w:right w:val="nil"/>
            </w:tcBorders>
            <w:vAlign w:val="center"/>
          </w:tcPr>
          <w:p w14:paraId="170DCC1B" w14:textId="77777777" w:rsidR="007D1642" w:rsidRPr="007D1642" w:rsidRDefault="007D1642" w:rsidP="007D1642">
            <w:pPr>
              <w:spacing w:line="240" w:lineRule="auto"/>
              <w:jc w:val="center"/>
              <w:rPr>
                <w:rFonts w:cs="Times New Roman"/>
                <w:b/>
                <w:bCs/>
                <w:sz w:val="20"/>
                <w:szCs w:val="20"/>
                <w:vertAlign w:val="superscript"/>
              </w:rPr>
            </w:pPr>
            <w:r w:rsidRPr="007D1642">
              <w:rPr>
                <w:rFonts w:cs="Times New Roman"/>
                <w:b/>
                <w:bCs/>
                <w:sz w:val="20"/>
                <w:szCs w:val="20"/>
              </w:rPr>
              <w:t>Adjusted 3</w:t>
            </w:r>
          </w:p>
          <w:p w14:paraId="075BE15B" w14:textId="77777777" w:rsidR="007D1642" w:rsidRPr="007D1642" w:rsidRDefault="007D1642" w:rsidP="007D1642">
            <w:pPr>
              <w:spacing w:line="240" w:lineRule="auto"/>
              <w:jc w:val="center"/>
              <w:rPr>
                <w:rFonts w:cs="Times New Roman"/>
                <w:b/>
                <w:bCs/>
                <w:sz w:val="20"/>
                <w:szCs w:val="20"/>
              </w:rPr>
            </w:pPr>
            <w:r w:rsidRPr="007D1642">
              <w:rPr>
                <w:rFonts w:cs="Times New Roman"/>
                <w:b/>
                <w:bCs/>
                <w:sz w:val="20"/>
                <w:szCs w:val="20"/>
              </w:rPr>
              <w:t>HR (95% CI)</w:t>
            </w:r>
          </w:p>
        </w:tc>
      </w:tr>
      <w:tr w:rsidR="007D1642" w:rsidRPr="007D1642" w14:paraId="4C68EAD6" w14:textId="77777777" w:rsidTr="001B7103">
        <w:tc>
          <w:tcPr>
            <w:tcW w:w="4860" w:type="dxa"/>
            <w:tcBorders>
              <w:left w:val="nil"/>
              <w:bottom w:val="nil"/>
              <w:right w:val="nil"/>
            </w:tcBorders>
          </w:tcPr>
          <w:p w14:paraId="5A971F55" w14:textId="77777777" w:rsidR="007D1642" w:rsidRPr="007D1642" w:rsidRDefault="007D1642" w:rsidP="007D1642">
            <w:pPr>
              <w:spacing w:line="240" w:lineRule="auto"/>
              <w:rPr>
                <w:rFonts w:cs="Times New Roman"/>
                <w:sz w:val="20"/>
                <w:szCs w:val="20"/>
              </w:rPr>
            </w:pPr>
            <w:r w:rsidRPr="007D1642">
              <w:rPr>
                <w:rFonts w:cs="Times New Roman"/>
                <w:b/>
                <w:bCs/>
                <w:sz w:val="20"/>
                <w:szCs w:val="20"/>
              </w:rPr>
              <w:t>Individual chronic conditions</w:t>
            </w:r>
          </w:p>
        </w:tc>
        <w:tc>
          <w:tcPr>
            <w:tcW w:w="2025" w:type="dxa"/>
            <w:tcBorders>
              <w:left w:val="nil"/>
              <w:bottom w:val="nil"/>
              <w:right w:val="nil"/>
            </w:tcBorders>
          </w:tcPr>
          <w:p w14:paraId="7299EC99" w14:textId="77777777" w:rsidR="007D1642" w:rsidRPr="007D1642" w:rsidRDefault="007D1642" w:rsidP="007D1642">
            <w:pPr>
              <w:spacing w:line="240" w:lineRule="auto"/>
              <w:jc w:val="center"/>
              <w:rPr>
                <w:rFonts w:cs="Times New Roman"/>
                <w:sz w:val="20"/>
                <w:szCs w:val="20"/>
              </w:rPr>
            </w:pPr>
          </w:p>
        </w:tc>
        <w:tc>
          <w:tcPr>
            <w:tcW w:w="2025" w:type="dxa"/>
            <w:tcBorders>
              <w:left w:val="nil"/>
              <w:bottom w:val="nil"/>
              <w:right w:val="nil"/>
            </w:tcBorders>
          </w:tcPr>
          <w:p w14:paraId="161698EE" w14:textId="77777777" w:rsidR="007D1642" w:rsidRPr="007D1642" w:rsidRDefault="007D1642" w:rsidP="007D1642">
            <w:pPr>
              <w:spacing w:line="240" w:lineRule="auto"/>
              <w:jc w:val="center"/>
              <w:rPr>
                <w:rFonts w:cs="Times New Roman"/>
                <w:sz w:val="20"/>
                <w:szCs w:val="20"/>
              </w:rPr>
            </w:pPr>
          </w:p>
        </w:tc>
        <w:tc>
          <w:tcPr>
            <w:tcW w:w="2025" w:type="dxa"/>
            <w:tcBorders>
              <w:left w:val="nil"/>
              <w:bottom w:val="nil"/>
              <w:right w:val="nil"/>
            </w:tcBorders>
          </w:tcPr>
          <w:p w14:paraId="7BF592F0" w14:textId="77777777" w:rsidR="007D1642" w:rsidRPr="007D1642" w:rsidRDefault="007D1642" w:rsidP="007D1642">
            <w:pPr>
              <w:spacing w:line="240" w:lineRule="auto"/>
              <w:jc w:val="center"/>
              <w:rPr>
                <w:rFonts w:cs="Times New Roman"/>
                <w:sz w:val="20"/>
                <w:szCs w:val="20"/>
              </w:rPr>
            </w:pPr>
          </w:p>
        </w:tc>
        <w:tc>
          <w:tcPr>
            <w:tcW w:w="2025" w:type="dxa"/>
            <w:tcBorders>
              <w:left w:val="nil"/>
              <w:bottom w:val="nil"/>
              <w:right w:val="nil"/>
            </w:tcBorders>
          </w:tcPr>
          <w:p w14:paraId="1712EF09" w14:textId="77777777" w:rsidR="007D1642" w:rsidRPr="007D1642" w:rsidRDefault="007D1642" w:rsidP="007D1642">
            <w:pPr>
              <w:spacing w:line="240" w:lineRule="auto"/>
              <w:jc w:val="center"/>
              <w:rPr>
                <w:rFonts w:cs="Times New Roman"/>
                <w:sz w:val="20"/>
                <w:szCs w:val="20"/>
              </w:rPr>
            </w:pPr>
          </w:p>
        </w:tc>
      </w:tr>
      <w:tr w:rsidR="007D1642" w:rsidRPr="007D1642" w14:paraId="756278F5" w14:textId="77777777" w:rsidTr="001B7103">
        <w:tc>
          <w:tcPr>
            <w:tcW w:w="4860" w:type="dxa"/>
            <w:tcBorders>
              <w:top w:val="nil"/>
              <w:left w:val="nil"/>
              <w:bottom w:val="nil"/>
              <w:right w:val="nil"/>
            </w:tcBorders>
          </w:tcPr>
          <w:p w14:paraId="7005E0EA"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Diabetes (incident) vs. no diabetes</w:t>
            </w:r>
          </w:p>
        </w:tc>
        <w:tc>
          <w:tcPr>
            <w:tcW w:w="2025" w:type="dxa"/>
            <w:tcBorders>
              <w:top w:val="nil"/>
              <w:left w:val="nil"/>
              <w:bottom w:val="nil"/>
              <w:right w:val="nil"/>
            </w:tcBorders>
          </w:tcPr>
          <w:p w14:paraId="2C9274A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0.90 (0.88, 0.93)</w:t>
            </w:r>
          </w:p>
        </w:tc>
        <w:tc>
          <w:tcPr>
            <w:tcW w:w="2025" w:type="dxa"/>
            <w:tcBorders>
              <w:top w:val="nil"/>
              <w:left w:val="nil"/>
              <w:bottom w:val="nil"/>
              <w:right w:val="nil"/>
            </w:tcBorders>
          </w:tcPr>
          <w:p w14:paraId="0992306B"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0.93 (0.90, 0.96)</w:t>
            </w:r>
          </w:p>
        </w:tc>
        <w:tc>
          <w:tcPr>
            <w:tcW w:w="2025" w:type="dxa"/>
            <w:tcBorders>
              <w:top w:val="nil"/>
              <w:left w:val="nil"/>
              <w:bottom w:val="nil"/>
              <w:right w:val="nil"/>
            </w:tcBorders>
          </w:tcPr>
          <w:p w14:paraId="4858351D"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7AFA74D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3EBD23ED" w14:textId="77777777" w:rsidTr="001B7103">
        <w:tc>
          <w:tcPr>
            <w:tcW w:w="4860" w:type="dxa"/>
            <w:tcBorders>
              <w:top w:val="nil"/>
              <w:left w:val="nil"/>
              <w:bottom w:val="nil"/>
              <w:right w:val="nil"/>
            </w:tcBorders>
          </w:tcPr>
          <w:p w14:paraId="5DC74936"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Diabetes (prevalent)</w:t>
            </w:r>
            <w:r w:rsidRPr="007D1642">
              <w:rPr>
                <w:rFonts w:cs="Times New Roman"/>
                <w:sz w:val="20"/>
                <w:szCs w:val="20"/>
                <w:vertAlign w:val="superscript"/>
              </w:rPr>
              <w:t xml:space="preserve"> </w:t>
            </w:r>
            <w:r w:rsidRPr="007D1642">
              <w:rPr>
                <w:rFonts w:cs="Times New Roman"/>
                <w:sz w:val="20"/>
                <w:szCs w:val="20"/>
              </w:rPr>
              <w:t>vs. no diabetes</w:t>
            </w:r>
          </w:p>
        </w:tc>
        <w:tc>
          <w:tcPr>
            <w:tcW w:w="2025" w:type="dxa"/>
            <w:tcBorders>
              <w:top w:val="nil"/>
              <w:left w:val="nil"/>
              <w:bottom w:val="nil"/>
              <w:right w:val="nil"/>
            </w:tcBorders>
          </w:tcPr>
          <w:p w14:paraId="4150805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0.92 (0.91, 0.94)</w:t>
            </w:r>
          </w:p>
        </w:tc>
        <w:tc>
          <w:tcPr>
            <w:tcW w:w="2025" w:type="dxa"/>
            <w:tcBorders>
              <w:top w:val="nil"/>
              <w:left w:val="nil"/>
              <w:bottom w:val="nil"/>
              <w:right w:val="nil"/>
            </w:tcBorders>
          </w:tcPr>
          <w:p w14:paraId="4858A71B"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0.95 (0.94, 0.97)</w:t>
            </w:r>
          </w:p>
        </w:tc>
        <w:tc>
          <w:tcPr>
            <w:tcW w:w="2025" w:type="dxa"/>
            <w:tcBorders>
              <w:top w:val="nil"/>
              <w:left w:val="nil"/>
              <w:bottom w:val="nil"/>
              <w:right w:val="nil"/>
            </w:tcBorders>
          </w:tcPr>
          <w:p w14:paraId="0C0F894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4B134EA6"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395324D7" w14:textId="77777777" w:rsidTr="001B7103">
        <w:tc>
          <w:tcPr>
            <w:tcW w:w="4860" w:type="dxa"/>
            <w:tcBorders>
              <w:top w:val="nil"/>
              <w:left w:val="nil"/>
              <w:bottom w:val="nil"/>
              <w:right w:val="nil"/>
            </w:tcBorders>
          </w:tcPr>
          <w:p w14:paraId="79180AF8"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ESRD vs. no ESRD</w:t>
            </w:r>
          </w:p>
        </w:tc>
        <w:tc>
          <w:tcPr>
            <w:tcW w:w="2025" w:type="dxa"/>
            <w:tcBorders>
              <w:top w:val="nil"/>
              <w:left w:val="nil"/>
              <w:bottom w:val="nil"/>
              <w:right w:val="nil"/>
            </w:tcBorders>
          </w:tcPr>
          <w:p w14:paraId="2A69BE10"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0.48 (0.39, 0.60)</w:t>
            </w:r>
          </w:p>
        </w:tc>
        <w:tc>
          <w:tcPr>
            <w:tcW w:w="2025" w:type="dxa"/>
            <w:tcBorders>
              <w:top w:val="nil"/>
              <w:left w:val="nil"/>
              <w:bottom w:val="nil"/>
              <w:right w:val="nil"/>
            </w:tcBorders>
          </w:tcPr>
          <w:p w14:paraId="35AD29EE"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0.68 (0.59, 0.79)</w:t>
            </w:r>
          </w:p>
        </w:tc>
        <w:tc>
          <w:tcPr>
            <w:tcW w:w="2025" w:type="dxa"/>
            <w:tcBorders>
              <w:top w:val="nil"/>
              <w:left w:val="nil"/>
              <w:bottom w:val="nil"/>
              <w:right w:val="nil"/>
            </w:tcBorders>
          </w:tcPr>
          <w:p w14:paraId="4F2E5931"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40207C73"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5BD3F751" w14:textId="77777777" w:rsidTr="001B7103">
        <w:tc>
          <w:tcPr>
            <w:tcW w:w="4860" w:type="dxa"/>
            <w:tcBorders>
              <w:top w:val="nil"/>
              <w:left w:val="nil"/>
              <w:bottom w:val="nil"/>
              <w:right w:val="nil"/>
            </w:tcBorders>
          </w:tcPr>
          <w:p w14:paraId="45B91682"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COPD vs. no COPD</w:t>
            </w:r>
          </w:p>
        </w:tc>
        <w:tc>
          <w:tcPr>
            <w:tcW w:w="2025" w:type="dxa"/>
            <w:tcBorders>
              <w:top w:val="nil"/>
              <w:left w:val="nil"/>
              <w:bottom w:val="nil"/>
              <w:right w:val="nil"/>
            </w:tcBorders>
          </w:tcPr>
          <w:p w14:paraId="68A1613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0.91 (0.89, 0.92)</w:t>
            </w:r>
          </w:p>
        </w:tc>
        <w:tc>
          <w:tcPr>
            <w:tcW w:w="2025" w:type="dxa"/>
            <w:tcBorders>
              <w:top w:val="nil"/>
              <w:left w:val="nil"/>
              <w:bottom w:val="nil"/>
              <w:right w:val="nil"/>
            </w:tcBorders>
          </w:tcPr>
          <w:p w14:paraId="121BCC68"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0.96 (0.95, 0.98)</w:t>
            </w:r>
          </w:p>
        </w:tc>
        <w:tc>
          <w:tcPr>
            <w:tcW w:w="2025" w:type="dxa"/>
            <w:tcBorders>
              <w:top w:val="nil"/>
              <w:left w:val="nil"/>
              <w:bottom w:val="nil"/>
              <w:right w:val="nil"/>
            </w:tcBorders>
          </w:tcPr>
          <w:p w14:paraId="4F7D7F8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1C935942"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5940D660" w14:textId="77777777" w:rsidTr="001B7103">
        <w:tc>
          <w:tcPr>
            <w:tcW w:w="4860" w:type="dxa"/>
            <w:tcBorders>
              <w:top w:val="nil"/>
              <w:left w:val="nil"/>
              <w:bottom w:val="nil"/>
              <w:right w:val="nil"/>
            </w:tcBorders>
          </w:tcPr>
          <w:p w14:paraId="6DC3BD0F"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CHF vs. no CHF</w:t>
            </w:r>
          </w:p>
        </w:tc>
        <w:tc>
          <w:tcPr>
            <w:tcW w:w="2025" w:type="dxa"/>
            <w:tcBorders>
              <w:top w:val="nil"/>
              <w:left w:val="nil"/>
              <w:bottom w:val="nil"/>
              <w:right w:val="nil"/>
            </w:tcBorders>
          </w:tcPr>
          <w:p w14:paraId="0938D21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0.71 (0.69, 0.73)</w:t>
            </w:r>
          </w:p>
        </w:tc>
        <w:tc>
          <w:tcPr>
            <w:tcW w:w="2025" w:type="dxa"/>
            <w:tcBorders>
              <w:top w:val="nil"/>
              <w:left w:val="nil"/>
              <w:bottom w:val="nil"/>
              <w:right w:val="nil"/>
            </w:tcBorders>
          </w:tcPr>
          <w:p w14:paraId="63E0E76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0.76 (0.74, 0.79)</w:t>
            </w:r>
          </w:p>
        </w:tc>
        <w:tc>
          <w:tcPr>
            <w:tcW w:w="2025" w:type="dxa"/>
            <w:tcBorders>
              <w:top w:val="nil"/>
              <w:left w:val="nil"/>
              <w:bottom w:val="nil"/>
              <w:right w:val="nil"/>
            </w:tcBorders>
          </w:tcPr>
          <w:p w14:paraId="461AC1A6"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0B83C59D"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5E512E6F" w14:textId="77777777" w:rsidTr="001B7103">
        <w:tc>
          <w:tcPr>
            <w:tcW w:w="4860" w:type="dxa"/>
            <w:tcBorders>
              <w:top w:val="nil"/>
              <w:left w:val="nil"/>
              <w:bottom w:val="nil"/>
              <w:right w:val="nil"/>
            </w:tcBorders>
          </w:tcPr>
          <w:p w14:paraId="276CFF83"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CVD vs. no CVD</w:t>
            </w:r>
          </w:p>
        </w:tc>
        <w:tc>
          <w:tcPr>
            <w:tcW w:w="2025" w:type="dxa"/>
            <w:tcBorders>
              <w:top w:val="nil"/>
              <w:left w:val="nil"/>
              <w:bottom w:val="nil"/>
              <w:right w:val="nil"/>
            </w:tcBorders>
          </w:tcPr>
          <w:p w14:paraId="1B9307E1"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0.84 (0.82, 0.86)</w:t>
            </w:r>
          </w:p>
        </w:tc>
        <w:tc>
          <w:tcPr>
            <w:tcW w:w="2025" w:type="dxa"/>
            <w:tcBorders>
              <w:top w:val="nil"/>
              <w:left w:val="nil"/>
              <w:bottom w:val="nil"/>
              <w:right w:val="nil"/>
            </w:tcBorders>
          </w:tcPr>
          <w:p w14:paraId="72A1FA8F"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0.92 (0.90, 0.94)</w:t>
            </w:r>
          </w:p>
        </w:tc>
        <w:tc>
          <w:tcPr>
            <w:tcW w:w="2025" w:type="dxa"/>
            <w:tcBorders>
              <w:top w:val="nil"/>
              <w:left w:val="nil"/>
              <w:bottom w:val="nil"/>
              <w:right w:val="nil"/>
            </w:tcBorders>
          </w:tcPr>
          <w:p w14:paraId="4B16262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2BC276B8"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6DCD891A" w14:textId="77777777" w:rsidTr="001B7103">
        <w:tc>
          <w:tcPr>
            <w:tcW w:w="4860" w:type="dxa"/>
            <w:tcBorders>
              <w:top w:val="nil"/>
              <w:left w:val="nil"/>
              <w:bottom w:val="nil"/>
              <w:right w:val="nil"/>
            </w:tcBorders>
          </w:tcPr>
          <w:p w14:paraId="6B6F3E00"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Serious mental illness vs. no mental illness</w:t>
            </w:r>
          </w:p>
        </w:tc>
        <w:tc>
          <w:tcPr>
            <w:tcW w:w="2025" w:type="dxa"/>
            <w:tcBorders>
              <w:top w:val="nil"/>
              <w:left w:val="nil"/>
              <w:bottom w:val="nil"/>
              <w:right w:val="nil"/>
            </w:tcBorders>
          </w:tcPr>
          <w:p w14:paraId="25AA7280"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0.84 (0.80, 0.87)</w:t>
            </w:r>
          </w:p>
        </w:tc>
        <w:tc>
          <w:tcPr>
            <w:tcW w:w="2025" w:type="dxa"/>
            <w:tcBorders>
              <w:top w:val="nil"/>
              <w:left w:val="nil"/>
              <w:bottom w:val="nil"/>
              <w:right w:val="nil"/>
            </w:tcBorders>
          </w:tcPr>
          <w:p w14:paraId="16F74C94"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0.87 (0.84, 0.90)</w:t>
            </w:r>
          </w:p>
        </w:tc>
        <w:tc>
          <w:tcPr>
            <w:tcW w:w="2025" w:type="dxa"/>
            <w:tcBorders>
              <w:top w:val="nil"/>
              <w:left w:val="nil"/>
              <w:bottom w:val="nil"/>
              <w:right w:val="nil"/>
            </w:tcBorders>
          </w:tcPr>
          <w:p w14:paraId="28418676"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0.87 (0.84, 0.91)</w:t>
            </w:r>
          </w:p>
        </w:tc>
        <w:tc>
          <w:tcPr>
            <w:tcW w:w="2025" w:type="dxa"/>
            <w:tcBorders>
              <w:top w:val="nil"/>
              <w:left w:val="nil"/>
              <w:bottom w:val="nil"/>
              <w:right w:val="nil"/>
            </w:tcBorders>
          </w:tcPr>
          <w:p w14:paraId="74D0154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67F20712" w14:textId="77777777" w:rsidTr="001B7103">
        <w:tc>
          <w:tcPr>
            <w:tcW w:w="4860" w:type="dxa"/>
            <w:tcBorders>
              <w:top w:val="nil"/>
              <w:left w:val="nil"/>
              <w:bottom w:val="nil"/>
              <w:right w:val="nil"/>
            </w:tcBorders>
          </w:tcPr>
          <w:p w14:paraId="0111A6C1"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Common mental illness vs. no mental illness</w:t>
            </w:r>
          </w:p>
        </w:tc>
        <w:tc>
          <w:tcPr>
            <w:tcW w:w="2025" w:type="dxa"/>
            <w:tcBorders>
              <w:top w:val="nil"/>
              <w:left w:val="nil"/>
              <w:bottom w:val="nil"/>
              <w:right w:val="nil"/>
            </w:tcBorders>
          </w:tcPr>
          <w:p w14:paraId="1D36FAC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0.92 (0.91, 0.94)</w:t>
            </w:r>
          </w:p>
        </w:tc>
        <w:tc>
          <w:tcPr>
            <w:tcW w:w="2025" w:type="dxa"/>
            <w:tcBorders>
              <w:top w:val="nil"/>
              <w:left w:val="nil"/>
              <w:bottom w:val="nil"/>
              <w:right w:val="nil"/>
            </w:tcBorders>
          </w:tcPr>
          <w:p w14:paraId="613F74C4"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0.97 (0.96, 0.98)</w:t>
            </w:r>
          </w:p>
        </w:tc>
        <w:tc>
          <w:tcPr>
            <w:tcW w:w="2025" w:type="dxa"/>
            <w:tcBorders>
              <w:top w:val="nil"/>
              <w:left w:val="nil"/>
              <w:bottom w:val="nil"/>
              <w:right w:val="nil"/>
            </w:tcBorders>
          </w:tcPr>
          <w:p w14:paraId="5A6F6BB0"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0.97 (0.96, 0.99)</w:t>
            </w:r>
          </w:p>
        </w:tc>
        <w:tc>
          <w:tcPr>
            <w:tcW w:w="2025" w:type="dxa"/>
            <w:tcBorders>
              <w:top w:val="nil"/>
              <w:left w:val="nil"/>
              <w:bottom w:val="nil"/>
              <w:right w:val="nil"/>
            </w:tcBorders>
          </w:tcPr>
          <w:p w14:paraId="7F83376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3B482730" w14:textId="77777777" w:rsidTr="001B7103">
        <w:tc>
          <w:tcPr>
            <w:tcW w:w="4860" w:type="dxa"/>
            <w:tcBorders>
              <w:top w:val="nil"/>
              <w:left w:val="nil"/>
              <w:bottom w:val="nil"/>
              <w:right w:val="nil"/>
            </w:tcBorders>
          </w:tcPr>
          <w:p w14:paraId="4B06197A" w14:textId="77777777" w:rsidR="007D1642" w:rsidRPr="007D1642" w:rsidRDefault="007D1642" w:rsidP="007D1642">
            <w:pPr>
              <w:spacing w:line="240" w:lineRule="auto"/>
              <w:rPr>
                <w:rFonts w:cs="Times New Roman"/>
                <w:sz w:val="20"/>
                <w:szCs w:val="20"/>
                <w:vertAlign w:val="superscript"/>
              </w:rPr>
            </w:pPr>
            <w:r w:rsidRPr="007D1642">
              <w:rPr>
                <w:rFonts w:cs="Times New Roman"/>
                <w:b/>
                <w:bCs/>
                <w:sz w:val="20"/>
                <w:szCs w:val="20"/>
              </w:rPr>
              <w:t>Number of major medical comorbidities</w:t>
            </w:r>
            <w:r w:rsidRPr="007D1642">
              <w:rPr>
                <w:rFonts w:cs="Times New Roman"/>
                <w:b/>
                <w:bCs/>
                <w:sz w:val="20"/>
                <w:szCs w:val="20"/>
                <w:vertAlign w:val="superscript"/>
              </w:rPr>
              <w:t>a</w:t>
            </w:r>
          </w:p>
        </w:tc>
        <w:tc>
          <w:tcPr>
            <w:tcW w:w="2025" w:type="dxa"/>
            <w:tcBorders>
              <w:top w:val="nil"/>
              <w:left w:val="nil"/>
              <w:bottom w:val="nil"/>
              <w:right w:val="nil"/>
            </w:tcBorders>
          </w:tcPr>
          <w:p w14:paraId="440C324A" w14:textId="77777777" w:rsidR="007D1642" w:rsidRPr="007D1642" w:rsidRDefault="007D1642" w:rsidP="007D1642">
            <w:pPr>
              <w:spacing w:line="240" w:lineRule="auto"/>
              <w:jc w:val="center"/>
              <w:rPr>
                <w:rFonts w:cs="Times New Roman"/>
                <w:sz w:val="20"/>
                <w:szCs w:val="20"/>
                <w:highlight w:val="lightGray"/>
              </w:rPr>
            </w:pPr>
          </w:p>
        </w:tc>
        <w:tc>
          <w:tcPr>
            <w:tcW w:w="2025" w:type="dxa"/>
            <w:tcBorders>
              <w:top w:val="nil"/>
              <w:left w:val="nil"/>
              <w:bottom w:val="nil"/>
              <w:right w:val="nil"/>
            </w:tcBorders>
          </w:tcPr>
          <w:p w14:paraId="22F219FA" w14:textId="77777777" w:rsidR="007D1642" w:rsidRPr="007D1642" w:rsidRDefault="007D1642" w:rsidP="007D1642">
            <w:pPr>
              <w:spacing w:line="240" w:lineRule="auto"/>
              <w:jc w:val="center"/>
              <w:rPr>
                <w:rFonts w:cs="Times New Roman"/>
                <w:sz w:val="20"/>
                <w:szCs w:val="20"/>
              </w:rPr>
            </w:pPr>
          </w:p>
        </w:tc>
        <w:tc>
          <w:tcPr>
            <w:tcW w:w="2025" w:type="dxa"/>
            <w:tcBorders>
              <w:top w:val="nil"/>
              <w:left w:val="nil"/>
              <w:bottom w:val="nil"/>
              <w:right w:val="nil"/>
            </w:tcBorders>
          </w:tcPr>
          <w:p w14:paraId="3CDB3E2C" w14:textId="77777777" w:rsidR="007D1642" w:rsidRPr="007D1642" w:rsidRDefault="007D1642" w:rsidP="007D1642">
            <w:pPr>
              <w:spacing w:line="240" w:lineRule="auto"/>
              <w:jc w:val="center"/>
              <w:rPr>
                <w:rFonts w:cs="Times New Roman"/>
                <w:sz w:val="20"/>
                <w:szCs w:val="20"/>
                <w:highlight w:val="lightGray"/>
              </w:rPr>
            </w:pPr>
          </w:p>
        </w:tc>
        <w:tc>
          <w:tcPr>
            <w:tcW w:w="2025" w:type="dxa"/>
            <w:tcBorders>
              <w:top w:val="nil"/>
              <w:left w:val="nil"/>
              <w:bottom w:val="nil"/>
              <w:right w:val="nil"/>
            </w:tcBorders>
          </w:tcPr>
          <w:p w14:paraId="41ECFA39" w14:textId="77777777" w:rsidR="007D1642" w:rsidRPr="007D1642" w:rsidRDefault="007D1642" w:rsidP="007D1642">
            <w:pPr>
              <w:spacing w:line="240" w:lineRule="auto"/>
              <w:jc w:val="center"/>
              <w:rPr>
                <w:rFonts w:cs="Times New Roman"/>
                <w:sz w:val="20"/>
                <w:szCs w:val="20"/>
              </w:rPr>
            </w:pPr>
          </w:p>
        </w:tc>
      </w:tr>
      <w:tr w:rsidR="007D1642" w:rsidRPr="007D1642" w14:paraId="79503C53" w14:textId="77777777" w:rsidTr="001B7103">
        <w:tc>
          <w:tcPr>
            <w:tcW w:w="4860" w:type="dxa"/>
            <w:tcBorders>
              <w:top w:val="nil"/>
              <w:left w:val="nil"/>
              <w:bottom w:val="nil"/>
              <w:right w:val="nil"/>
            </w:tcBorders>
          </w:tcPr>
          <w:p w14:paraId="5A14250B"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Comorbidity 1 vs. 0</w:t>
            </w:r>
          </w:p>
        </w:tc>
        <w:tc>
          <w:tcPr>
            <w:tcW w:w="2025" w:type="dxa"/>
            <w:tcBorders>
              <w:top w:val="nil"/>
              <w:left w:val="nil"/>
              <w:bottom w:val="nil"/>
              <w:right w:val="nil"/>
            </w:tcBorders>
          </w:tcPr>
          <w:p w14:paraId="51DDF136"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0.94 (0.92, 0.95)</w:t>
            </w:r>
          </w:p>
        </w:tc>
        <w:tc>
          <w:tcPr>
            <w:tcW w:w="2025" w:type="dxa"/>
            <w:tcBorders>
              <w:top w:val="nil"/>
              <w:left w:val="nil"/>
              <w:bottom w:val="nil"/>
              <w:right w:val="nil"/>
            </w:tcBorders>
          </w:tcPr>
          <w:p w14:paraId="4A7B72C4"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7CEEB45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0.95 (0.94, 0.96)</w:t>
            </w:r>
          </w:p>
        </w:tc>
        <w:tc>
          <w:tcPr>
            <w:tcW w:w="2025" w:type="dxa"/>
            <w:tcBorders>
              <w:top w:val="nil"/>
              <w:left w:val="nil"/>
              <w:bottom w:val="nil"/>
              <w:right w:val="nil"/>
            </w:tcBorders>
          </w:tcPr>
          <w:p w14:paraId="6C89B0C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2372CC13" w14:textId="77777777" w:rsidTr="001B7103">
        <w:tc>
          <w:tcPr>
            <w:tcW w:w="4860" w:type="dxa"/>
            <w:tcBorders>
              <w:top w:val="nil"/>
              <w:left w:val="nil"/>
              <w:bottom w:val="nil"/>
              <w:right w:val="nil"/>
            </w:tcBorders>
          </w:tcPr>
          <w:p w14:paraId="1627419A"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Comorbidity 2 vs. 0</w:t>
            </w:r>
          </w:p>
        </w:tc>
        <w:tc>
          <w:tcPr>
            <w:tcW w:w="2025" w:type="dxa"/>
            <w:tcBorders>
              <w:top w:val="nil"/>
              <w:left w:val="nil"/>
              <w:bottom w:val="nil"/>
              <w:right w:val="nil"/>
            </w:tcBorders>
          </w:tcPr>
          <w:p w14:paraId="7B0C77C0"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0.83 (0.82, 0.85)</w:t>
            </w:r>
          </w:p>
        </w:tc>
        <w:tc>
          <w:tcPr>
            <w:tcW w:w="2025" w:type="dxa"/>
            <w:tcBorders>
              <w:top w:val="nil"/>
              <w:left w:val="nil"/>
              <w:bottom w:val="nil"/>
              <w:right w:val="nil"/>
            </w:tcBorders>
          </w:tcPr>
          <w:p w14:paraId="285AF38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443DD976"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0.86 (0.84, 0.87)</w:t>
            </w:r>
          </w:p>
        </w:tc>
        <w:tc>
          <w:tcPr>
            <w:tcW w:w="2025" w:type="dxa"/>
            <w:tcBorders>
              <w:top w:val="nil"/>
              <w:left w:val="nil"/>
              <w:bottom w:val="nil"/>
              <w:right w:val="nil"/>
            </w:tcBorders>
          </w:tcPr>
          <w:p w14:paraId="13CC660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6DED9296" w14:textId="77777777" w:rsidTr="001B7103">
        <w:tc>
          <w:tcPr>
            <w:tcW w:w="4860" w:type="dxa"/>
            <w:tcBorders>
              <w:top w:val="nil"/>
              <w:left w:val="nil"/>
              <w:bottom w:val="nil"/>
              <w:right w:val="nil"/>
            </w:tcBorders>
          </w:tcPr>
          <w:p w14:paraId="060BAADB"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Comorbidity 3 vs. 0</w:t>
            </w:r>
          </w:p>
        </w:tc>
        <w:tc>
          <w:tcPr>
            <w:tcW w:w="2025" w:type="dxa"/>
            <w:tcBorders>
              <w:top w:val="nil"/>
              <w:left w:val="nil"/>
              <w:bottom w:val="nil"/>
              <w:right w:val="nil"/>
            </w:tcBorders>
          </w:tcPr>
          <w:p w14:paraId="08A63EA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0.70 (0.67, 0.74)</w:t>
            </w:r>
          </w:p>
        </w:tc>
        <w:tc>
          <w:tcPr>
            <w:tcW w:w="2025" w:type="dxa"/>
            <w:tcBorders>
              <w:top w:val="nil"/>
              <w:left w:val="nil"/>
              <w:bottom w:val="nil"/>
              <w:right w:val="nil"/>
            </w:tcBorders>
          </w:tcPr>
          <w:p w14:paraId="6CBE046C"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50BCA42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0.74 (0.70, 0.77)</w:t>
            </w:r>
          </w:p>
        </w:tc>
        <w:tc>
          <w:tcPr>
            <w:tcW w:w="2025" w:type="dxa"/>
            <w:tcBorders>
              <w:top w:val="nil"/>
              <w:left w:val="nil"/>
              <w:bottom w:val="nil"/>
              <w:right w:val="nil"/>
            </w:tcBorders>
          </w:tcPr>
          <w:p w14:paraId="6FF39023"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05D58C23" w14:textId="77777777" w:rsidTr="001B7103">
        <w:tc>
          <w:tcPr>
            <w:tcW w:w="4860" w:type="dxa"/>
            <w:tcBorders>
              <w:top w:val="nil"/>
              <w:left w:val="nil"/>
              <w:bottom w:val="nil"/>
              <w:right w:val="nil"/>
            </w:tcBorders>
          </w:tcPr>
          <w:p w14:paraId="4E1D78B5"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Comorbidity ≥4 vs. 0</w:t>
            </w:r>
          </w:p>
        </w:tc>
        <w:tc>
          <w:tcPr>
            <w:tcW w:w="2025" w:type="dxa"/>
            <w:tcBorders>
              <w:top w:val="nil"/>
              <w:left w:val="nil"/>
              <w:bottom w:val="nil"/>
              <w:right w:val="nil"/>
            </w:tcBorders>
          </w:tcPr>
          <w:p w14:paraId="5BAC871A"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0.58 (0.53, 0.63)</w:t>
            </w:r>
          </w:p>
        </w:tc>
        <w:tc>
          <w:tcPr>
            <w:tcW w:w="2025" w:type="dxa"/>
            <w:tcBorders>
              <w:top w:val="nil"/>
              <w:left w:val="nil"/>
              <w:bottom w:val="nil"/>
              <w:right w:val="nil"/>
            </w:tcBorders>
          </w:tcPr>
          <w:p w14:paraId="04C7D800"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01B62C8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0.61 (0.55, 0.67)</w:t>
            </w:r>
          </w:p>
        </w:tc>
        <w:tc>
          <w:tcPr>
            <w:tcW w:w="2025" w:type="dxa"/>
            <w:tcBorders>
              <w:top w:val="nil"/>
              <w:left w:val="nil"/>
              <w:bottom w:val="nil"/>
              <w:right w:val="nil"/>
            </w:tcBorders>
          </w:tcPr>
          <w:p w14:paraId="44D6F72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w:t>
            </w:r>
          </w:p>
        </w:tc>
      </w:tr>
      <w:tr w:rsidR="007D1642" w:rsidRPr="007D1642" w14:paraId="41719957" w14:textId="77777777" w:rsidTr="001B7103">
        <w:tc>
          <w:tcPr>
            <w:tcW w:w="4860" w:type="dxa"/>
            <w:tcBorders>
              <w:top w:val="nil"/>
              <w:left w:val="nil"/>
              <w:bottom w:val="nil"/>
              <w:right w:val="nil"/>
            </w:tcBorders>
          </w:tcPr>
          <w:p w14:paraId="6C6DDED3" w14:textId="77777777" w:rsidR="007D1642" w:rsidRPr="007D1642" w:rsidRDefault="007D1642" w:rsidP="007D1642">
            <w:pPr>
              <w:spacing w:line="240" w:lineRule="auto"/>
              <w:rPr>
                <w:rFonts w:cs="Times New Roman"/>
                <w:sz w:val="20"/>
                <w:szCs w:val="20"/>
              </w:rPr>
            </w:pPr>
            <w:r w:rsidRPr="007D1642">
              <w:rPr>
                <w:rFonts w:cs="Times New Roman"/>
                <w:b/>
                <w:bCs/>
                <w:sz w:val="20"/>
                <w:szCs w:val="20"/>
              </w:rPr>
              <w:t>Mental and medical comorbidity</w:t>
            </w:r>
          </w:p>
        </w:tc>
        <w:tc>
          <w:tcPr>
            <w:tcW w:w="2025" w:type="dxa"/>
            <w:tcBorders>
              <w:top w:val="nil"/>
              <w:left w:val="nil"/>
              <w:bottom w:val="nil"/>
              <w:right w:val="nil"/>
            </w:tcBorders>
          </w:tcPr>
          <w:p w14:paraId="4E0A22C3" w14:textId="77777777" w:rsidR="007D1642" w:rsidRPr="007D1642" w:rsidRDefault="007D1642" w:rsidP="007D1642">
            <w:pPr>
              <w:spacing w:line="240" w:lineRule="auto"/>
              <w:jc w:val="center"/>
              <w:rPr>
                <w:rFonts w:cs="Times New Roman"/>
                <w:sz w:val="20"/>
                <w:szCs w:val="20"/>
                <w:highlight w:val="lightGray"/>
              </w:rPr>
            </w:pPr>
          </w:p>
        </w:tc>
        <w:tc>
          <w:tcPr>
            <w:tcW w:w="2025" w:type="dxa"/>
            <w:tcBorders>
              <w:top w:val="nil"/>
              <w:left w:val="nil"/>
              <w:bottom w:val="nil"/>
              <w:right w:val="nil"/>
            </w:tcBorders>
          </w:tcPr>
          <w:p w14:paraId="75E47212" w14:textId="77777777" w:rsidR="007D1642" w:rsidRPr="007D1642" w:rsidRDefault="007D1642" w:rsidP="007D1642">
            <w:pPr>
              <w:spacing w:line="240" w:lineRule="auto"/>
              <w:jc w:val="center"/>
              <w:rPr>
                <w:rFonts w:cs="Times New Roman"/>
                <w:sz w:val="20"/>
                <w:szCs w:val="20"/>
              </w:rPr>
            </w:pPr>
          </w:p>
        </w:tc>
        <w:tc>
          <w:tcPr>
            <w:tcW w:w="2025" w:type="dxa"/>
            <w:tcBorders>
              <w:top w:val="nil"/>
              <w:left w:val="nil"/>
              <w:bottom w:val="nil"/>
              <w:right w:val="nil"/>
            </w:tcBorders>
          </w:tcPr>
          <w:p w14:paraId="57F91792" w14:textId="77777777" w:rsidR="007D1642" w:rsidRPr="007D1642" w:rsidRDefault="007D1642" w:rsidP="007D1642">
            <w:pPr>
              <w:spacing w:line="240" w:lineRule="auto"/>
              <w:jc w:val="center"/>
              <w:rPr>
                <w:rFonts w:cs="Times New Roman"/>
                <w:sz w:val="20"/>
                <w:szCs w:val="20"/>
              </w:rPr>
            </w:pPr>
          </w:p>
        </w:tc>
        <w:tc>
          <w:tcPr>
            <w:tcW w:w="2025" w:type="dxa"/>
            <w:tcBorders>
              <w:top w:val="nil"/>
              <w:left w:val="nil"/>
              <w:bottom w:val="nil"/>
              <w:right w:val="nil"/>
            </w:tcBorders>
          </w:tcPr>
          <w:p w14:paraId="0A0A1FC6" w14:textId="77777777" w:rsidR="007D1642" w:rsidRPr="007D1642" w:rsidRDefault="007D1642" w:rsidP="007D1642">
            <w:pPr>
              <w:spacing w:line="240" w:lineRule="auto"/>
              <w:jc w:val="center"/>
              <w:rPr>
                <w:rFonts w:cs="Times New Roman"/>
                <w:sz w:val="20"/>
                <w:szCs w:val="20"/>
              </w:rPr>
            </w:pPr>
          </w:p>
        </w:tc>
      </w:tr>
      <w:tr w:rsidR="003D2972" w:rsidRPr="007D1642" w14:paraId="771991B6" w14:textId="77777777" w:rsidTr="001B7103">
        <w:tc>
          <w:tcPr>
            <w:tcW w:w="4860" w:type="dxa"/>
            <w:tcBorders>
              <w:top w:val="nil"/>
              <w:left w:val="nil"/>
              <w:bottom w:val="nil"/>
              <w:right w:val="nil"/>
            </w:tcBorders>
          </w:tcPr>
          <w:p w14:paraId="3E14711A" w14:textId="798C0110" w:rsidR="003D2972" w:rsidRPr="007D1642" w:rsidRDefault="003D2972" w:rsidP="003D2972">
            <w:pPr>
              <w:spacing w:line="240" w:lineRule="auto"/>
              <w:rPr>
                <w:rFonts w:cs="Times New Roman"/>
                <w:sz w:val="20"/>
                <w:szCs w:val="20"/>
              </w:rPr>
            </w:pPr>
            <w:r w:rsidRPr="009F3D22">
              <w:rPr>
                <w:rFonts w:cs="Times New Roman"/>
                <w:sz w:val="20"/>
                <w:szCs w:val="20"/>
              </w:rPr>
              <w:t xml:space="preserve">  </w:t>
            </w:r>
            <w:r>
              <w:rPr>
                <w:rFonts w:cs="Times New Roman"/>
                <w:sz w:val="20"/>
                <w:szCs w:val="20"/>
              </w:rPr>
              <w:t>M</w:t>
            </w:r>
            <w:r w:rsidRPr="009F3D22">
              <w:rPr>
                <w:rFonts w:cs="Times New Roman"/>
                <w:sz w:val="20"/>
                <w:szCs w:val="20"/>
              </w:rPr>
              <w:t xml:space="preserve">edical and mental </w:t>
            </w:r>
            <w:r>
              <w:rPr>
                <w:rFonts w:cs="Times New Roman"/>
                <w:sz w:val="20"/>
                <w:szCs w:val="20"/>
              </w:rPr>
              <w:t xml:space="preserve">health </w:t>
            </w:r>
            <w:r w:rsidRPr="009F3D22">
              <w:rPr>
                <w:rFonts w:cs="Times New Roman"/>
                <w:sz w:val="20"/>
                <w:szCs w:val="20"/>
              </w:rPr>
              <w:t>comorbidit</w:t>
            </w:r>
            <w:r>
              <w:rPr>
                <w:rFonts w:cs="Times New Roman"/>
                <w:sz w:val="20"/>
                <w:szCs w:val="20"/>
              </w:rPr>
              <w:t>ies</w:t>
            </w:r>
            <w:r w:rsidRPr="009F3D22">
              <w:rPr>
                <w:rFonts w:cs="Times New Roman"/>
                <w:sz w:val="20"/>
                <w:szCs w:val="20"/>
              </w:rPr>
              <w:t xml:space="preserve"> vs. none</w:t>
            </w:r>
          </w:p>
        </w:tc>
        <w:tc>
          <w:tcPr>
            <w:tcW w:w="2025" w:type="dxa"/>
            <w:tcBorders>
              <w:top w:val="nil"/>
              <w:left w:val="nil"/>
              <w:bottom w:val="nil"/>
              <w:right w:val="nil"/>
            </w:tcBorders>
          </w:tcPr>
          <w:p w14:paraId="3143CBC3"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0.82 (0.81, 0.84)</w:t>
            </w:r>
          </w:p>
        </w:tc>
        <w:tc>
          <w:tcPr>
            <w:tcW w:w="2025" w:type="dxa"/>
            <w:tcBorders>
              <w:top w:val="nil"/>
              <w:left w:val="nil"/>
              <w:bottom w:val="nil"/>
              <w:right w:val="nil"/>
            </w:tcBorders>
          </w:tcPr>
          <w:p w14:paraId="10ECBF1A"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656BF1F4"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792E0F9A"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0.87 (0.85, 0.89)</w:t>
            </w:r>
          </w:p>
        </w:tc>
      </w:tr>
      <w:tr w:rsidR="003D2972" w:rsidRPr="007D1642" w14:paraId="5E5F4066" w14:textId="77777777" w:rsidTr="001B7103">
        <w:tc>
          <w:tcPr>
            <w:tcW w:w="4860" w:type="dxa"/>
            <w:tcBorders>
              <w:top w:val="nil"/>
              <w:left w:val="nil"/>
              <w:bottom w:val="nil"/>
              <w:right w:val="nil"/>
            </w:tcBorders>
          </w:tcPr>
          <w:p w14:paraId="2AF7DC3E" w14:textId="42E94868" w:rsidR="003D2972" w:rsidRPr="007D1642" w:rsidRDefault="003D2972" w:rsidP="003D2972">
            <w:pPr>
              <w:spacing w:line="240" w:lineRule="auto"/>
              <w:rPr>
                <w:rFonts w:cs="Times New Roman"/>
                <w:sz w:val="20"/>
                <w:szCs w:val="20"/>
              </w:rPr>
            </w:pPr>
            <w:r w:rsidRPr="009F3D22">
              <w:rPr>
                <w:rFonts w:cs="Times New Roman"/>
                <w:sz w:val="20"/>
                <w:szCs w:val="20"/>
              </w:rPr>
              <w:t xml:space="preserve">  </w:t>
            </w:r>
            <w:r>
              <w:rPr>
                <w:rFonts w:cs="Times New Roman"/>
                <w:sz w:val="20"/>
                <w:szCs w:val="20"/>
              </w:rPr>
              <w:t>M</w:t>
            </w:r>
            <w:r w:rsidRPr="009F3D22">
              <w:rPr>
                <w:rFonts w:cs="Times New Roman"/>
                <w:sz w:val="20"/>
                <w:szCs w:val="20"/>
              </w:rPr>
              <w:t>edical comorbidit</w:t>
            </w:r>
            <w:r>
              <w:rPr>
                <w:rFonts w:cs="Times New Roman"/>
                <w:sz w:val="20"/>
                <w:szCs w:val="20"/>
              </w:rPr>
              <w:t>ies</w:t>
            </w:r>
            <w:r w:rsidRPr="009F3D22">
              <w:rPr>
                <w:rFonts w:cs="Times New Roman"/>
                <w:sz w:val="20"/>
                <w:szCs w:val="20"/>
              </w:rPr>
              <w:t xml:space="preserve"> only vs. none</w:t>
            </w:r>
          </w:p>
        </w:tc>
        <w:tc>
          <w:tcPr>
            <w:tcW w:w="2025" w:type="dxa"/>
            <w:tcBorders>
              <w:top w:val="nil"/>
              <w:left w:val="nil"/>
              <w:bottom w:val="nil"/>
              <w:right w:val="nil"/>
            </w:tcBorders>
          </w:tcPr>
          <w:p w14:paraId="01C90A5F"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0.91 (0.89, 0.92)</w:t>
            </w:r>
          </w:p>
        </w:tc>
        <w:tc>
          <w:tcPr>
            <w:tcW w:w="2025" w:type="dxa"/>
            <w:tcBorders>
              <w:top w:val="nil"/>
              <w:left w:val="nil"/>
              <w:bottom w:val="nil"/>
              <w:right w:val="nil"/>
            </w:tcBorders>
          </w:tcPr>
          <w:p w14:paraId="189F9BCE"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3E28F7A5"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nil"/>
              <w:right w:val="nil"/>
            </w:tcBorders>
          </w:tcPr>
          <w:p w14:paraId="44B13C33"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0.92 (0.91, 0.93)</w:t>
            </w:r>
          </w:p>
        </w:tc>
      </w:tr>
      <w:tr w:rsidR="003D2972" w:rsidRPr="007D1642" w14:paraId="689BD6E1" w14:textId="77777777" w:rsidTr="001B7103">
        <w:tc>
          <w:tcPr>
            <w:tcW w:w="4860" w:type="dxa"/>
            <w:tcBorders>
              <w:top w:val="nil"/>
              <w:left w:val="nil"/>
              <w:bottom w:val="single" w:sz="4" w:space="0" w:color="auto"/>
              <w:right w:val="nil"/>
            </w:tcBorders>
          </w:tcPr>
          <w:p w14:paraId="07367B06" w14:textId="2A248AD6" w:rsidR="003D2972" w:rsidRPr="007D1642" w:rsidRDefault="003D2972" w:rsidP="003D2972">
            <w:pPr>
              <w:spacing w:line="240" w:lineRule="auto"/>
              <w:rPr>
                <w:rFonts w:cs="Times New Roman"/>
                <w:sz w:val="20"/>
                <w:szCs w:val="20"/>
              </w:rPr>
            </w:pPr>
            <w:r w:rsidRPr="009F3D22">
              <w:rPr>
                <w:rFonts w:cs="Times New Roman"/>
                <w:sz w:val="20"/>
                <w:szCs w:val="20"/>
              </w:rPr>
              <w:t xml:space="preserve">  </w:t>
            </w:r>
            <w:r>
              <w:rPr>
                <w:rFonts w:cs="Times New Roman"/>
                <w:sz w:val="20"/>
                <w:szCs w:val="20"/>
              </w:rPr>
              <w:t>M</w:t>
            </w:r>
            <w:r w:rsidRPr="009F3D22">
              <w:rPr>
                <w:rFonts w:cs="Times New Roman"/>
                <w:sz w:val="20"/>
                <w:szCs w:val="20"/>
              </w:rPr>
              <w:t xml:space="preserve">ental </w:t>
            </w:r>
            <w:r>
              <w:rPr>
                <w:rFonts w:cs="Times New Roman"/>
                <w:sz w:val="20"/>
                <w:szCs w:val="20"/>
              </w:rPr>
              <w:t xml:space="preserve">health </w:t>
            </w:r>
            <w:r w:rsidRPr="009F3D22">
              <w:rPr>
                <w:rFonts w:cs="Times New Roman"/>
                <w:sz w:val="20"/>
                <w:szCs w:val="20"/>
              </w:rPr>
              <w:t>comorbidit</w:t>
            </w:r>
            <w:r>
              <w:rPr>
                <w:rFonts w:cs="Times New Roman"/>
                <w:sz w:val="20"/>
                <w:szCs w:val="20"/>
              </w:rPr>
              <w:t>ies</w:t>
            </w:r>
            <w:r w:rsidRPr="009F3D22">
              <w:rPr>
                <w:rFonts w:cs="Times New Roman"/>
                <w:sz w:val="20"/>
                <w:szCs w:val="20"/>
              </w:rPr>
              <w:t xml:space="preserve"> only vs. none</w:t>
            </w:r>
          </w:p>
        </w:tc>
        <w:tc>
          <w:tcPr>
            <w:tcW w:w="2025" w:type="dxa"/>
            <w:tcBorders>
              <w:top w:val="nil"/>
              <w:left w:val="nil"/>
              <w:bottom w:val="single" w:sz="4" w:space="0" w:color="auto"/>
              <w:right w:val="nil"/>
            </w:tcBorders>
          </w:tcPr>
          <w:p w14:paraId="501A5338"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0.93 (0.92, 0.95)</w:t>
            </w:r>
          </w:p>
        </w:tc>
        <w:tc>
          <w:tcPr>
            <w:tcW w:w="2025" w:type="dxa"/>
            <w:tcBorders>
              <w:top w:val="nil"/>
              <w:left w:val="nil"/>
              <w:bottom w:val="single" w:sz="4" w:space="0" w:color="auto"/>
              <w:right w:val="nil"/>
            </w:tcBorders>
          </w:tcPr>
          <w:p w14:paraId="1CF77478"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single" w:sz="4" w:space="0" w:color="auto"/>
              <w:right w:val="nil"/>
            </w:tcBorders>
          </w:tcPr>
          <w:p w14:paraId="5C3BF35D" w14:textId="77777777" w:rsidR="003D2972" w:rsidRPr="007D1642" w:rsidRDefault="003D2972" w:rsidP="003D2972">
            <w:pPr>
              <w:spacing w:line="240" w:lineRule="auto"/>
              <w:jc w:val="center"/>
              <w:rPr>
                <w:rFonts w:cs="Times New Roman"/>
                <w:sz w:val="20"/>
                <w:szCs w:val="20"/>
              </w:rPr>
            </w:pPr>
            <w:r w:rsidRPr="007D1642">
              <w:rPr>
                <w:rFonts w:cs="Times New Roman"/>
                <w:sz w:val="20"/>
                <w:szCs w:val="20"/>
              </w:rPr>
              <w:t>-</w:t>
            </w:r>
          </w:p>
        </w:tc>
        <w:tc>
          <w:tcPr>
            <w:tcW w:w="2025" w:type="dxa"/>
            <w:tcBorders>
              <w:top w:val="nil"/>
              <w:left w:val="nil"/>
              <w:bottom w:val="single" w:sz="4" w:space="0" w:color="auto"/>
              <w:right w:val="nil"/>
            </w:tcBorders>
          </w:tcPr>
          <w:p w14:paraId="02F4137A" w14:textId="77777777" w:rsidR="003D2972" w:rsidRPr="007D1642" w:rsidRDefault="003D2972" w:rsidP="003D2972">
            <w:pPr>
              <w:spacing w:line="240" w:lineRule="auto"/>
              <w:jc w:val="center"/>
              <w:rPr>
                <w:rFonts w:cs="Times New Roman"/>
                <w:sz w:val="20"/>
                <w:szCs w:val="20"/>
                <w:highlight w:val="lightGray"/>
              </w:rPr>
            </w:pPr>
            <w:r w:rsidRPr="007D1642">
              <w:rPr>
                <w:rFonts w:cs="Times New Roman"/>
                <w:sz w:val="20"/>
                <w:szCs w:val="20"/>
              </w:rPr>
              <w:t>0.97 (0.95, 0.98)</w:t>
            </w:r>
          </w:p>
        </w:tc>
      </w:tr>
      <w:tr w:rsidR="007D1642" w:rsidRPr="007D1642" w14:paraId="704CDBE3" w14:textId="77777777" w:rsidTr="001B7103">
        <w:tc>
          <w:tcPr>
            <w:tcW w:w="4860" w:type="dxa"/>
            <w:tcBorders>
              <w:top w:val="single" w:sz="4" w:space="0" w:color="auto"/>
              <w:left w:val="nil"/>
              <w:bottom w:val="nil"/>
              <w:right w:val="nil"/>
            </w:tcBorders>
          </w:tcPr>
          <w:p w14:paraId="3D8F7259" w14:textId="77777777" w:rsidR="007D1642" w:rsidRPr="007D1642" w:rsidRDefault="007D1642" w:rsidP="007D1642">
            <w:pPr>
              <w:spacing w:line="240" w:lineRule="auto"/>
              <w:rPr>
                <w:rFonts w:cs="Times New Roman"/>
                <w:b/>
                <w:bCs/>
                <w:sz w:val="20"/>
                <w:szCs w:val="20"/>
              </w:rPr>
            </w:pPr>
            <w:r w:rsidRPr="007D1642">
              <w:rPr>
                <w:rFonts w:cs="Times New Roman"/>
                <w:b/>
                <w:bCs/>
                <w:sz w:val="20"/>
                <w:szCs w:val="20"/>
              </w:rPr>
              <w:t>Covariates</w:t>
            </w:r>
          </w:p>
        </w:tc>
        <w:tc>
          <w:tcPr>
            <w:tcW w:w="2025" w:type="dxa"/>
            <w:tcBorders>
              <w:top w:val="single" w:sz="4" w:space="0" w:color="auto"/>
              <w:left w:val="nil"/>
              <w:bottom w:val="nil"/>
              <w:right w:val="nil"/>
            </w:tcBorders>
          </w:tcPr>
          <w:p w14:paraId="43228D6F" w14:textId="77777777" w:rsidR="007D1642" w:rsidRPr="007D1642" w:rsidRDefault="007D1642" w:rsidP="007D1642">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1F98B1A5" w14:textId="77777777" w:rsidR="007D1642" w:rsidRPr="007D1642" w:rsidRDefault="007D1642" w:rsidP="007D1642">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3FE3C402" w14:textId="77777777" w:rsidR="007D1642" w:rsidRPr="007D1642" w:rsidRDefault="007D1642" w:rsidP="007D1642">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1FE35BFE" w14:textId="77777777" w:rsidR="007D1642" w:rsidRPr="007D1642" w:rsidRDefault="007D1642" w:rsidP="007D1642">
            <w:pPr>
              <w:spacing w:line="240" w:lineRule="auto"/>
              <w:jc w:val="center"/>
              <w:rPr>
                <w:rFonts w:cs="Times New Roman"/>
                <w:sz w:val="20"/>
                <w:szCs w:val="20"/>
                <w:highlight w:val="yellow"/>
              </w:rPr>
            </w:pPr>
          </w:p>
        </w:tc>
      </w:tr>
      <w:tr w:rsidR="007D1642" w:rsidRPr="007D1642" w14:paraId="34332FD7" w14:textId="77777777" w:rsidTr="001B7103">
        <w:tc>
          <w:tcPr>
            <w:tcW w:w="4860" w:type="dxa"/>
            <w:tcBorders>
              <w:top w:val="nil"/>
              <w:left w:val="nil"/>
              <w:bottom w:val="nil"/>
              <w:right w:val="nil"/>
            </w:tcBorders>
          </w:tcPr>
          <w:p w14:paraId="4F9C91A5" w14:textId="77777777" w:rsidR="007D1642" w:rsidRPr="007D1642" w:rsidRDefault="007D1642" w:rsidP="007D1642">
            <w:pPr>
              <w:spacing w:line="240" w:lineRule="auto"/>
              <w:rPr>
                <w:rFonts w:cs="Times New Roman"/>
                <w:sz w:val="20"/>
                <w:szCs w:val="20"/>
              </w:rPr>
            </w:pPr>
            <w:r w:rsidRPr="00E20E6A">
              <w:rPr>
                <w:rFonts w:cs="Times New Roman"/>
                <w:sz w:val="20"/>
                <w:szCs w:val="20"/>
              </w:rPr>
              <w:t xml:space="preserve">  Age (per 1-unit increase)</w:t>
            </w:r>
          </w:p>
        </w:tc>
        <w:tc>
          <w:tcPr>
            <w:tcW w:w="2025" w:type="dxa"/>
            <w:tcBorders>
              <w:top w:val="nil"/>
              <w:left w:val="nil"/>
              <w:bottom w:val="nil"/>
              <w:right w:val="nil"/>
            </w:tcBorders>
          </w:tcPr>
          <w:p w14:paraId="448C3C49"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1.00 (0.99, 1.00)</w:t>
            </w:r>
          </w:p>
        </w:tc>
        <w:tc>
          <w:tcPr>
            <w:tcW w:w="2025" w:type="dxa"/>
            <w:tcBorders>
              <w:top w:val="nil"/>
              <w:left w:val="nil"/>
              <w:bottom w:val="nil"/>
              <w:right w:val="nil"/>
            </w:tcBorders>
          </w:tcPr>
          <w:p w14:paraId="52F19216"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1.00 (0.99, 1.00)</w:t>
            </w:r>
          </w:p>
        </w:tc>
        <w:tc>
          <w:tcPr>
            <w:tcW w:w="2025" w:type="dxa"/>
            <w:tcBorders>
              <w:top w:val="nil"/>
              <w:left w:val="nil"/>
              <w:bottom w:val="nil"/>
              <w:right w:val="nil"/>
            </w:tcBorders>
          </w:tcPr>
          <w:p w14:paraId="187E4078"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1.00 (0.99, 1.00)</w:t>
            </w:r>
          </w:p>
        </w:tc>
        <w:tc>
          <w:tcPr>
            <w:tcW w:w="2025" w:type="dxa"/>
            <w:tcBorders>
              <w:top w:val="nil"/>
              <w:left w:val="nil"/>
              <w:bottom w:val="nil"/>
              <w:right w:val="nil"/>
            </w:tcBorders>
            <w:shd w:val="clear" w:color="auto" w:fill="auto"/>
          </w:tcPr>
          <w:p w14:paraId="3E7BF35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1.00 (0.99, 1.00)</w:t>
            </w:r>
          </w:p>
        </w:tc>
      </w:tr>
      <w:tr w:rsidR="007D1642" w:rsidRPr="007D1642" w14:paraId="7F48E0E2" w14:textId="77777777" w:rsidTr="001B7103">
        <w:tc>
          <w:tcPr>
            <w:tcW w:w="4860" w:type="dxa"/>
            <w:tcBorders>
              <w:top w:val="nil"/>
              <w:left w:val="nil"/>
              <w:bottom w:val="nil"/>
              <w:right w:val="nil"/>
            </w:tcBorders>
          </w:tcPr>
          <w:p w14:paraId="288FA53C"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Male vs. female</w:t>
            </w:r>
          </w:p>
        </w:tc>
        <w:tc>
          <w:tcPr>
            <w:tcW w:w="2025" w:type="dxa"/>
            <w:tcBorders>
              <w:top w:val="nil"/>
              <w:left w:val="nil"/>
              <w:bottom w:val="nil"/>
              <w:right w:val="nil"/>
            </w:tcBorders>
          </w:tcPr>
          <w:p w14:paraId="29C2BC46"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1.02 (1.00, 1.03)</w:t>
            </w:r>
          </w:p>
        </w:tc>
        <w:tc>
          <w:tcPr>
            <w:tcW w:w="2025" w:type="dxa"/>
            <w:tcBorders>
              <w:top w:val="nil"/>
              <w:left w:val="nil"/>
              <w:bottom w:val="nil"/>
              <w:right w:val="nil"/>
            </w:tcBorders>
          </w:tcPr>
          <w:p w14:paraId="2EBD9C3A"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1.02 (1.01, 1.03)</w:t>
            </w:r>
          </w:p>
        </w:tc>
        <w:tc>
          <w:tcPr>
            <w:tcW w:w="2025" w:type="dxa"/>
            <w:tcBorders>
              <w:top w:val="nil"/>
              <w:left w:val="nil"/>
              <w:bottom w:val="nil"/>
              <w:right w:val="nil"/>
            </w:tcBorders>
          </w:tcPr>
          <w:p w14:paraId="3B1F2BE5"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1.02 (1.01, 1.03)</w:t>
            </w:r>
          </w:p>
        </w:tc>
        <w:tc>
          <w:tcPr>
            <w:tcW w:w="2025" w:type="dxa"/>
            <w:tcBorders>
              <w:top w:val="nil"/>
              <w:left w:val="nil"/>
              <w:bottom w:val="nil"/>
              <w:right w:val="nil"/>
            </w:tcBorders>
            <w:shd w:val="clear" w:color="auto" w:fill="auto"/>
          </w:tcPr>
          <w:p w14:paraId="35E3CD54"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1.01 (1.00, 1.03)</w:t>
            </w:r>
          </w:p>
        </w:tc>
      </w:tr>
      <w:tr w:rsidR="007D1642" w:rsidRPr="007D1642" w14:paraId="4A4DA7EB" w14:textId="77777777" w:rsidTr="001B7103">
        <w:tc>
          <w:tcPr>
            <w:tcW w:w="4860" w:type="dxa"/>
            <w:tcBorders>
              <w:top w:val="nil"/>
              <w:left w:val="nil"/>
              <w:bottom w:val="nil"/>
              <w:right w:val="nil"/>
            </w:tcBorders>
          </w:tcPr>
          <w:p w14:paraId="29E84859"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Rural residence vs. urban</w:t>
            </w:r>
          </w:p>
        </w:tc>
        <w:tc>
          <w:tcPr>
            <w:tcW w:w="2025" w:type="dxa"/>
            <w:tcBorders>
              <w:top w:val="nil"/>
              <w:left w:val="nil"/>
              <w:bottom w:val="nil"/>
              <w:right w:val="nil"/>
            </w:tcBorders>
          </w:tcPr>
          <w:p w14:paraId="4F2C36C1"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0.99 (0.97, 1.00)</w:t>
            </w:r>
          </w:p>
        </w:tc>
        <w:tc>
          <w:tcPr>
            <w:tcW w:w="2025" w:type="dxa"/>
            <w:tcBorders>
              <w:top w:val="nil"/>
              <w:left w:val="nil"/>
              <w:bottom w:val="nil"/>
              <w:right w:val="nil"/>
            </w:tcBorders>
          </w:tcPr>
          <w:p w14:paraId="6E3D5B55"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0.99 (0.97, 1.01)</w:t>
            </w:r>
          </w:p>
        </w:tc>
        <w:tc>
          <w:tcPr>
            <w:tcW w:w="2025" w:type="dxa"/>
            <w:tcBorders>
              <w:top w:val="nil"/>
              <w:left w:val="nil"/>
              <w:bottom w:val="nil"/>
              <w:right w:val="nil"/>
            </w:tcBorders>
          </w:tcPr>
          <w:p w14:paraId="42E5C82F"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0.99 (0.97, 1.01)</w:t>
            </w:r>
          </w:p>
        </w:tc>
        <w:tc>
          <w:tcPr>
            <w:tcW w:w="2025" w:type="dxa"/>
            <w:tcBorders>
              <w:top w:val="nil"/>
              <w:left w:val="nil"/>
              <w:bottom w:val="nil"/>
              <w:right w:val="nil"/>
            </w:tcBorders>
            <w:shd w:val="clear" w:color="auto" w:fill="auto"/>
          </w:tcPr>
          <w:p w14:paraId="043D9A1B"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0.99 (0.97, 1.01)</w:t>
            </w:r>
          </w:p>
        </w:tc>
      </w:tr>
      <w:tr w:rsidR="007D1642" w:rsidRPr="007D1642" w14:paraId="3B4594E2" w14:textId="77777777" w:rsidTr="001B7103">
        <w:tc>
          <w:tcPr>
            <w:tcW w:w="4860" w:type="dxa"/>
            <w:tcBorders>
              <w:top w:val="nil"/>
              <w:left w:val="nil"/>
              <w:bottom w:val="nil"/>
              <w:right w:val="nil"/>
            </w:tcBorders>
          </w:tcPr>
          <w:p w14:paraId="202FBF5C"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Income quintile 1 vs. 5</w:t>
            </w:r>
          </w:p>
        </w:tc>
        <w:tc>
          <w:tcPr>
            <w:tcW w:w="2025" w:type="dxa"/>
            <w:tcBorders>
              <w:top w:val="nil"/>
              <w:left w:val="nil"/>
              <w:bottom w:val="nil"/>
              <w:right w:val="nil"/>
            </w:tcBorders>
          </w:tcPr>
          <w:p w14:paraId="62CCEFDB"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0.88 (0.86, 0.90)</w:t>
            </w:r>
          </w:p>
        </w:tc>
        <w:tc>
          <w:tcPr>
            <w:tcW w:w="2025" w:type="dxa"/>
            <w:tcBorders>
              <w:top w:val="nil"/>
              <w:left w:val="nil"/>
              <w:bottom w:val="nil"/>
              <w:right w:val="nil"/>
            </w:tcBorders>
          </w:tcPr>
          <w:p w14:paraId="6B1A90A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0.85 (0.84, 0.87)</w:t>
            </w:r>
          </w:p>
        </w:tc>
        <w:tc>
          <w:tcPr>
            <w:tcW w:w="2025" w:type="dxa"/>
            <w:tcBorders>
              <w:top w:val="nil"/>
              <w:left w:val="nil"/>
              <w:bottom w:val="nil"/>
              <w:right w:val="nil"/>
            </w:tcBorders>
          </w:tcPr>
          <w:p w14:paraId="752D412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0.86 (0.84, 0.87)</w:t>
            </w:r>
          </w:p>
        </w:tc>
        <w:tc>
          <w:tcPr>
            <w:tcW w:w="2025" w:type="dxa"/>
            <w:tcBorders>
              <w:top w:val="nil"/>
              <w:left w:val="nil"/>
              <w:bottom w:val="nil"/>
              <w:right w:val="nil"/>
            </w:tcBorders>
            <w:shd w:val="clear" w:color="auto" w:fill="auto"/>
          </w:tcPr>
          <w:p w14:paraId="642A066E"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0.85 (0.84, 0.87)</w:t>
            </w:r>
          </w:p>
        </w:tc>
      </w:tr>
      <w:tr w:rsidR="007D1642" w:rsidRPr="007D1642" w14:paraId="67FBEAC2" w14:textId="77777777" w:rsidTr="001B7103">
        <w:tc>
          <w:tcPr>
            <w:tcW w:w="4860" w:type="dxa"/>
            <w:tcBorders>
              <w:top w:val="nil"/>
              <w:left w:val="nil"/>
              <w:bottom w:val="nil"/>
              <w:right w:val="nil"/>
            </w:tcBorders>
          </w:tcPr>
          <w:p w14:paraId="776D83A8"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Income quintile 2 vs. 5</w:t>
            </w:r>
          </w:p>
        </w:tc>
        <w:tc>
          <w:tcPr>
            <w:tcW w:w="2025" w:type="dxa"/>
            <w:tcBorders>
              <w:top w:val="nil"/>
              <w:left w:val="nil"/>
              <w:bottom w:val="nil"/>
              <w:right w:val="nil"/>
            </w:tcBorders>
          </w:tcPr>
          <w:p w14:paraId="3F60B0E7"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0.94 (0.92, 0.97)</w:t>
            </w:r>
          </w:p>
        </w:tc>
        <w:tc>
          <w:tcPr>
            <w:tcW w:w="2025" w:type="dxa"/>
            <w:tcBorders>
              <w:top w:val="nil"/>
              <w:left w:val="nil"/>
              <w:bottom w:val="nil"/>
              <w:right w:val="nil"/>
            </w:tcBorders>
          </w:tcPr>
          <w:p w14:paraId="7B6F64E8"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0.92 (0.90, 0.93)</w:t>
            </w:r>
          </w:p>
        </w:tc>
        <w:tc>
          <w:tcPr>
            <w:tcW w:w="2025" w:type="dxa"/>
            <w:tcBorders>
              <w:top w:val="nil"/>
              <w:left w:val="nil"/>
              <w:bottom w:val="nil"/>
              <w:right w:val="nil"/>
            </w:tcBorders>
          </w:tcPr>
          <w:p w14:paraId="7B7F140F"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0.92 (0.90, 0.94)</w:t>
            </w:r>
          </w:p>
        </w:tc>
        <w:tc>
          <w:tcPr>
            <w:tcW w:w="2025" w:type="dxa"/>
            <w:tcBorders>
              <w:top w:val="nil"/>
              <w:left w:val="nil"/>
              <w:bottom w:val="nil"/>
              <w:right w:val="nil"/>
            </w:tcBorders>
            <w:shd w:val="clear" w:color="auto" w:fill="auto"/>
          </w:tcPr>
          <w:p w14:paraId="55318659"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0.92 (0.90, 0.93)</w:t>
            </w:r>
          </w:p>
        </w:tc>
      </w:tr>
      <w:tr w:rsidR="007D1642" w:rsidRPr="007D1642" w14:paraId="3A6C745D" w14:textId="77777777" w:rsidTr="001B7103">
        <w:tc>
          <w:tcPr>
            <w:tcW w:w="4860" w:type="dxa"/>
            <w:tcBorders>
              <w:top w:val="nil"/>
              <w:left w:val="nil"/>
              <w:bottom w:val="nil"/>
              <w:right w:val="nil"/>
            </w:tcBorders>
          </w:tcPr>
          <w:p w14:paraId="4669F9EE"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Income quintile 3 vs. 5</w:t>
            </w:r>
          </w:p>
        </w:tc>
        <w:tc>
          <w:tcPr>
            <w:tcW w:w="2025" w:type="dxa"/>
            <w:tcBorders>
              <w:top w:val="nil"/>
              <w:left w:val="nil"/>
              <w:bottom w:val="nil"/>
              <w:right w:val="nil"/>
            </w:tcBorders>
          </w:tcPr>
          <w:p w14:paraId="6AA5F70D"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0.98 (0.96, 1.00)</w:t>
            </w:r>
          </w:p>
        </w:tc>
        <w:tc>
          <w:tcPr>
            <w:tcW w:w="2025" w:type="dxa"/>
            <w:tcBorders>
              <w:top w:val="nil"/>
              <w:left w:val="nil"/>
              <w:bottom w:val="nil"/>
              <w:right w:val="nil"/>
            </w:tcBorders>
          </w:tcPr>
          <w:p w14:paraId="7C039485"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0.96 (0.95, 0.98)</w:t>
            </w:r>
          </w:p>
        </w:tc>
        <w:tc>
          <w:tcPr>
            <w:tcW w:w="2025" w:type="dxa"/>
            <w:tcBorders>
              <w:top w:val="nil"/>
              <w:left w:val="nil"/>
              <w:bottom w:val="nil"/>
              <w:right w:val="nil"/>
            </w:tcBorders>
          </w:tcPr>
          <w:p w14:paraId="3065BA9D"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0.96 (0.95, 0.98)</w:t>
            </w:r>
          </w:p>
        </w:tc>
        <w:tc>
          <w:tcPr>
            <w:tcW w:w="2025" w:type="dxa"/>
            <w:tcBorders>
              <w:top w:val="nil"/>
              <w:left w:val="nil"/>
              <w:bottom w:val="nil"/>
              <w:right w:val="nil"/>
            </w:tcBorders>
            <w:shd w:val="clear" w:color="auto" w:fill="auto"/>
          </w:tcPr>
          <w:p w14:paraId="49B4DC19"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0.96 (0.95, 0.98)</w:t>
            </w:r>
          </w:p>
        </w:tc>
      </w:tr>
      <w:tr w:rsidR="007D1642" w:rsidRPr="007D1642" w14:paraId="6A1DE13B" w14:textId="77777777" w:rsidTr="001B7103">
        <w:tc>
          <w:tcPr>
            <w:tcW w:w="4860" w:type="dxa"/>
            <w:tcBorders>
              <w:top w:val="nil"/>
              <w:left w:val="nil"/>
              <w:bottom w:val="nil"/>
              <w:right w:val="nil"/>
            </w:tcBorders>
          </w:tcPr>
          <w:p w14:paraId="6DB8DFFC"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Income quintile 4 vs. 5</w:t>
            </w:r>
          </w:p>
        </w:tc>
        <w:tc>
          <w:tcPr>
            <w:tcW w:w="2025" w:type="dxa"/>
            <w:tcBorders>
              <w:top w:val="nil"/>
              <w:left w:val="nil"/>
              <w:bottom w:val="nil"/>
              <w:right w:val="nil"/>
            </w:tcBorders>
          </w:tcPr>
          <w:p w14:paraId="6875BC55"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1.00 (0.97, 1.02)</w:t>
            </w:r>
          </w:p>
        </w:tc>
        <w:tc>
          <w:tcPr>
            <w:tcW w:w="2025" w:type="dxa"/>
            <w:tcBorders>
              <w:top w:val="nil"/>
              <w:left w:val="nil"/>
              <w:bottom w:val="nil"/>
              <w:right w:val="nil"/>
            </w:tcBorders>
          </w:tcPr>
          <w:p w14:paraId="07C6F767"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0.99 (0.97, 1.01)</w:t>
            </w:r>
          </w:p>
        </w:tc>
        <w:tc>
          <w:tcPr>
            <w:tcW w:w="2025" w:type="dxa"/>
            <w:tcBorders>
              <w:top w:val="nil"/>
              <w:left w:val="nil"/>
              <w:bottom w:val="nil"/>
              <w:right w:val="nil"/>
            </w:tcBorders>
          </w:tcPr>
          <w:p w14:paraId="770DDAD2"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0.99 (0.97, 1.01)</w:t>
            </w:r>
          </w:p>
        </w:tc>
        <w:tc>
          <w:tcPr>
            <w:tcW w:w="2025" w:type="dxa"/>
            <w:tcBorders>
              <w:top w:val="nil"/>
              <w:left w:val="nil"/>
              <w:bottom w:val="nil"/>
              <w:right w:val="nil"/>
            </w:tcBorders>
            <w:shd w:val="clear" w:color="auto" w:fill="auto"/>
          </w:tcPr>
          <w:p w14:paraId="6990912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0.99 (0.97, 1.01)</w:t>
            </w:r>
          </w:p>
        </w:tc>
      </w:tr>
      <w:tr w:rsidR="007D1642" w:rsidRPr="007D1642" w14:paraId="515A4FAB" w14:textId="77777777" w:rsidTr="001B7103">
        <w:tc>
          <w:tcPr>
            <w:tcW w:w="4860" w:type="dxa"/>
            <w:tcBorders>
              <w:top w:val="nil"/>
              <w:left w:val="nil"/>
              <w:bottom w:val="nil"/>
              <w:right w:val="nil"/>
            </w:tcBorders>
          </w:tcPr>
          <w:p w14:paraId="175680A2"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Rostered to a PCP</w:t>
            </w:r>
          </w:p>
        </w:tc>
        <w:tc>
          <w:tcPr>
            <w:tcW w:w="2025" w:type="dxa"/>
            <w:tcBorders>
              <w:top w:val="nil"/>
              <w:left w:val="nil"/>
              <w:bottom w:val="nil"/>
              <w:right w:val="nil"/>
            </w:tcBorders>
          </w:tcPr>
          <w:p w14:paraId="6C91856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1.11 (1.07, 1.16)</w:t>
            </w:r>
          </w:p>
        </w:tc>
        <w:tc>
          <w:tcPr>
            <w:tcW w:w="2025" w:type="dxa"/>
            <w:tcBorders>
              <w:top w:val="nil"/>
              <w:left w:val="nil"/>
              <w:bottom w:val="nil"/>
              <w:right w:val="nil"/>
            </w:tcBorders>
          </w:tcPr>
          <w:p w14:paraId="25B8270D"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1.16 (1.12, 1.21)</w:t>
            </w:r>
          </w:p>
        </w:tc>
        <w:tc>
          <w:tcPr>
            <w:tcW w:w="2025" w:type="dxa"/>
            <w:tcBorders>
              <w:top w:val="nil"/>
              <w:left w:val="nil"/>
              <w:bottom w:val="nil"/>
              <w:right w:val="nil"/>
            </w:tcBorders>
          </w:tcPr>
          <w:p w14:paraId="24BED4CC"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1.16 (1.12, 1.21)</w:t>
            </w:r>
          </w:p>
        </w:tc>
        <w:tc>
          <w:tcPr>
            <w:tcW w:w="2025" w:type="dxa"/>
            <w:tcBorders>
              <w:top w:val="nil"/>
              <w:left w:val="nil"/>
              <w:bottom w:val="nil"/>
              <w:right w:val="nil"/>
            </w:tcBorders>
            <w:shd w:val="clear" w:color="auto" w:fill="auto"/>
          </w:tcPr>
          <w:p w14:paraId="47F65CF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1.16 (1.12, 1.20)</w:t>
            </w:r>
          </w:p>
        </w:tc>
      </w:tr>
      <w:tr w:rsidR="007D1642" w:rsidRPr="007D1642" w14:paraId="03B573CC" w14:textId="77777777" w:rsidTr="001B7103">
        <w:tc>
          <w:tcPr>
            <w:tcW w:w="4860" w:type="dxa"/>
            <w:tcBorders>
              <w:top w:val="nil"/>
              <w:left w:val="nil"/>
              <w:bottom w:val="nil"/>
              <w:right w:val="nil"/>
            </w:tcBorders>
          </w:tcPr>
          <w:p w14:paraId="10AF3355" w14:textId="76A6D331" w:rsidR="007D1642" w:rsidRPr="007D1642" w:rsidRDefault="007D1642" w:rsidP="007D1642">
            <w:pPr>
              <w:spacing w:line="240" w:lineRule="auto"/>
              <w:rPr>
                <w:rFonts w:cs="Times New Roman"/>
                <w:sz w:val="20"/>
                <w:szCs w:val="20"/>
              </w:rPr>
            </w:pPr>
            <w:r w:rsidRPr="007D1642">
              <w:rPr>
                <w:rFonts w:cs="Times New Roman"/>
                <w:sz w:val="20"/>
                <w:szCs w:val="20"/>
              </w:rPr>
              <w:t xml:space="preserve">  History of non-CRC cancer: ≤5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2C51000C"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0.92 (0.89, 0.95)</w:t>
            </w:r>
          </w:p>
        </w:tc>
        <w:tc>
          <w:tcPr>
            <w:tcW w:w="2025" w:type="dxa"/>
            <w:tcBorders>
              <w:top w:val="nil"/>
              <w:left w:val="nil"/>
              <w:bottom w:val="nil"/>
              <w:right w:val="nil"/>
            </w:tcBorders>
          </w:tcPr>
          <w:p w14:paraId="3A7BA0BB"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0.97 (0.94, 1.00)</w:t>
            </w:r>
          </w:p>
        </w:tc>
        <w:tc>
          <w:tcPr>
            <w:tcW w:w="2025" w:type="dxa"/>
            <w:tcBorders>
              <w:top w:val="nil"/>
              <w:left w:val="nil"/>
              <w:bottom w:val="nil"/>
              <w:right w:val="nil"/>
            </w:tcBorders>
          </w:tcPr>
          <w:p w14:paraId="33D1EDA4"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0.97 (0.94, 1.00)</w:t>
            </w:r>
          </w:p>
        </w:tc>
        <w:tc>
          <w:tcPr>
            <w:tcW w:w="2025" w:type="dxa"/>
            <w:tcBorders>
              <w:top w:val="nil"/>
              <w:left w:val="nil"/>
              <w:bottom w:val="nil"/>
              <w:right w:val="nil"/>
            </w:tcBorders>
            <w:shd w:val="clear" w:color="auto" w:fill="auto"/>
          </w:tcPr>
          <w:p w14:paraId="17967FE7"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0.97 (0.94, 1.00)</w:t>
            </w:r>
          </w:p>
        </w:tc>
      </w:tr>
      <w:tr w:rsidR="007D1642" w:rsidRPr="007D1642" w14:paraId="12F074E0" w14:textId="77777777" w:rsidTr="001B7103">
        <w:tc>
          <w:tcPr>
            <w:tcW w:w="4860" w:type="dxa"/>
            <w:tcBorders>
              <w:top w:val="nil"/>
              <w:left w:val="nil"/>
              <w:bottom w:val="nil"/>
              <w:right w:val="nil"/>
            </w:tcBorders>
          </w:tcPr>
          <w:p w14:paraId="63281965" w14:textId="33721B7F" w:rsidR="007D1642" w:rsidRPr="007D1642" w:rsidRDefault="007D1642" w:rsidP="007D1642">
            <w:pPr>
              <w:spacing w:line="240" w:lineRule="auto"/>
              <w:rPr>
                <w:rFonts w:cs="Times New Roman"/>
                <w:sz w:val="20"/>
                <w:szCs w:val="20"/>
              </w:rPr>
            </w:pPr>
            <w:r w:rsidRPr="007D1642">
              <w:rPr>
                <w:rFonts w:cs="Times New Roman"/>
                <w:sz w:val="20"/>
                <w:szCs w:val="20"/>
              </w:rPr>
              <w:t xml:space="preserve">  History of non-CRC cancer: 6-10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1463320D"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1.01 (0.97, 1.05)</w:t>
            </w:r>
          </w:p>
        </w:tc>
        <w:tc>
          <w:tcPr>
            <w:tcW w:w="2025" w:type="dxa"/>
            <w:tcBorders>
              <w:top w:val="nil"/>
              <w:left w:val="nil"/>
              <w:bottom w:val="nil"/>
              <w:right w:val="nil"/>
            </w:tcBorders>
          </w:tcPr>
          <w:p w14:paraId="3C83E7F4"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1.05 (1.01, 1.09)</w:t>
            </w:r>
          </w:p>
        </w:tc>
        <w:tc>
          <w:tcPr>
            <w:tcW w:w="2025" w:type="dxa"/>
            <w:tcBorders>
              <w:top w:val="nil"/>
              <w:left w:val="nil"/>
              <w:bottom w:val="nil"/>
              <w:right w:val="nil"/>
            </w:tcBorders>
          </w:tcPr>
          <w:p w14:paraId="2B663D34"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1.05 (1.01, 1.09)</w:t>
            </w:r>
          </w:p>
        </w:tc>
        <w:tc>
          <w:tcPr>
            <w:tcW w:w="2025" w:type="dxa"/>
            <w:tcBorders>
              <w:top w:val="nil"/>
              <w:left w:val="nil"/>
              <w:bottom w:val="nil"/>
              <w:right w:val="nil"/>
            </w:tcBorders>
            <w:shd w:val="clear" w:color="auto" w:fill="auto"/>
          </w:tcPr>
          <w:p w14:paraId="0C46CB43"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1.05 (1.01, 1.09)</w:t>
            </w:r>
          </w:p>
        </w:tc>
      </w:tr>
      <w:tr w:rsidR="007D1642" w:rsidRPr="007D1642" w14:paraId="58B67848" w14:textId="77777777" w:rsidTr="001B7103">
        <w:tc>
          <w:tcPr>
            <w:tcW w:w="4860" w:type="dxa"/>
            <w:tcBorders>
              <w:top w:val="nil"/>
              <w:left w:val="nil"/>
              <w:bottom w:val="nil"/>
              <w:right w:val="nil"/>
            </w:tcBorders>
          </w:tcPr>
          <w:p w14:paraId="2DC07D4F" w14:textId="3B95AF2E" w:rsidR="007D1642" w:rsidRPr="007D1642" w:rsidRDefault="007D1642" w:rsidP="007D1642">
            <w:pPr>
              <w:spacing w:line="240" w:lineRule="auto"/>
              <w:rPr>
                <w:rFonts w:cs="Times New Roman"/>
                <w:sz w:val="20"/>
                <w:szCs w:val="20"/>
              </w:rPr>
            </w:pPr>
            <w:r w:rsidRPr="007D1642">
              <w:rPr>
                <w:rFonts w:cs="Times New Roman"/>
                <w:sz w:val="20"/>
                <w:szCs w:val="20"/>
              </w:rPr>
              <w:t xml:space="preserve">  Prior colonoscopy: ≤2 vs. &gt;10 years </w:t>
            </w:r>
            <w:r w:rsidR="003D2972">
              <w:rPr>
                <w:rFonts w:cs="Times New Roman"/>
                <w:sz w:val="20"/>
                <w:szCs w:val="20"/>
              </w:rPr>
              <w:t>or none</w:t>
            </w:r>
          </w:p>
        </w:tc>
        <w:tc>
          <w:tcPr>
            <w:tcW w:w="2025" w:type="dxa"/>
            <w:tcBorders>
              <w:top w:val="nil"/>
              <w:left w:val="nil"/>
              <w:bottom w:val="nil"/>
              <w:right w:val="nil"/>
            </w:tcBorders>
          </w:tcPr>
          <w:p w14:paraId="4C940190"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0.37 (0.36, 0.39)</w:t>
            </w:r>
          </w:p>
        </w:tc>
        <w:tc>
          <w:tcPr>
            <w:tcW w:w="2025" w:type="dxa"/>
            <w:tcBorders>
              <w:top w:val="nil"/>
              <w:left w:val="nil"/>
              <w:bottom w:val="nil"/>
              <w:right w:val="nil"/>
            </w:tcBorders>
          </w:tcPr>
          <w:p w14:paraId="650CBE30"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0.39 (0.38, 0.40)</w:t>
            </w:r>
          </w:p>
        </w:tc>
        <w:tc>
          <w:tcPr>
            <w:tcW w:w="2025" w:type="dxa"/>
            <w:tcBorders>
              <w:top w:val="nil"/>
              <w:left w:val="nil"/>
              <w:bottom w:val="nil"/>
              <w:right w:val="nil"/>
            </w:tcBorders>
          </w:tcPr>
          <w:p w14:paraId="34E91F37"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0.39 (0.38, 0.41)</w:t>
            </w:r>
          </w:p>
        </w:tc>
        <w:tc>
          <w:tcPr>
            <w:tcW w:w="2025" w:type="dxa"/>
            <w:tcBorders>
              <w:top w:val="nil"/>
              <w:left w:val="nil"/>
              <w:bottom w:val="nil"/>
              <w:right w:val="nil"/>
            </w:tcBorders>
            <w:shd w:val="clear" w:color="auto" w:fill="auto"/>
          </w:tcPr>
          <w:p w14:paraId="6E5F4A68"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0.39 (0.38, 0.40)</w:t>
            </w:r>
          </w:p>
        </w:tc>
      </w:tr>
      <w:tr w:rsidR="007D1642" w:rsidRPr="007D1642" w14:paraId="785F63C8" w14:textId="77777777" w:rsidTr="001B7103">
        <w:tc>
          <w:tcPr>
            <w:tcW w:w="4860" w:type="dxa"/>
            <w:tcBorders>
              <w:top w:val="nil"/>
              <w:left w:val="nil"/>
              <w:bottom w:val="nil"/>
              <w:right w:val="nil"/>
            </w:tcBorders>
          </w:tcPr>
          <w:p w14:paraId="6B314FC6" w14:textId="37F125CA" w:rsidR="007D1642" w:rsidRPr="007D1642" w:rsidRDefault="007D1642" w:rsidP="007D1642">
            <w:pPr>
              <w:spacing w:line="240" w:lineRule="auto"/>
              <w:rPr>
                <w:rFonts w:cs="Times New Roman"/>
                <w:sz w:val="20"/>
                <w:szCs w:val="20"/>
              </w:rPr>
            </w:pPr>
            <w:r w:rsidRPr="007D1642">
              <w:rPr>
                <w:rFonts w:cs="Times New Roman"/>
                <w:sz w:val="20"/>
                <w:szCs w:val="20"/>
              </w:rPr>
              <w:t xml:space="preserve">  Prior colonoscopy: 3-5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5DCE552A"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0.81 (0.80, 0.83)</w:t>
            </w:r>
          </w:p>
        </w:tc>
        <w:tc>
          <w:tcPr>
            <w:tcW w:w="2025" w:type="dxa"/>
            <w:tcBorders>
              <w:top w:val="nil"/>
              <w:left w:val="nil"/>
              <w:bottom w:val="nil"/>
              <w:right w:val="nil"/>
            </w:tcBorders>
          </w:tcPr>
          <w:p w14:paraId="4FA61E5F"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0.83 (0.81, 0.85)</w:t>
            </w:r>
          </w:p>
        </w:tc>
        <w:tc>
          <w:tcPr>
            <w:tcW w:w="2025" w:type="dxa"/>
            <w:tcBorders>
              <w:top w:val="nil"/>
              <w:left w:val="nil"/>
              <w:bottom w:val="nil"/>
              <w:right w:val="nil"/>
            </w:tcBorders>
          </w:tcPr>
          <w:p w14:paraId="32E814DA"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0.83 (0.81, 0.85)</w:t>
            </w:r>
          </w:p>
        </w:tc>
        <w:tc>
          <w:tcPr>
            <w:tcW w:w="2025" w:type="dxa"/>
            <w:tcBorders>
              <w:top w:val="nil"/>
              <w:left w:val="nil"/>
              <w:bottom w:val="nil"/>
              <w:right w:val="nil"/>
            </w:tcBorders>
            <w:shd w:val="clear" w:color="auto" w:fill="auto"/>
          </w:tcPr>
          <w:p w14:paraId="0C74D015"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0.83 (0.81, 0.84)</w:t>
            </w:r>
          </w:p>
        </w:tc>
      </w:tr>
      <w:tr w:rsidR="007D1642" w:rsidRPr="007D1642" w14:paraId="78BD187C" w14:textId="77777777" w:rsidTr="001B7103">
        <w:tc>
          <w:tcPr>
            <w:tcW w:w="4860" w:type="dxa"/>
            <w:tcBorders>
              <w:top w:val="nil"/>
              <w:left w:val="nil"/>
              <w:bottom w:val="nil"/>
              <w:right w:val="nil"/>
            </w:tcBorders>
          </w:tcPr>
          <w:p w14:paraId="7E83EBA9" w14:textId="6CED0FD0" w:rsidR="007D1642" w:rsidRPr="007D1642" w:rsidRDefault="007D1642" w:rsidP="007D1642">
            <w:pPr>
              <w:spacing w:line="240" w:lineRule="auto"/>
              <w:rPr>
                <w:rFonts w:cs="Times New Roman"/>
                <w:sz w:val="20"/>
                <w:szCs w:val="20"/>
              </w:rPr>
            </w:pPr>
            <w:r w:rsidRPr="007D1642">
              <w:rPr>
                <w:rFonts w:cs="Times New Roman"/>
                <w:sz w:val="20"/>
                <w:szCs w:val="20"/>
              </w:rPr>
              <w:t xml:space="preserve">  Prior colonoscopy: 6-10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25F4A3EA"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1.08 (1.06, 1.10)</w:t>
            </w:r>
          </w:p>
        </w:tc>
        <w:tc>
          <w:tcPr>
            <w:tcW w:w="2025" w:type="dxa"/>
            <w:tcBorders>
              <w:top w:val="nil"/>
              <w:left w:val="nil"/>
              <w:bottom w:val="nil"/>
              <w:right w:val="nil"/>
            </w:tcBorders>
          </w:tcPr>
          <w:p w14:paraId="354102AD"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1.06 (1.04, 1.08)</w:t>
            </w:r>
          </w:p>
        </w:tc>
        <w:tc>
          <w:tcPr>
            <w:tcW w:w="2025" w:type="dxa"/>
            <w:tcBorders>
              <w:top w:val="nil"/>
              <w:left w:val="nil"/>
              <w:bottom w:val="nil"/>
              <w:right w:val="nil"/>
            </w:tcBorders>
          </w:tcPr>
          <w:p w14:paraId="1A10894E"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1.06 (1.04, 1.09)</w:t>
            </w:r>
          </w:p>
        </w:tc>
        <w:tc>
          <w:tcPr>
            <w:tcW w:w="2025" w:type="dxa"/>
            <w:tcBorders>
              <w:top w:val="nil"/>
              <w:left w:val="nil"/>
              <w:bottom w:val="nil"/>
              <w:right w:val="nil"/>
            </w:tcBorders>
            <w:shd w:val="clear" w:color="auto" w:fill="auto"/>
          </w:tcPr>
          <w:p w14:paraId="077042BE"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1.06 (1.04, 1.08)</w:t>
            </w:r>
          </w:p>
        </w:tc>
      </w:tr>
      <w:tr w:rsidR="007D1642" w:rsidRPr="007D1642" w14:paraId="2119192A" w14:textId="77777777" w:rsidTr="001B7103">
        <w:tc>
          <w:tcPr>
            <w:tcW w:w="4860" w:type="dxa"/>
            <w:tcBorders>
              <w:top w:val="nil"/>
              <w:left w:val="nil"/>
              <w:bottom w:val="single" w:sz="4" w:space="0" w:color="auto"/>
              <w:right w:val="nil"/>
            </w:tcBorders>
          </w:tcPr>
          <w:p w14:paraId="0961465C" w14:textId="77777777" w:rsidR="007D1642" w:rsidRPr="007D1642" w:rsidRDefault="007D1642" w:rsidP="007D1642">
            <w:pPr>
              <w:spacing w:line="240" w:lineRule="auto"/>
              <w:rPr>
                <w:rFonts w:cs="Times New Roman"/>
                <w:sz w:val="20"/>
                <w:szCs w:val="20"/>
              </w:rPr>
            </w:pPr>
            <w:r w:rsidRPr="007D1642">
              <w:rPr>
                <w:rFonts w:cs="Times New Roman"/>
                <w:sz w:val="20"/>
                <w:szCs w:val="20"/>
              </w:rPr>
              <w:t xml:space="preserve">  Index year (year of positive FOBT, per 1-unit increase)</w:t>
            </w:r>
          </w:p>
        </w:tc>
        <w:tc>
          <w:tcPr>
            <w:tcW w:w="2025" w:type="dxa"/>
            <w:tcBorders>
              <w:top w:val="nil"/>
              <w:left w:val="nil"/>
              <w:bottom w:val="single" w:sz="4" w:space="0" w:color="auto"/>
              <w:right w:val="nil"/>
            </w:tcBorders>
          </w:tcPr>
          <w:p w14:paraId="73D4EDE4" w14:textId="77777777" w:rsidR="007D1642" w:rsidRPr="007D1642" w:rsidRDefault="007D1642" w:rsidP="007D1642">
            <w:pPr>
              <w:spacing w:line="240" w:lineRule="auto"/>
              <w:jc w:val="center"/>
              <w:rPr>
                <w:rFonts w:cs="Times New Roman"/>
                <w:sz w:val="20"/>
                <w:szCs w:val="20"/>
              </w:rPr>
            </w:pPr>
            <w:r w:rsidRPr="007D1642">
              <w:rPr>
                <w:rFonts w:cs="Times New Roman"/>
                <w:sz w:val="20"/>
                <w:szCs w:val="20"/>
              </w:rPr>
              <w:t>1.06 (1.05, 1.06)</w:t>
            </w:r>
          </w:p>
        </w:tc>
        <w:tc>
          <w:tcPr>
            <w:tcW w:w="2025" w:type="dxa"/>
            <w:tcBorders>
              <w:top w:val="nil"/>
              <w:left w:val="nil"/>
              <w:bottom w:val="single" w:sz="4" w:space="0" w:color="auto"/>
              <w:right w:val="nil"/>
            </w:tcBorders>
          </w:tcPr>
          <w:p w14:paraId="4AB7460E"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1.00 (1.01, 1.03)</w:t>
            </w:r>
          </w:p>
        </w:tc>
        <w:tc>
          <w:tcPr>
            <w:tcW w:w="2025" w:type="dxa"/>
            <w:tcBorders>
              <w:top w:val="nil"/>
              <w:left w:val="nil"/>
              <w:bottom w:val="single" w:sz="4" w:space="0" w:color="auto"/>
              <w:right w:val="nil"/>
            </w:tcBorders>
          </w:tcPr>
          <w:p w14:paraId="7407553C"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1.06 (1.05, 1.06)</w:t>
            </w:r>
          </w:p>
        </w:tc>
        <w:tc>
          <w:tcPr>
            <w:tcW w:w="2025" w:type="dxa"/>
            <w:tcBorders>
              <w:top w:val="nil"/>
              <w:left w:val="nil"/>
              <w:bottom w:val="single" w:sz="4" w:space="0" w:color="auto"/>
              <w:right w:val="nil"/>
            </w:tcBorders>
            <w:shd w:val="clear" w:color="auto" w:fill="auto"/>
          </w:tcPr>
          <w:p w14:paraId="585DC9F1" w14:textId="77777777" w:rsidR="007D1642" w:rsidRPr="007D1642" w:rsidRDefault="007D1642" w:rsidP="007D1642">
            <w:pPr>
              <w:spacing w:line="240" w:lineRule="auto"/>
              <w:jc w:val="center"/>
              <w:rPr>
                <w:rFonts w:cs="Times New Roman"/>
                <w:sz w:val="20"/>
                <w:szCs w:val="20"/>
                <w:highlight w:val="lightGray"/>
              </w:rPr>
            </w:pPr>
            <w:r w:rsidRPr="007D1642">
              <w:rPr>
                <w:rFonts w:cs="Times New Roman"/>
                <w:sz w:val="20"/>
                <w:szCs w:val="20"/>
              </w:rPr>
              <w:t>1.06 (1.05, 1.06)</w:t>
            </w:r>
          </w:p>
        </w:tc>
      </w:tr>
    </w:tbl>
    <w:p w14:paraId="7AF3ECF1" w14:textId="77777777" w:rsidR="007D1642" w:rsidRDefault="007D1642"/>
    <w:p w14:paraId="4044DCC2" w14:textId="77777777" w:rsidR="007D1642" w:rsidRPr="000A25D2" w:rsidRDefault="007D1642" w:rsidP="007D1642">
      <w:pPr>
        <w:spacing w:line="240" w:lineRule="auto"/>
        <w:rPr>
          <w:rFonts w:cs="Times New Roman"/>
          <w:szCs w:val="24"/>
        </w:rPr>
      </w:pPr>
      <w:r w:rsidRPr="000A25D2">
        <w:rPr>
          <w:rFonts w:cs="Times New Roman"/>
          <w:szCs w:val="24"/>
          <w:vertAlign w:val="superscript"/>
        </w:rPr>
        <w:lastRenderedPageBreak/>
        <w:t>a</w:t>
      </w:r>
      <w:r w:rsidRPr="000A25D2">
        <w:rPr>
          <w:rFonts w:cs="Times New Roman"/>
          <w:szCs w:val="24"/>
        </w:rPr>
        <w:t xml:space="preserve"> Includes diabetes, ESRD, COPD, CHF, and CVD</w:t>
      </w:r>
    </w:p>
    <w:p w14:paraId="76E1EBF2" w14:textId="15520712" w:rsidR="007D1642" w:rsidRPr="007D1642" w:rsidRDefault="007D1642" w:rsidP="007D1642">
      <w:pPr>
        <w:spacing w:line="240" w:lineRule="auto"/>
        <w:rPr>
          <w:rFonts w:cs="Times New Roman"/>
        </w:rPr>
      </w:pPr>
      <w:r w:rsidRPr="000A25D2">
        <w:rPr>
          <w:rFonts w:cs="Times New Roman"/>
          <w:szCs w:val="24"/>
        </w:rPr>
        <w:t xml:space="preserve">Abbreviations: hazard ratio, HR; confidence interval, CI; end-stage renal disease, ESRD; cardiovascular disease, CVD; chronic obstructive pulmonary disease, COPD; colorectal cancer, CRC; congestive heart failure, CHF; primary care </w:t>
      </w:r>
      <w:r w:rsidR="00046555">
        <w:rPr>
          <w:rFonts w:cs="Times New Roman"/>
          <w:szCs w:val="24"/>
        </w:rPr>
        <w:t>provider</w:t>
      </w:r>
      <w:r w:rsidRPr="000A25D2">
        <w:rPr>
          <w:rFonts w:cs="Times New Roman"/>
          <w:szCs w:val="24"/>
        </w:rPr>
        <w:t>, PCP</w:t>
      </w:r>
    </w:p>
    <w:p w14:paraId="4300C6DF" w14:textId="77777777" w:rsidR="007D1642" w:rsidRDefault="007D1642" w:rsidP="007D1642"/>
    <w:p w14:paraId="77880E5C" w14:textId="77777777" w:rsidR="007D1642" w:rsidRDefault="007D1642" w:rsidP="007D1642"/>
    <w:p w14:paraId="3D948BC8" w14:textId="77777777" w:rsidR="00F37B70" w:rsidRDefault="00F37B70" w:rsidP="007D1642"/>
    <w:p w14:paraId="0D6AEEB3" w14:textId="77777777" w:rsidR="00F37B70" w:rsidRDefault="00F37B70" w:rsidP="007D1642"/>
    <w:p w14:paraId="6626EEB6" w14:textId="77777777" w:rsidR="00F37B70" w:rsidRDefault="00F37B70" w:rsidP="007D1642"/>
    <w:p w14:paraId="72FBBA48" w14:textId="77777777" w:rsidR="00F37B70" w:rsidRDefault="00F37B70" w:rsidP="007D1642"/>
    <w:p w14:paraId="61E2B975" w14:textId="77777777" w:rsidR="00F37B70" w:rsidRDefault="00F37B70" w:rsidP="007D1642"/>
    <w:p w14:paraId="40C888C8" w14:textId="77777777" w:rsidR="00F37B70" w:rsidRDefault="00F37B70" w:rsidP="007D1642"/>
    <w:p w14:paraId="363391A1" w14:textId="77777777" w:rsidR="00F37B70" w:rsidRDefault="00F37B70" w:rsidP="007D1642"/>
    <w:p w14:paraId="43287EF5" w14:textId="77777777" w:rsidR="00F37B70" w:rsidRDefault="00F37B70" w:rsidP="007D1642"/>
    <w:p w14:paraId="78067DA8" w14:textId="77777777" w:rsidR="00F37B70" w:rsidRDefault="00F37B70" w:rsidP="007D1642"/>
    <w:p w14:paraId="6C51158F" w14:textId="77777777" w:rsidR="00F37B70" w:rsidRDefault="00F37B70" w:rsidP="007D1642"/>
    <w:p w14:paraId="25190818" w14:textId="77777777" w:rsidR="00F37B70" w:rsidRDefault="00F37B70" w:rsidP="007D1642"/>
    <w:p w14:paraId="70C59D97" w14:textId="77777777" w:rsidR="00F37B70" w:rsidRDefault="00F37B70" w:rsidP="007D1642"/>
    <w:p w14:paraId="51293387" w14:textId="77777777" w:rsidR="00F37B70" w:rsidRDefault="00F37B70" w:rsidP="007D1642"/>
    <w:p w14:paraId="10505D18" w14:textId="77777777" w:rsidR="00F37B70" w:rsidRDefault="00F37B70" w:rsidP="007D1642"/>
    <w:p w14:paraId="6570E9A6" w14:textId="77777777" w:rsidR="00F37B70" w:rsidRDefault="00F37B70" w:rsidP="007D1642"/>
    <w:p w14:paraId="098FABC2" w14:textId="77777777" w:rsidR="00E20E6A" w:rsidRDefault="00E20E6A" w:rsidP="00F37B70">
      <w:pPr>
        <w:tabs>
          <w:tab w:val="left" w:pos="3181"/>
        </w:tabs>
        <w:spacing w:line="240" w:lineRule="auto"/>
        <w:rPr>
          <w:rFonts w:cs="Times New Roman"/>
          <w:b/>
          <w:bCs/>
          <w:szCs w:val="24"/>
          <w:lang w:val="en-GB"/>
        </w:rPr>
      </w:pPr>
    </w:p>
    <w:p w14:paraId="52B9CC8E" w14:textId="77777777" w:rsidR="00E20E6A" w:rsidRDefault="00E20E6A" w:rsidP="00F37B70">
      <w:pPr>
        <w:tabs>
          <w:tab w:val="left" w:pos="3181"/>
        </w:tabs>
        <w:spacing w:line="240" w:lineRule="auto"/>
        <w:rPr>
          <w:rFonts w:cs="Times New Roman"/>
          <w:b/>
          <w:bCs/>
          <w:szCs w:val="24"/>
          <w:lang w:val="en-GB"/>
        </w:rPr>
      </w:pPr>
    </w:p>
    <w:p w14:paraId="39B80B15" w14:textId="77777777" w:rsidR="007C2CDE" w:rsidRDefault="007C2CDE" w:rsidP="00F37B70">
      <w:pPr>
        <w:tabs>
          <w:tab w:val="left" w:pos="3181"/>
        </w:tabs>
        <w:spacing w:line="240" w:lineRule="auto"/>
        <w:rPr>
          <w:rFonts w:cs="Times New Roman"/>
          <w:b/>
          <w:bCs/>
          <w:szCs w:val="24"/>
          <w:lang w:val="en-GB"/>
        </w:rPr>
      </w:pPr>
    </w:p>
    <w:p w14:paraId="3822BF5A" w14:textId="77777777" w:rsidR="007C2CDE" w:rsidRDefault="007C2CDE" w:rsidP="00F37B70">
      <w:pPr>
        <w:tabs>
          <w:tab w:val="left" w:pos="3181"/>
        </w:tabs>
        <w:spacing w:line="240" w:lineRule="auto"/>
        <w:rPr>
          <w:rFonts w:cs="Times New Roman"/>
          <w:b/>
          <w:bCs/>
          <w:szCs w:val="24"/>
          <w:lang w:val="en-GB"/>
        </w:rPr>
      </w:pPr>
    </w:p>
    <w:p w14:paraId="31E20D37" w14:textId="62C666D5" w:rsidR="00F37B70" w:rsidRDefault="00F37B70" w:rsidP="00F37B70">
      <w:pPr>
        <w:tabs>
          <w:tab w:val="left" w:pos="3181"/>
        </w:tabs>
        <w:spacing w:line="240" w:lineRule="auto"/>
        <w:rPr>
          <w:rFonts w:cs="Times New Roman"/>
          <w:szCs w:val="24"/>
        </w:rPr>
      </w:pPr>
      <w:r w:rsidRPr="00025D3F">
        <w:rPr>
          <w:rFonts w:cs="Times New Roman"/>
          <w:b/>
          <w:bCs/>
          <w:szCs w:val="24"/>
          <w:lang w:val="en-GB"/>
        </w:rPr>
        <w:lastRenderedPageBreak/>
        <w:t xml:space="preserve">Supplementary </w:t>
      </w:r>
      <w:r w:rsidR="007C2CDE">
        <w:rPr>
          <w:rFonts w:cs="Times New Roman"/>
          <w:b/>
          <w:bCs/>
          <w:szCs w:val="24"/>
          <w:lang w:val="en-GB"/>
        </w:rPr>
        <w:t>Table 6</w:t>
      </w:r>
      <w:r>
        <w:rPr>
          <w:rFonts w:cs="Times New Roman"/>
          <w:b/>
          <w:bCs/>
          <w:szCs w:val="24"/>
          <w:lang w:val="en-GB"/>
        </w:rPr>
        <w:t>.</w:t>
      </w:r>
      <w:r w:rsidRPr="00025D3F">
        <w:rPr>
          <w:rFonts w:cs="Times New Roman"/>
          <w:sz w:val="28"/>
          <w:szCs w:val="28"/>
          <w:lang w:val="en-GB"/>
        </w:rPr>
        <w:t xml:space="preserve"> </w:t>
      </w:r>
      <w:r>
        <w:rPr>
          <w:rFonts w:cs="Times New Roman"/>
          <w:szCs w:val="24"/>
        </w:rPr>
        <w:t>Full c</w:t>
      </w:r>
      <w:r w:rsidRPr="00E25C2B">
        <w:rPr>
          <w:rFonts w:cs="Times New Roman"/>
          <w:szCs w:val="24"/>
        </w:rPr>
        <w:t>ause-specific</w:t>
      </w:r>
      <w:r>
        <w:rPr>
          <w:rFonts w:cs="Times New Roman"/>
          <w:szCs w:val="24"/>
        </w:rPr>
        <w:t xml:space="preserve"> hazard</w:t>
      </w:r>
      <w:r w:rsidRPr="00E25C2B">
        <w:rPr>
          <w:rFonts w:cs="Times New Roman"/>
          <w:szCs w:val="24"/>
        </w:rPr>
        <w:t xml:space="preserve"> regression models for the association between comorbidity and first </w:t>
      </w:r>
      <w:r>
        <w:rPr>
          <w:rFonts w:cs="Times New Roman"/>
          <w:szCs w:val="24"/>
        </w:rPr>
        <w:t xml:space="preserve">complete </w:t>
      </w:r>
      <w:r w:rsidRPr="00E25C2B">
        <w:rPr>
          <w:rFonts w:cs="Times New Roman"/>
          <w:szCs w:val="24"/>
        </w:rPr>
        <w:t>follow-up colonoscopy</w:t>
      </w:r>
      <w:r>
        <w:rPr>
          <w:rFonts w:cs="Times New Roman"/>
          <w:szCs w:val="24"/>
        </w:rPr>
        <w:t xml:space="preserve"> within 12 months of the positive FOBT result</w:t>
      </w:r>
    </w:p>
    <w:p w14:paraId="4821CD39" w14:textId="77777777" w:rsidR="00F37B70" w:rsidRDefault="00F37B70" w:rsidP="00F37B70">
      <w:pPr>
        <w:tabs>
          <w:tab w:val="left" w:pos="3181"/>
        </w:tabs>
        <w:spacing w:line="240" w:lineRule="auto"/>
        <w:rPr>
          <w:rFonts w:ascii="Cambria" w:hAnsi="Cambria" w:cs="Times New Roman"/>
          <w:szCs w:val="24"/>
        </w:rPr>
      </w:pPr>
    </w:p>
    <w:tbl>
      <w:tblPr>
        <w:tblStyle w:val="TableGrid"/>
        <w:tblW w:w="0" w:type="auto"/>
        <w:tblLook w:val="04A0" w:firstRow="1" w:lastRow="0" w:firstColumn="1" w:lastColumn="0" w:noHBand="0" w:noVBand="1"/>
      </w:tblPr>
      <w:tblGrid>
        <w:gridCol w:w="4860"/>
        <w:gridCol w:w="2025"/>
        <w:gridCol w:w="2025"/>
        <w:gridCol w:w="2025"/>
        <w:gridCol w:w="2025"/>
      </w:tblGrid>
      <w:tr w:rsidR="00F37B70" w:rsidRPr="00A0643C" w14:paraId="7D5CEEC2" w14:textId="77777777" w:rsidTr="001B7103">
        <w:tc>
          <w:tcPr>
            <w:tcW w:w="4860" w:type="dxa"/>
            <w:tcBorders>
              <w:left w:val="nil"/>
              <w:bottom w:val="single" w:sz="4" w:space="0" w:color="auto"/>
              <w:right w:val="nil"/>
            </w:tcBorders>
            <w:vAlign w:val="center"/>
          </w:tcPr>
          <w:p w14:paraId="53CAE02B" w14:textId="77777777" w:rsidR="00F37B70" w:rsidRPr="00A0643C" w:rsidRDefault="00F37B70" w:rsidP="001B7103">
            <w:pPr>
              <w:spacing w:line="240" w:lineRule="auto"/>
              <w:jc w:val="center"/>
              <w:rPr>
                <w:rFonts w:cs="Times New Roman"/>
                <w:b/>
                <w:bCs/>
                <w:sz w:val="20"/>
                <w:szCs w:val="20"/>
              </w:rPr>
            </w:pPr>
            <w:r w:rsidRPr="00A0643C">
              <w:rPr>
                <w:rFonts w:cs="Times New Roman"/>
                <w:b/>
                <w:bCs/>
                <w:sz w:val="20"/>
                <w:szCs w:val="20"/>
              </w:rPr>
              <w:t>Variable</w:t>
            </w:r>
          </w:p>
        </w:tc>
        <w:tc>
          <w:tcPr>
            <w:tcW w:w="2025" w:type="dxa"/>
            <w:tcBorders>
              <w:left w:val="nil"/>
              <w:bottom w:val="single" w:sz="4" w:space="0" w:color="auto"/>
              <w:right w:val="nil"/>
            </w:tcBorders>
            <w:vAlign w:val="center"/>
          </w:tcPr>
          <w:p w14:paraId="2906B102" w14:textId="77777777" w:rsidR="00F37B70" w:rsidRPr="00A0643C" w:rsidRDefault="00F37B70" w:rsidP="001B7103">
            <w:pPr>
              <w:spacing w:line="240" w:lineRule="auto"/>
              <w:jc w:val="center"/>
              <w:rPr>
                <w:rFonts w:cs="Times New Roman"/>
                <w:b/>
                <w:bCs/>
                <w:sz w:val="20"/>
                <w:szCs w:val="20"/>
              </w:rPr>
            </w:pPr>
            <w:r w:rsidRPr="00A0643C">
              <w:rPr>
                <w:rFonts w:cs="Times New Roman"/>
                <w:b/>
                <w:bCs/>
                <w:sz w:val="20"/>
                <w:szCs w:val="20"/>
              </w:rPr>
              <w:t>Unadjusted</w:t>
            </w:r>
          </w:p>
          <w:p w14:paraId="00C155F9" w14:textId="77777777" w:rsidR="00F37B70" w:rsidRPr="00A0643C" w:rsidRDefault="00F37B70" w:rsidP="001B7103">
            <w:pPr>
              <w:spacing w:line="240" w:lineRule="auto"/>
              <w:jc w:val="center"/>
              <w:rPr>
                <w:rFonts w:cs="Times New Roman"/>
                <w:b/>
                <w:bCs/>
                <w:sz w:val="20"/>
                <w:szCs w:val="20"/>
                <w:highlight w:val="yellow"/>
              </w:rPr>
            </w:pPr>
            <w:r w:rsidRPr="00A0643C">
              <w:rPr>
                <w:rFonts w:cs="Times New Roman"/>
                <w:b/>
                <w:bCs/>
                <w:sz w:val="20"/>
                <w:szCs w:val="20"/>
              </w:rPr>
              <w:t>HR (95% CI)</w:t>
            </w:r>
          </w:p>
        </w:tc>
        <w:tc>
          <w:tcPr>
            <w:tcW w:w="2025" w:type="dxa"/>
            <w:tcBorders>
              <w:left w:val="nil"/>
              <w:bottom w:val="single" w:sz="4" w:space="0" w:color="auto"/>
              <w:right w:val="nil"/>
            </w:tcBorders>
            <w:vAlign w:val="center"/>
          </w:tcPr>
          <w:p w14:paraId="140BE66F" w14:textId="77777777" w:rsidR="00F37B70" w:rsidRPr="00A0643C" w:rsidRDefault="00F37B70" w:rsidP="001B7103">
            <w:pPr>
              <w:spacing w:line="240" w:lineRule="auto"/>
              <w:jc w:val="center"/>
              <w:rPr>
                <w:rFonts w:cs="Times New Roman"/>
                <w:b/>
                <w:bCs/>
                <w:sz w:val="20"/>
                <w:szCs w:val="20"/>
                <w:vertAlign w:val="superscript"/>
              </w:rPr>
            </w:pPr>
            <w:r w:rsidRPr="00A0643C">
              <w:rPr>
                <w:rFonts w:cs="Times New Roman"/>
                <w:b/>
                <w:bCs/>
                <w:sz w:val="20"/>
                <w:szCs w:val="20"/>
              </w:rPr>
              <w:t>Adjusted 1</w:t>
            </w:r>
          </w:p>
          <w:p w14:paraId="2793F3EA" w14:textId="77777777" w:rsidR="00F37B70" w:rsidRPr="00A0643C" w:rsidRDefault="00F37B70" w:rsidP="001B7103">
            <w:pPr>
              <w:spacing w:line="240" w:lineRule="auto"/>
              <w:jc w:val="center"/>
              <w:rPr>
                <w:rFonts w:cs="Times New Roman"/>
                <w:b/>
                <w:bCs/>
                <w:sz w:val="20"/>
                <w:szCs w:val="20"/>
              </w:rPr>
            </w:pPr>
            <w:r w:rsidRPr="00A0643C">
              <w:rPr>
                <w:rFonts w:cs="Times New Roman"/>
                <w:b/>
                <w:bCs/>
                <w:sz w:val="20"/>
                <w:szCs w:val="20"/>
              </w:rPr>
              <w:t>HR (95% CI)</w:t>
            </w:r>
          </w:p>
        </w:tc>
        <w:tc>
          <w:tcPr>
            <w:tcW w:w="2025" w:type="dxa"/>
            <w:tcBorders>
              <w:left w:val="nil"/>
              <w:bottom w:val="single" w:sz="4" w:space="0" w:color="auto"/>
              <w:right w:val="nil"/>
            </w:tcBorders>
            <w:vAlign w:val="center"/>
          </w:tcPr>
          <w:p w14:paraId="720110D7" w14:textId="77777777" w:rsidR="00F37B70" w:rsidRPr="00A0643C" w:rsidRDefault="00F37B70" w:rsidP="001B7103">
            <w:pPr>
              <w:spacing w:line="240" w:lineRule="auto"/>
              <w:jc w:val="center"/>
              <w:rPr>
                <w:rFonts w:cs="Times New Roman"/>
                <w:b/>
                <w:bCs/>
                <w:sz w:val="20"/>
                <w:szCs w:val="20"/>
                <w:vertAlign w:val="superscript"/>
              </w:rPr>
            </w:pPr>
            <w:r w:rsidRPr="00A0643C">
              <w:rPr>
                <w:rFonts w:cs="Times New Roman"/>
                <w:b/>
                <w:bCs/>
                <w:sz w:val="20"/>
                <w:szCs w:val="20"/>
              </w:rPr>
              <w:t>Adjusted 2</w:t>
            </w:r>
          </w:p>
          <w:p w14:paraId="2DEFEC79" w14:textId="77777777" w:rsidR="00F37B70" w:rsidRPr="00A0643C" w:rsidRDefault="00F37B70" w:rsidP="001B7103">
            <w:pPr>
              <w:spacing w:line="240" w:lineRule="auto"/>
              <w:jc w:val="center"/>
              <w:rPr>
                <w:rFonts w:cs="Times New Roman"/>
                <w:b/>
                <w:bCs/>
                <w:sz w:val="20"/>
                <w:szCs w:val="20"/>
                <w:highlight w:val="yellow"/>
              </w:rPr>
            </w:pPr>
            <w:r w:rsidRPr="00A0643C">
              <w:rPr>
                <w:rFonts w:cs="Times New Roman"/>
                <w:b/>
                <w:bCs/>
                <w:sz w:val="20"/>
                <w:szCs w:val="20"/>
              </w:rPr>
              <w:t>HR (95% CI)</w:t>
            </w:r>
          </w:p>
        </w:tc>
        <w:tc>
          <w:tcPr>
            <w:tcW w:w="2025" w:type="dxa"/>
            <w:tcBorders>
              <w:left w:val="nil"/>
              <w:bottom w:val="single" w:sz="4" w:space="0" w:color="auto"/>
              <w:right w:val="nil"/>
            </w:tcBorders>
            <w:vAlign w:val="center"/>
          </w:tcPr>
          <w:p w14:paraId="684FB073" w14:textId="77777777" w:rsidR="00F37B70" w:rsidRPr="00A0643C" w:rsidRDefault="00F37B70" w:rsidP="001B7103">
            <w:pPr>
              <w:spacing w:line="240" w:lineRule="auto"/>
              <w:jc w:val="center"/>
              <w:rPr>
                <w:rFonts w:cs="Times New Roman"/>
                <w:b/>
                <w:bCs/>
                <w:sz w:val="20"/>
                <w:szCs w:val="20"/>
                <w:vertAlign w:val="superscript"/>
              </w:rPr>
            </w:pPr>
            <w:r w:rsidRPr="00A0643C">
              <w:rPr>
                <w:rFonts w:cs="Times New Roman"/>
                <w:b/>
                <w:bCs/>
                <w:sz w:val="20"/>
                <w:szCs w:val="20"/>
              </w:rPr>
              <w:t>Adjusted 3</w:t>
            </w:r>
          </w:p>
          <w:p w14:paraId="54312B74" w14:textId="77777777" w:rsidR="00F37B70" w:rsidRPr="00A0643C" w:rsidRDefault="00F37B70" w:rsidP="001B7103">
            <w:pPr>
              <w:spacing w:line="240" w:lineRule="auto"/>
              <w:jc w:val="center"/>
              <w:rPr>
                <w:rFonts w:cs="Times New Roman"/>
                <w:b/>
                <w:bCs/>
                <w:sz w:val="20"/>
                <w:szCs w:val="20"/>
                <w:highlight w:val="yellow"/>
              </w:rPr>
            </w:pPr>
            <w:r w:rsidRPr="00A0643C">
              <w:rPr>
                <w:rFonts w:cs="Times New Roman"/>
                <w:b/>
                <w:bCs/>
                <w:sz w:val="20"/>
                <w:szCs w:val="20"/>
              </w:rPr>
              <w:t>HR (95% CI)</w:t>
            </w:r>
          </w:p>
        </w:tc>
      </w:tr>
      <w:tr w:rsidR="00F37B70" w:rsidRPr="00A0643C" w14:paraId="2231424B" w14:textId="77777777" w:rsidTr="001B7103">
        <w:tc>
          <w:tcPr>
            <w:tcW w:w="4860" w:type="dxa"/>
            <w:tcBorders>
              <w:left w:val="nil"/>
              <w:bottom w:val="nil"/>
              <w:right w:val="nil"/>
            </w:tcBorders>
          </w:tcPr>
          <w:p w14:paraId="71407EB6" w14:textId="77777777" w:rsidR="00F37B70" w:rsidRPr="00A0643C" w:rsidRDefault="00F37B70" w:rsidP="001B7103">
            <w:pPr>
              <w:spacing w:line="240" w:lineRule="auto"/>
              <w:rPr>
                <w:rFonts w:cs="Times New Roman"/>
                <w:sz w:val="20"/>
                <w:szCs w:val="20"/>
              </w:rPr>
            </w:pPr>
            <w:r w:rsidRPr="00A0643C">
              <w:rPr>
                <w:rFonts w:cs="Times New Roman"/>
                <w:b/>
                <w:bCs/>
                <w:sz w:val="20"/>
                <w:szCs w:val="20"/>
              </w:rPr>
              <w:t>Individual chronic conditions</w:t>
            </w:r>
          </w:p>
        </w:tc>
        <w:tc>
          <w:tcPr>
            <w:tcW w:w="2025" w:type="dxa"/>
            <w:tcBorders>
              <w:left w:val="nil"/>
              <w:bottom w:val="nil"/>
              <w:right w:val="nil"/>
            </w:tcBorders>
          </w:tcPr>
          <w:p w14:paraId="5249FE3B" w14:textId="77777777" w:rsidR="00F37B70" w:rsidRPr="00A0643C" w:rsidRDefault="00F37B70" w:rsidP="001B7103">
            <w:pPr>
              <w:spacing w:line="240" w:lineRule="auto"/>
              <w:jc w:val="center"/>
              <w:rPr>
                <w:rFonts w:cs="Times New Roman"/>
                <w:sz w:val="20"/>
                <w:szCs w:val="20"/>
              </w:rPr>
            </w:pPr>
          </w:p>
        </w:tc>
        <w:tc>
          <w:tcPr>
            <w:tcW w:w="2025" w:type="dxa"/>
            <w:tcBorders>
              <w:left w:val="nil"/>
              <w:bottom w:val="nil"/>
              <w:right w:val="nil"/>
            </w:tcBorders>
          </w:tcPr>
          <w:p w14:paraId="7BAB0FD9" w14:textId="77777777" w:rsidR="00F37B70" w:rsidRPr="00A0643C" w:rsidRDefault="00F37B70" w:rsidP="001B7103">
            <w:pPr>
              <w:spacing w:line="240" w:lineRule="auto"/>
              <w:jc w:val="center"/>
              <w:rPr>
                <w:rFonts w:cs="Times New Roman"/>
                <w:sz w:val="20"/>
                <w:szCs w:val="20"/>
              </w:rPr>
            </w:pPr>
          </w:p>
        </w:tc>
        <w:tc>
          <w:tcPr>
            <w:tcW w:w="2025" w:type="dxa"/>
            <w:tcBorders>
              <w:left w:val="nil"/>
              <w:bottom w:val="nil"/>
              <w:right w:val="nil"/>
            </w:tcBorders>
          </w:tcPr>
          <w:p w14:paraId="6C8BDFAE" w14:textId="77777777" w:rsidR="00F37B70" w:rsidRPr="00A0643C" w:rsidRDefault="00F37B70" w:rsidP="001B7103">
            <w:pPr>
              <w:spacing w:line="240" w:lineRule="auto"/>
              <w:jc w:val="center"/>
              <w:rPr>
                <w:rFonts w:cs="Times New Roman"/>
                <w:sz w:val="20"/>
                <w:szCs w:val="20"/>
              </w:rPr>
            </w:pPr>
          </w:p>
        </w:tc>
        <w:tc>
          <w:tcPr>
            <w:tcW w:w="2025" w:type="dxa"/>
            <w:tcBorders>
              <w:left w:val="nil"/>
              <w:bottom w:val="nil"/>
              <w:right w:val="nil"/>
            </w:tcBorders>
          </w:tcPr>
          <w:p w14:paraId="4D110D1F" w14:textId="77777777" w:rsidR="00F37B70" w:rsidRPr="00A0643C" w:rsidRDefault="00F37B70" w:rsidP="001B7103">
            <w:pPr>
              <w:spacing w:line="240" w:lineRule="auto"/>
              <w:jc w:val="center"/>
              <w:rPr>
                <w:rFonts w:cs="Times New Roman"/>
                <w:sz w:val="20"/>
                <w:szCs w:val="20"/>
              </w:rPr>
            </w:pPr>
          </w:p>
        </w:tc>
      </w:tr>
      <w:tr w:rsidR="00F37B70" w:rsidRPr="00A0643C" w14:paraId="40BEB7CB" w14:textId="77777777" w:rsidTr="001B7103">
        <w:tc>
          <w:tcPr>
            <w:tcW w:w="4860" w:type="dxa"/>
            <w:tcBorders>
              <w:top w:val="nil"/>
              <w:left w:val="nil"/>
              <w:bottom w:val="nil"/>
              <w:right w:val="nil"/>
            </w:tcBorders>
          </w:tcPr>
          <w:p w14:paraId="56C8FD87"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Diabetes (incident) vs. no diabetes</w:t>
            </w:r>
          </w:p>
        </w:tc>
        <w:tc>
          <w:tcPr>
            <w:tcW w:w="2025" w:type="dxa"/>
            <w:tcBorders>
              <w:top w:val="nil"/>
              <w:left w:val="nil"/>
              <w:bottom w:val="nil"/>
              <w:right w:val="nil"/>
            </w:tcBorders>
          </w:tcPr>
          <w:p w14:paraId="77B30C6A" w14:textId="7E7CF15A" w:rsidR="00F37B70" w:rsidRPr="00A0643C" w:rsidRDefault="00F37B70" w:rsidP="001B7103">
            <w:pPr>
              <w:spacing w:line="240" w:lineRule="auto"/>
              <w:jc w:val="center"/>
              <w:rPr>
                <w:rFonts w:cs="Times New Roman"/>
                <w:sz w:val="20"/>
                <w:szCs w:val="20"/>
              </w:rPr>
            </w:pPr>
            <w:r w:rsidRPr="00A0643C">
              <w:rPr>
                <w:rFonts w:cs="Times New Roman"/>
                <w:sz w:val="20"/>
                <w:szCs w:val="20"/>
              </w:rPr>
              <w:t>0.9</w:t>
            </w:r>
            <w:r w:rsidR="00BC090F">
              <w:rPr>
                <w:rFonts w:cs="Times New Roman"/>
                <w:sz w:val="20"/>
                <w:szCs w:val="20"/>
              </w:rPr>
              <w:t>1</w:t>
            </w:r>
            <w:r w:rsidRPr="00A0643C">
              <w:rPr>
                <w:rFonts w:cs="Times New Roman"/>
                <w:sz w:val="20"/>
                <w:szCs w:val="20"/>
              </w:rPr>
              <w:t xml:space="preserve"> (0.</w:t>
            </w:r>
            <w:r w:rsidR="00BC090F">
              <w:rPr>
                <w:rFonts w:cs="Times New Roman"/>
                <w:sz w:val="20"/>
                <w:szCs w:val="20"/>
              </w:rPr>
              <w:t>8</w:t>
            </w:r>
            <w:r w:rsidRPr="00A0643C">
              <w:rPr>
                <w:rFonts w:cs="Times New Roman"/>
                <w:sz w:val="20"/>
                <w:szCs w:val="20"/>
              </w:rPr>
              <w:t>9, 0.9</w:t>
            </w:r>
            <w:r w:rsidR="00BC090F">
              <w:rPr>
                <w:rFonts w:cs="Times New Roman"/>
                <w:sz w:val="20"/>
                <w:szCs w:val="20"/>
              </w:rPr>
              <w:t>4</w:t>
            </w:r>
            <w:r w:rsidRPr="00A0643C">
              <w:rPr>
                <w:rFonts w:cs="Times New Roman"/>
                <w:sz w:val="20"/>
                <w:szCs w:val="20"/>
              </w:rPr>
              <w:t>)</w:t>
            </w:r>
          </w:p>
        </w:tc>
        <w:tc>
          <w:tcPr>
            <w:tcW w:w="2025" w:type="dxa"/>
            <w:tcBorders>
              <w:top w:val="nil"/>
              <w:left w:val="nil"/>
              <w:bottom w:val="nil"/>
              <w:right w:val="nil"/>
            </w:tcBorders>
          </w:tcPr>
          <w:p w14:paraId="2AF03FB0" w14:textId="1A43F9F1" w:rsidR="00F37B70" w:rsidRPr="00A0643C" w:rsidRDefault="00F37B70" w:rsidP="001B7103">
            <w:pPr>
              <w:spacing w:line="240" w:lineRule="auto"/>
              <w:jc w:val="center"/>
              <w:rPr>
                <w:rFonts w:cs="Times New Roman"/>
                <w:sz w:val="20"/>
                <w:szCs w:val="20"/>
              </w:rPr>
            </w:pPr>
            <w:r w:rsidRPr="00A0643C">
              <w:rPr>
                <w:rFonts w:cs="Times New Roman"/>
                <w:sz w:val="20"/>
                <w:szCs w:val="20"/>
              </w:rPr>
              <w:t>0.94 (0.9</w:t>
            </w:r>
            <w:r>
              <w:rPr>
                <w:rFonts w:cs="Times New Roman"/>
                <w:sz w:val="20"/>
                <w:szCs w:val="20"/>
              </w:rPr>
              <w:t>1</w:t>
            </w:r>
            <w:r w:rsidRPr="00A0643C">
              <w:rPr>
                <w:rFonts w:cs="Times New Roman"/>
                <w:sz w:val="20"/>
                <w:szCs w:val="20"/>
              </w:rPr>
              <w:t>, 0.9</w:t>
            </w:r>
            <w:r w:rsidR="00BC090F">
              <w:rPr>
                <w:rFonts w:cs="Times New Roman"/>
                <w:sz w:val="20"/>
                <w:szCs w:val="20"/>
              </w:rPr>
              <w:t>6</w:t>
            </w:r>
            <w:r w:rsidRPr="00A0643C">
              <w:rPr>
                <w:rFonts w:cs="Times New Roman"/>
                <w:sz w:val="20"/>
                <w:szCs w:val="20"/>
              </w:rPr>
              <w:t>)</w:t>
            </w:r>
          </w:p>
        </w:tc>
        <w:tc>
          <w:tcPr>
            <w:tcW w:w="2025" w:type="dxa"/>
            <w:tcBorders>
              <w:top w:val="nil"/>
              <w:left w:val="nil"/>
              <w:bottom w:val="nil"/>
              <w:right w:val="nil"/>
            </w:tcBorders>
          </w:tcPr>
          <w:p w14:paraId="5DC7FC1B"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5C1F8859"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607675AA" w14:textId="77777777" w:rsidTr="001B7103">
        <w:tc>
          <w:tcPr>
            <w:tcW w:w="4860" w:type="dxa"/>
            <w:tcBorders>
              <w:top w:val="nil"/>
              <w:left w:val="nil"/>
              <w:bottom w:val="nil"/>
              <w:right w:val="nil"/>
            </w:tcBorders>
          </w:tcPr>
          <w:p w14:paraId="6F9DAB14"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Diabetes (prevalent)</w:t>
            </w:r>
            <w:r w:rsidRPr="00A0643C">
              <w:rPr>
                <w:rFonts w:cs="Times New Roman"/>
                <w:sz w:val="20"/>
                <w:szCs w:val="20"/>
                <w:vertAlign w:val="superscript"/>
              </w:rPr>
              <w:t xml:space="preserve"> </w:t>
            </w:r>
            <w:r w:rsidRPr="00A0643C">
              <w:rPr>
                <w:rFonts w:cs="Times New Roman"/>
                <w:sz w:val="20"/>
                <w:szCs w:val="20"/>
              </w:rPr>
              <w:t>vs. no diabetes</w:t>
            </w:r>
          </w:p>
        </w:tc>
        <w:tc>
          <w:tcPr>
            <w:tcW w:w="2025" w:type="dxa"/>
            <w:tcBorders>
              <w:top w:val="nil"/>
              <w:left w:val="nil"/>
              <w:bottom w:val="nil"/>
              <w:right w:val="nil"/>
            </w:tcBorders>
          </w:tcPr>
          <w:p w14:paraId="0EB91149" w14:textId="3CD849EC" w:rsidR="00F37B70" w:rsidRPr="00A0643C" w:rsidRDefault="00F37B70" w:rsidP="001B7103">
            <w:pPr>
              <w:spacing w:line="240" w:lineRule="auto"/>
              <w:jc w:val="center"/>
              <w:rPr>
                <w:rFonts w:cs="Times New Roman"/>
                <w:sz w:val="20"/>
                <w:szCs w:val="20"/>
              </w:rPr>
            </w:pPr>
            <w:r w:rsidRPr="00A0643C">
              <w:rPr>
                <w:rFonts w:cs="Times New Roman"/>
                <w:sz w:val="20"/>
                <w:szCs w:val="20"/>
              </w:rPr>
              <w:t>0.92 (0.91, 0.9</w:t>
            </w:r>
            <w:r w:rsidR="001A1ABA">
              <w:rPr>
                <w:rFonts w:cs="Times New Roman"/>
                <w:sz w:val="20"/>
                <w:szCs w:val="20"/>
              </w:rPr>
              <w:t>4</w:t>
            </w:r>
            <w:r w:rsidRPr="00A0643C">
              <w:rPr>
                <w:rFonts w:cs="Times New Roman"/>
                <w:sz w:val="20"/>
                <w:szCs w:val="20"/>
              </w:rPr>
              <w:t>)</w:t>
            </w:r>
          </w:p>
        </w:tc>
        <w:tc>
          <w:tcPr>
            <w:tcW w:w="2025" w:type="dxa"/>
            <w:tcBorders>
              <w:top w:val="nil"/>
              <w:left w:val="nil"/>
              <w:bottom w:val="nil"/>
              <w:right w:val="nil"/>
            </w:tcBorders>
          </w:tcPr>
          <w:p w14:paraId="6CD8CA19" w14:textId="34615C48" w:rsidR="00F37B70" w:rsidRPr="00A0643C" w:rsidRDefault="00F37B70" w:rsidP="001B7103">
            <w:pPr>
              <w:spacing w:line="240" w:lineRule="auto"/>
              <w:jc w:val="center"/>
              <w:rPr>
                <w:rFonts w:cs="Times New Roman"/>
                <w:sz w:val="20"/>
                <w:szCs w:val="20"/>
              </w:rPr>
            </w:pPr>
            <w:r w:rsidRPr="00A0643C">
              <w:rPr>
                <w:rFonts w:cs="Times New Roman"/>
                <w:sz w:val="20"/>
                <w:szCs w:val="20"/>
              </w:rPr>
              <w:t>0.9</w:t>
            </w:r>
            <w:r w:rsidR="00BC090F">
              <w:rPr>
                <w:rFonts w:cs="Times New Roman"/>
                <w:sz w:val="20"/>
                <w:szCs w:val="20"/>
              </w:rPr>
              <w:t>6</w:t>
            </w:r>
            <w:r w:rsidRPr="00A0643C">
              <w:rPr>
                <w:rFonts w:cs="Times New Roman"/>
                <w:sz w:val="20"/>
                <w:szCs w:val="20"/>
              </w:rPr>
              <w:t xml:space="preserve"> (0.9</w:t>
            </w:r>
            <w:r w:rsidR="00BC090F">
              <w:rPr>
                <w:rFonts w:cs="Times New Roman"/>
                <w:sz w:val="20"/>
                <w:szCs w:val="20"/>
              </w:rPr>
              <w:t>5</w:t>
            </w:r>
            <w:r w:rsidRPr="00A0643C">
              <w:rPr>
                <w:rFonts w:cs="Times New Roman"/>
                <w:sz w:val="20"/>
                <w:szCs w:val="20"/>
              </w:rPr>
              <w:t>, 0.9</w:t>
            </w:r>
            <w:r w:rsidR="00BC090F">
              <w:rPr>
                <w:rFonts w:cs="Times New Roman"/>
                <w:sz w:val="20"/>
                <w:szCs w:val="20"/>
              </w:rPr>
              <w:t>7</w:t>
            </w:r>
            <w:r w:rsidRPr="00A0643C">
              <w:rPr>
                <w:rFonts w:cs="Times New Roman"/>
                <w:sz w:val="20"/>
                <w:szCs w:val="20"/>
              </w:rPr>
              <w:t>)</w:t>
            </w:r>
          </w:p>
        </w:tc>
        <w:tc>
          <w:tcPr>
            <w:tcW w:w="2025" w:type="dxa"/>
            <w:tcBorders>
              <w:top w:val="nil"/>
              <w:left w:val="nil"/>
              <w:bottom w:val="nil"/>
              <w:right w:val="nil"/>
            </w:tcBorders>
          </w:tcPr>
          <w:p w14:paraId="53CE2435"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264FDA4D"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446AA74C" w14:textId="77777777" w:rsidTr="001B7103">
        <w:tc>
          <w:tcPr>
            <w:tcW w:w="4860" w:type="dxa"/>
            <w:tcBorders>
              <w:top w:val="nil"/>
              <w:left w:val="nil"/>
              <w:bottom w:val="nil"/>
              <w:right w:val="nil"/>
            </w:tcBorders>
          </w:tcPr>
          <w:p w14:paraId="3B8CF5B7"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ESRD vs. no ESRD</w:t>
            </w:r>
          </w:p>
        </w:tc>
        <w:tc>
          <w:tcPr>
            <w:tcW w:w="2025" w:type="dxa"/>
            <w:tcBorders>
              <w:top w:val="nil"/>
              <w:left w:val="nil"/>
              <w:bottom w:val="nil"/>
              <w:right w:val="nil"/>
            </w:tcBorders>
          </w:tcPr>
          <w:p w14:paraId="29BB4A18" w14:textId="161E0A9A" w:rsidR="00F37B70" w:rsidRPr="00A0643C" w:rsidRDefault="00F37B70" w:rsidP="001B7103">
            <w:pPr>
              <w:spacing w:line="240" w:lineRule="auto"/>
              <w:jc w:val="center"/>
              <w:rPr>
                <w:rFonts w:cs="Times New Roman"/>
                <w:sz w:val="20"/>
                <w:szCs w:val="20"/>
              </w:rPr>
            </w:pPr>
            <w:r w:rsidRPr="00A0643C">
              <w:rPr>
                <w:rFonts w:cs="Times New Roman"/>
                <w:sz w:val="20"/>
                <w:szCs w:val="20"/>
              </w:rPr>
              <w:t>0.63 (0.5</w:t>
            </w:r>
            <w:r w:rsidR="001A1ABA">
              <w:rPr>
                <w:rFonts w:cs="Times New Roman"/>
                <w:sz w:val="20"/>
                <w:szCs w:val="20"/>
              </w:rPr>
              <w:t>5</w:t>
            </w:r>
            <w:r w:rsidRPr="00A0643C">
              <w:rPr>
                <w:rFonts w:cs="Times New Roman"/>
                <w:sz w:val="20"/>
                <w:szCs w:val="20"/>
              </w:rPr>
              <w:t>, 0.72)</w:t>
            </w:r>
          </w:p>
        </w:tc>
        <w:tc>
          <w:tcPr>
            <w:tcW w:w="2025" w:type="dxa"/>
            <w:tcBorders>
              <w:top w:val="nil"/>
              <w:left w:val="nil"/>
              <w:bottom w:val="nil"/>
              <w:right w:val="nil"/>
            </w:tcBorders>
          </w:tcPr>
          <w:p w14:paraId="111641AE" w14:textId="76F934FA" w:rsidR="00F37B70" w:rsidRPr="00A0643C" w:rsidRDefault="00F37B70" w:rsidP="001B7103">
            <w:pPr>
              <w:spacing w:line="240" w:lineRule="auto"/>
              <w:jc w:val="center"/>
              <w:rPr>
                <w:rFonts w:cs="Times New Roman"/>
                <w:sz w:val="20"/>
                <w:szCs w:val="20"/>
              </w:rPr>
            </w:pPr>
            <w:r w:rsidRPr="00A0643C">
              <w:rPr>
                <w:rFonts w:cs="Times New Roman"/>
                <w:sz w:val="20"/>
                <w:szCs w:val="20"/>
              </w:rPr>
              <w:t>0.7</w:t>
            </w:r>
            <w:r w:rsidR="00BC090F">
              <w:rPr>
                <w:rFonts w:cs="Times New Roman"/>
                <w:sz w:val="20"/>
                <w:szCs w:val="20"/>
              </w:rPr>
              <w:t>2</w:t>
            </w:r>
            <w:r w:rsidRPr="00A0643C">
              <w:rPr>
                <w:rFonts w:cs="Times New Roman"/>
                <w:sz w:val="20"/>
                <w:szCs w:val="20"/>
              </w:rPr>
              <w:t xml:space="preserve"> (0.6</w:t>
            </w:r>
            <w:r w:rsidR="00BC090F">
              <w:rPr>
                <w:rFonts w:cs="Times New Roman"/>
                <w:sz w:val="20"/>
                <w:szCs w:val="20"/>
              </w:rPr>
              <w:t>2</w:t>
            </w:r>
            <w:r w:rsidRPr="00A0643C">
              <w:rPr>
                <w:rFonts w:cs="Times New Roman"/>
                <w:sz w:val="20"/>
                <w:szCs w:val="20"/>
              </w:rPr>
              <w:t>, 0.8</w:t>
            </w:r>
            <w:r w:rsidR="00BC090F">
              <w:rPr>
                <w:rFonts w:cs="Times New Roman"/>
                <w:sz w:val="20"/>
                <w:szCs w:val="20"/>
              </w:rPr>
              <w:t>2</w:t>
            </w:r>
            <w:r w:rsidRPr="00A0643C">
              <w:rPr>
                <w:rFonts w:cs="Times New Roman"/>
                <w:sz w:val="20"/>
                <w:szCs w:val="20"/>
              </w:rPr>
              <w:t>)</w:t>
            </w:r>
          </w:p>
        </w:tc>
        <w:tc>
          <w:tcPr>
            <w:tcW w:w="2025" w:type="dxa"/>
            <w:tcBorders>
              <w:top w:val="nil"/>
              <w:left w:val="nil"/>
              <w:bottom w:val="nil"/>
              <w:right w:val="nil"/>
            </w:tcBorders>
          </w:tcPr>
          <w:p w14:paraId="1DE26437"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112B47B5"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60423EC5" w14:textId="77777777" w:rsidTr="001B7103">
        <w:tc>
          <w:tcPr>
            <w:tcW w:w="4860" w:type="dxa"/>
            <w:tcBorders>
              <w:top w:val="nil"/>
              <w:left w:val="nil"/>
              <w:bottom w:val="nil"/>
              <w:right w:val="nil"/>
            </w:tcBorders>
          </w:tcPr>
          <w:p w14:paraId="4AA0DF75"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COPD vs. no COPD</w:t>
            </w:r>
          </w:p>
        </w:tc>
        <w:tc>
          <w:tcPr>
            <w:tcW w:w="2025" w:type="dxa"/>
            <w:tcBorders>
              <w:top w:val="nil"/>
              <w:left w:val="nil"/>
              <w:bottom w:val="nil"/>
              <w:right w:val="nil"/>
            </w:tcBorders>
          </w:tcPr>
          <w:p w14:paraId="18A964F9" w14:textId="2C7F36E4" w:rsidR="00F37B70" w:rsidRPr="00A0643C" w:rsidRDefault="00F37B70" w:rsidP="001B7103">
            <w:pPr>
              <w:spacing w:line="240" w:lineRule="auto"/>
              <w:jc w:val="center"/>
              <w:rPr>
                <w:rFonts w:cs="Times New Roman"/>
                <w:sz w:val="20"/>
                <w:szCs w:val="20"/>
              </w:rPr>
            </w:pPr>
            <w:r w:rsidRPr="00A0643C">
              <w:rPr>
                <w:rFonts w:cs="Times New Roman"/>
                <w:sz w:val="20"/>
                <w:szCs w:val="20"/>
              </w:rPr>
              <w:t>0.</w:t>
            </w:r>
            <w:r w:rsidR="001A1ABA">
              <w:rPr>
                <w:rFonts w:cs="Times New Roman"/>
                <w:sz w:val="20"/>
                <w:szCs w:val="20"/>
              </w:rPr>
              <w:t>89</w:t>
            </w:r>
            <w:r w:rsidRPr="00A0643C">
              <w:rPr>
                <w:rFonts w:cs="Times New Roman"/>
                <w:sz w:val="20"/>
                <w:szCs w:val="20"/>
              </w:rPr>
              <w:t xml:space="preserve"> (0.8</w:t>
            </w:r>
            <w:r w:rsidR="001A1ABA">
              <w:rPr>
                <w:rFonts w:cs="Times New Roman"/>
                <w:sz w:val="20"/>
                <w:szCs w:val="20"/>
              </w:rPr>
              <w:t>8</w:t>
            </w:r>
            <w:r w:rsidRPr="00A0643C">
              <w:rPr>
                <w:rFonts w:cs="Times New Roman"/>
                <w:sz w:val="20"/>
                <w:szCs w:val="20"/>
              </w:rPr>
              <w:t>, 0.91)</w:t>
            </w:r>
          </w:p>
        </w:tc>
        <w:tc>
          <w:tcPr>
            <w:tcW w:w="2025" w:type="dxa"/>
            <w:tcBorders>
              <w:top w:val="nil"/>
              <w:left w:val="nil"/>
              <w:bottom w:val="nil"/>
              <w:right w:val="nil"/>
            </w:tcBorders>
          </w:tcPr>
          <w:p w14:paraId="3593534A" w14:textId="4E44AA8E" w:rsidR="00F37B70" w:rsidRPr="00A0643C" w:rsidRDefault="00F37B70" w:rsidP="001B7103">
            <w:pPr>
              <w:spacing w:line="240" w:lineRule="auto"/>
              <w:jc w:val="center"/>
              <w:rPr>
                <w:rFonts w:cs="Times New Roman"/>
                <w:sz w:val="20"/>
                <w:szCs w:val="20"/>
              </w:rPr>
            </w:pPr>
            <w:r w:rsidRPr="00A0643C">
              <w:rPr>
                <w:rFonts w:cs="Times New Roman"/>
                <w:sz w:val="20"/>
                <w:szCs w:val="20"/>
              </w:rPr>
              <w:t>0.9</w:t>
            </w:r>
            <w:r w:rsidR="001A1ABA">
              <w:rPr>
                <w:rFonts w:cs="Times New Roman"/>
                <w:sz w:val="20"/>
                <w:szCs w:val="20"/>
              </w:rPr>
              <w:t>5</w:t>
            </w:r>
            <w:r w:rsidRPr="00A0643C">
              <w:rPr>
                <w:rFonts w:cs="Times New Roman"/>
                <w:sz w:val="20"/>
                <w:szCs w:val="20"/>
              </w:rPr>
              <w:t xml:space="preserve"> (0.9</w:t>
            </w:r>
            <w:r w:rsidR="001A1ABA">
              <w:rPr>
                <w:rFonts w:cs="Times New Roman"/>
                <w:sz w:val="20"/>
                <w:szCs w:val="20"/>
              </w:rPr>
              <w:t>4</w:t>
            </w:r>
            <w:r w:rsidRPr="00A0643C">
              <w:rPr>
                <w:rFonts w:cs="Times New Roman"/>
                <w:sz w:val="20"/>
                <w:szCs w:val="20"/>
              </w:rPr>
              <w:t>, 0.9</w:t>
            </w:r>
            <w:r w:rsidR="001A1ABA">
              <w:rPr>
                <w:rFonts w:cs="Times New Roman"/>
                <w:sz w:val="20"/>
                <w:szCs w:val="20"/>
              </w:rPr>
              <w:t>7</w:t>
            </w:r>
            <w:r w:rsidRPr="00A0643C">
              <w:rPr>
                <w:rFonts w:cs="Times New Roman"/>
                <w:sz w:val="20"/>
                <w:szCs w:val="20"/>
              </w:rPr>
              <w:t>)</w:t>
            </w:r>
          </w:p>
        </w:tc>
        <w:tc>
          <w:tcPr>
            <w:tcW w:w="2025" w:type="dxa"/>
            <w:tcBorders>
              <w:top w:val="nil"/>
              <w:left w:val="nil"/>
              <w:bottom w:val="nil"/>
              <w:right w:val="nil"/>
            </w:tcBorders>
          </w:tcPr>
          <w:p w14:paraId="6FEF0583"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3FB3654E"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10A746EE" w14:textId="77777777" w:rsidTr="001B7103">
        <w:tc>
          <w:tcPr>
            <w:tcW w:w="4860" w:type="dxa"/>
            <w:tcBorders>
              <w:top w:val="nil"/>
              <w:left w:val="nil"/>
              <w:bottom w:val="nil"/>
              <w:right w:val="nil"/>
            </w:tcBorders>
          </w:tcPr>
          <w:p w14:paraId="686EF8CF"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CHF vs. no CHF</w:t>
            </w:r>
          </w:p>
        </w:tc>
        <w:tc>
          <w:tcPr>
            <w:tcW w:w="2025" w:type="dxa"/>
            <w:tcBorders>
              <w:top w:val="nil"/>
              <w:left w:val="nil"/>
              <w:bottom w:val="nil"/>
              <w:right w:val="nil"/>
            </w:tcBorders>
          </w:tcPr>
          <w:p w14:paraId="044C16F6" w14:textId="22150185" w:rsidR="00F37B70" w:rsidRPr="00A0643C" w:rsidRDefault="00F37B70" w:rsidP="001B7103">
            <w:pPr>
              <w:spacing w:line="240" w:lineRule="auto"/>
              <w:jc w:val="center"/>
              <w:rPr>
                <w:rFonts w:cs="Times New Roman"/>
                <w:sz w:val="20"/>
                <w:szCs w:val="20"/>
              </w:rPr>
            </w:pPr>
            <w:r w:rsidRPr="00A0643C">
              <w:rPr>
                <w:rFonts w:cs="Times New Roman"/>
                <w:sz w:val="20"/>
                <w:szCs w:val="20"/>
              </w:rPr>
              <w:t>0.7</w:t>
            </w:r>
            <w:r w:rsidR="001A1ABA">
              <w:rPr>
                <w:rFonts w:cs="Times New Roman"/>
                <w:sz w:val="20"/>
                <w:szCs w:val="20"/>
              </w:rPr>
              <w:t>1</w:t>
            </w:r>
            <w:r w:rsidRPr="00A0643C">
              <w:rPr>
                <w:rFonts w:cs="Times New Roman"/>
                <w:sz w:val="20"/>
                <w:szCs w:val="20"/>
              </w:rPr>
              <w:t xml:space="preserve"> (0.</w:t>
            </w:r>
            <w:r w:rsidR="001A1ABA">
              <w:rPr>
                <w:rFonts w:cs="Times New Roman"/>
                <w:sz w:val="20"/>
                <w:szCs w:val="20"/>
              </w:rPr>
              <w:t>69</w:t>
            </w:r>
            <w:r w:rsidRPr="00A0643C">
              <w:rPr>
                <w:rFonts w:cs="Times New Roman"/>
                <w:sz w:val="20"/>
                <w:szCs w:val="20"/>
              </w:rPr>
              <w:t>, 0.</w:t>
            </w:r>
            <w:r w:rsidR="001A1ABA">
              <w:rPr>
                <w:rFonts w:cs="Times New Roman"/>
                <w:sz w:val="20"/>
                <w:szCs w:val="20"/>
              </w:rPr>
              <w:t>73</w:t>
            </w:r>
            <w:r w:rsidRPr="00A0643C">
              <w:rPr>
                <w:rFonts w:cs="Times New Roman"/>
                <w:sz w:val="20"/>
                <w:szCs w:val="20"/>
              </w:rPr>
              <w:t>)</w:t>
            </w:r>
          </w:p>
        </w:tc>
        <w:tc>
          <w:tcPr>
            <w:tcW w:w="2025" w:type="dxa"/>
            <w:tcBorders>
              <w:top w:val="nil"/>
              <w:left w:val="nil"/>
              <w:bottom w:val="nil"/>
              <w:right w:val="nil"/>
            </w:tcBorders>
          </w:tcPr>
          <w:p w14:paraId="76199535" w14:textId="4AAEB3D5" w:rsidR="00F37B70" w:rsidRPr="00A0643C" w:rsidRDefault="00F37B70" w:rsidP="001B7103">
            <w:pPr>
              <w:spacing w:line="240" w:lineRule="auto"/>
              <w:jc w:val="center"/>
              <w:rPr>
                <w:rFonts w:cs="Times New Roman"/>
                <w:sz w:val="20"/>
                <w:szCs w:val="20"/>
              </w:rPr>
            </w:pPr>
            <w:r w:rsidRPr="00A0643C">
              <w:rPr>
                <w:rFonts w:cs="Times New Roman"/>
                <w:sz w:val="20"/>
                <w:szCs w:val="20"/>
              </w:rPr>
              <w:t>0.</w:t>
            </w:r>
            <w:r w:rsidR="001A1ABA">
              <w:rPr>
                <w:rFonts w:cs="Times New Roman"/>
                <w:sz w:val="20"/>
                <w:szCs w:val="20"/>
              </w:rPr>
              <w:t>77</w:t>
            </w:r>
            <w:r w:rsidRPr="00A0643C">
              <w:rPr>
                <w:rFonts w:cs="Times New Roman"/>
                <w:sz w:val="20"/>
                <w:szCs w:val="20"/>
              </w:rPr>
              <w:t xml:space="preserve"> (0.</w:t>
            </w:r>
            <w:r w:rsidR="001A1ABA">
              <w:rPr>
                <w:rFonts w:cs="Times New Roman"/>
                <w:sz w:val="20"/>
                <w:szCs w:val="20"/>
              </w:rPr>
              <w:t>74</w:t>
            </w:r>
            <w:r w:rsidRPr="00A0643C">
              <w:rPr>
                <w:rFonts w:cs="Times New Roman"/>
                <w:sz w:val="20"/>
                <w:szCs w:val="20"/>
              </w:rPr>
              <w:t>, 0.7</w:t>
            </w:r>
            <w:r w:rsidR="001A1ABA">
              <w:rPr>
                <w:rFonts w:cs="Times New Roman"/>
                <w:sz w:val="20"/>
                <w:szCs w:val="20"/>
              </w:rPr>
              <w:t>9</w:t>
            </w:r>
            <w:r w:rsidRPr="00A0643C">
              <w:rPr>
                <w:rFonts w:cs="Times New Roman"/>
                <w:sz w:val="20"/>
                <w:szCs w:val="20"/>
              </w:rPr>
              <w:t>)</w:t>
            </w:r>
          </w:p>
        </w:tc>
        <w:tc>
          <w:tcPr>
            <w:tcW w:w="2025" w:type="dxa"/>
            <w:tcBorders>
              <w:top w:val="nil"/>
              <w:left w:val="nil"/>
              <w:bottom w:val="nil"/>
              <w:right w:val="nil"/>
            </w:tcBorders>
          </w:tcPr>
          <w:p w14:paraId="4E7E1B26"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56E4553F"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04024F5F" w14:textId="77777777" w:rsidTr="001B7103">
        <w:tc>
          <w:tcPr>
            <w:tcW w:w="4860" w:type="dxa"/>
            <w:tcBorders>
              <w:top w:val="nil"/>
              <w:left w:val="nil"/>
              <w:bottom w:val="nil"/>
              <w:right w:val="nil"/>
            </w:tcBorders>
          </w:tcPr>
          <w:p w14:paraId="7C58C14B"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CVD vs. no CVD</w:t>
            </w:r>
          </w:p>
        </w:tc>
        <w:tc>
          <w:tcPr>
            <w:tcW w:w="2025" w:type="dxa"/>
            <w:tcBorders>
              <w:top w:val="nil"/>
              <w:left w:val="nil"/>
              <w:bottom w:val="nil"/>
              <w:right w:val="nil"/>
            </w:tcBorders>
          </w:tcPr>
          <w:p w14:paraId="73FC5A39" w14:textId="48F9BCC0" w:rsidR="00F37B70" w:rsidRPr="00A0643C" w:rsidRDefault="00F37B70" w:rsidP="001B7103">
            <w:pPr>
              <w:spacing w:line="240" w:lineRule="auto"/>
              <w:jc w:val="center"/>
              <w:rPr>
                <w:rFonts w:cs="Times New Roman"/>
                <w:sz w:val="20"/>
                <w:szCs w:val="20"/>
              </w:rPr>
            </w:pPr>
            <w:r w:rsidRPr="00A0643C">
              <w:rPr>
                <w:rFonts w:cs="Times New Roman"/>
                <w:sz w:val="20"/>
                <w:szCs w:val="20"/>
              </w:rPr>
              <w:t>0.8</w:t>
            </w:r>
            <w:r w:rsidR="001A1ABA">
              <w:rPr>
                <w:rFonts w:cs="Times New Roman"/>
                <w:sz w:val="20"/>
                <w:szCs w:val="20"/>
              </w:rPr>
              <w:t>5</w:t>
            </w:r>
            <w:r w:rsidRPr="00A0643C">
              <w:rPr>
                <w:rFonts w:cs="Times New Roman"/>
                <w:sz w:val="20"/>
                <w:szCs w:val="20"/>
              </w:rPr>
              <w:t xml:space="preserve"> (0.8</w:t>
            </w:r>
            <w:r w:rsidR="001A1ABA">
              <w:rPr>
                <w:rFonts w:cs="Times New Roman"/>
                <w:sz w:val="20"/>
                <w:szCs w:val="20"/>
              </w:rPr>
              <w:t>3</w:t>
            </w:r>
            <w:r w:rsidRPr="00A0643C">
              <w:rPr>
                <w:rFonts w:cs="Times New Roman"/>
                <w:sz w:val="20"/>
                <w:szCs w:val="20"/>
              </w:rPr>
              <w:t>, 0.87)</w:t>
            </w:r>
          </w:p>
        </w:tc>
        <w:tc>
          <w:tcPr>
            <w:tcW w:w="2025" w:type="dxa"/>
            <w:tcBorders>
              <w:top w:val="nil"/>
              <w:left w:val="nil"/>
              <w:bottom w:val="nil"/>
              <w:right w:val="nil"/>
            </w:tcBorders>
          </w:tcPr>
          <w:p w14:paraId="331E1FD7" w14:textId="4944BCCA" w:rsidR="00F37B70" w:rsidRPr="00A0643C" w:rsidRDefault="00F37B70" w:rsidP="001B7103">
            <w:pPr>
              <w:spacing w:line="240" w:lineRule="auto"/>
              <w:jc w:val="center"/>
              <w:rPr>
                <w:rFonts w:cs="Times New Roman"/>
                <w:sz w:val="20"/>
                <w:szCs w:val="20"/>
              </w:rPr>
            </w:pPr>
            <w:r w:rsidRPr="00A0643C">
              <w:rPr>
                <w:rFonts w:cs="Times New Roman"/>
                <w:sz w:val="20"/>
                <w:szCs w:val="20"/>
              </w:rPr>
              <w:t>0.9</w:t>
            </w:r>
            <w:r w:rsidR="001A1ABA">
              <w:rPr>
                <w:rFonts w:cs="Times New Roman"/>
                <w:sz w:val="20"/>
                <w:szCs w:val="20"/>
              </w:rPr>
              <w:t>3</w:t>
            </w:r>
            <w:r w:rsidRPr="00A0643C">
              <w:rPr>
                <w:rFonts w:cs="Times New Roman"/>
                <w:sz w:val="20"/>
                <w:szCs w:val="20"/>
              </w:rPr>
              <w:t xml:space="preserve"> (0.9</w:t>
            </w:r>
            <w:r w:rsidR="001A1ABA">
              <w:rPr>
                <w:rFonts w:cs="Times New Roman"/>
                <w:sz w:val="20"/>
                <w:szCs w:val="20"/>
              </w:rPr>
              <w:t>1</w:t>
            </w:r>
            <w:r w:rsidRPr="00A0643C">
              <w:rPr>
                <w:rFonts w:cs="Times New Roman"/>
                <w:sz w:val="20"/>
                <w:szCs w:val="20"/>
              </w:rPr>
              <w:t>, 0.9</w:t>
            </w:r>
            <w:r w:rsidR="001A1ABA">
              <w:rPr>
                <w:rFonts w:cs="Times New Roman"/>
                <w:sz w:val="20"/>
                <w:szCs w:val="20"/>
              </w:rPr>
              <w:t>5</w:t>
            </w:r>
            <w:r w:rsidRPr="00A0643C">
              <w:rPr>
                <w:rFonts w:cs="Times New Roman"/>
                <w:sz w:val="20"/>
                <w:szCs w:val="20"/>
              </w:rPr>
              <w:t>)</w:t>
            </w:r>
          </w:p>
        </w:tc>
        <w:tc>
          <w:tcPr>
            <w:tcW w:w="2025" w:type="dxa"/>
            <w:tcBorders>
              <w:top w:val="nil"/>
              <w:left w:val="nil"/>
              <w:bottom w:val="nil"/>
              <w:right w:val="nil"/>
            </w:tcBorders>
          </w:tcPr>
          <w:p w14:paraId="25B83A92"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27ABC71C"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050A67CA" w14:textId="77777777" w:rsidTr="001B7103">
        <w:tc>
          <w:tcPr>
            <w:tcW w:w="4860" w:type="dxa"/>
            <w:tcBorders>
              <w:top w:val="nil"/>
              <w:left w:val="nil"/>
              <w:bottom w:val="nil"/>
              <w:right w:val="nil"/>
            </w:tcBorders>
          </w:tcPr>
          <w:p w14:paraId="67ABACF3"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Serious mental illness vs. no mental illness</w:t>
            </w:r>
          </w:p>
        </w:tc>
        <w:tc>
          <w:tcPr>
            <w:tcW w:w="2025" w:type="dxa"/>
            <w:tcBorders>
              <w:top w:val="nil"/>
              <w:left w:val="nil"/>
              <w:bottom w:val="nil"/>
              <w:right w:val="nil"/>
            </w:tcBorders>
          </w:tcPr>
          <w:p w14:paraId="4016E462" w14:textId="3D4A2588" w:rsidR="00F37B70" w:rsidRPr="00A0643C" w:rsidRDefault="00F37B70" w:rsidP="001B7103">
            <w:pPr>
              <w:spacing w:line="240" w:lineRule="auto"/>
              <w:jc w:val="center"/>
              <w:rPr>
                <w:rFonts w:cs="Times New Roman"/>
                <w:sz w:val="20"/>
                <w:szCs w:val="20"/>
              </w:rPr>
            </w:pPr>
            <w:r w:rsidRPr="00A0643C">
              <w:rPr>
                <w:rFonts w:cs="Times New Roman"/>
                <w:sz w:val="20"/>
                <w:szCs w:val="20"/>
              </w:rPr>
              <w:t>0.8</w:t>
            </w:r>
            <w:r w:rsidR="001A1ABA">
              <w:rPr>
                <w:rFonts w:cs="Times New Roman"/>
                <w:sz w:val="20"/>
                <w:szCs w:val="20"/>
              </w:rPr>
              <w:t>2</w:t>
            </w:r>
            <w:r w:rsidRPr="00A0643C">
              <w:rPr>
                <w:rFonts w:cs="Times New Roman"/>
                <w:sz w:val="20"/>
                <w:szCs w:val="20"/>
              </w:rPr>
              <w:t xml:space="preserve"> (0.</w:t>
            </w:r>
            <w:r w:rsidR="001A1ABA">
              <w:rPr>
                <w:rFonts w:cs="Times New Roman"/>
                <w:sz w:val="20"/>
                <w:szCs w:val="20"/>
              </w:rPr>
              <w:t>79</w:t>
            </w:r>
            <w:r w:rsidRPr="00A0643C">
              <w:rPr>
                <w:rFonts w:cs="Times New Roman"/>
                <w:sz w:val="20"/>
                <w:szCs w:val="20"/>
              </w:rPr>
              <w:t>, 0.</w:t>
            </w:r>
            <w:r w:rsidR="001A1ABA">
              <w:rPr>
                <w:rFonts w:cs="Times New Roman"/>
                <w:sz w:val="20"/>
                <w:szCs w:val="20"/>
              </w:rPr>
              <w:t>85</w:t>
            </w:r>
            <w:r w:rsidRPr="00A0643C">
              <w:rPr>
                <w:rFonts w:cs="Times New Roman"/>
                <w:sz w:val="20"/>
                <w:szCs w:val="20"/>
              </w:rPr>
              <w:t>)</w:t>
            </w:r>
          </w:p>
        </w:tc>
        <w:tc>
          <w:tcPr>
            <w:tcW w:w="2025" w:type="dxa"/>
            <w:tcBorders>
              <w:top w:val="nil"/>
              <w:left w:val="nil"/>
              <w:bottom w:val="nil"/>
              <w:right w:val="nil"/>
            </w:tcBorders>
          </w:tcPr>
          <w:p w14:paraId="494451FA" w14:textId="2F066498" w:rsidR="00F37B70" w:rsidRPr="00A0643C" w:rsidRDefault="00F37B70" w:rsidP="001B7103">
            <w:pPr>
              <w:spacing w:line="240" w:lineRule="auto"/>
              <w:jc w:val="center"/>
              <w:rPr>
                <w:rFonts w:cs="Times New Roman"/>
                <w:sz w:val="20"/>
                <w:szCs w:val="20"/>
              </w:rPr>
            </w:pPr>
            <w:r w:rsidRPr="00A0643C">
              <w:rPr>
                <w:rFonts w:cs="Times New Roman"/>
                <w:sz w:val="20"/>
                <w:szCs w:val="20"/>
              </w:rPr>
              <w:t>0.8</w:t>
            </w:r>
            <w:r w:rsidR="001A1ABA">
              <w:rPr>
                <w:rFonts w:cs="Times New Roman"/>
                <w:sz w:val="20"/>
                <w:szCs w:val="20"/>
              </w:rPr>
              <w:t>5</w:t>
            </w:r>
            <w:r w:rsidRPr="00A0643C">
              <w:rPr>
                <w:rFonts w:cs="Times New Roman"/>
                <w:sz w:val="20"/>
                <w:szCs w:val="20"/>
              </w:rPr>
              <w:t xml:space="preserve"> (0.8</w:t>
            </w:r>
            <w:r w:rsidR="001A1ABA">
              <w:rPr>
                <w:rFonts w:cs="Times New Roman"/>
                <w:sz w:val="20"/>
                <w:szCs w:val="20"/>
              </w:rPr>
              <w:t>2</w:t>
            </w:r>
            <w:r w:rsidRPr="00A0643C">
              <w:rPr>
                <w:rFonts w:cs="Times New Roman"/>
                <w:sz w:val="20"/>
                <w:szCs w:val="20"/>
              </w:rPr>
              <w:t>, 0.</w:t>
            </w:r>
            <w:r w:rsidR="001A1ABA">
              <w:rPr>
                <w:rFonts w:cs="Times New Roman"/>
                <w:sz w:val="20"/>
                <w:szCs w:val="20"/>
              </w:rPr>
              <w:t>8</w:t>
            </w:r>
            <w:r w:rsidRPr="00A0643C">
              <w:rPr>
                <w:rFonts w:cs="Times New Roman"/>
                <w:sz w:val="20"/>
                <w:szCs w:val="20"/>
              </w:rPr>
              <w:t>9)</w:t>
            </w:r>
          </w:p>
        </w:tc>
        <w:tc>
          <w:tcPr>
            <w:tcW w:w="2025" w:type="dxa"/>
            <w:tcBorders>
              <w:top w:val="nil"/>
              <w:left w:val="nil"/>
              <w:bottom w:val="nil"/>
              <w:right w:val="nil"/>
            </w:tcBorders>
          </w:tcPr>
          <w:p w14:paraId="5D09BD82"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0.88 (0.84, 0.91)</w:t>
            </w:r>
          </w:p>
        </w:tc>
        <w:tc>
          <w:tcPr>
            <w:tcW w:w="2025" w:type="dxa"/>
            <w:tcBorders>
              <w:top w:val="nil"/>
              <w:left w:val="nil"/>
              <w:bottom w:val="nil"/>
              <w:right w:val="nil"/>
            </w:tcBorders>
          </w:tcPr>
          <w:p w14:paraId="59B80E53"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62852851" w14:textId="77777777" w:rsidTr="001B7103">
        <w:tc>
          <w:tcPr>
            <w:tcW w:w="4860" w:type="dxa"/>
            <w:tcBorders>
              <w:top w:val="nil"/>
              <w:left w:val="nil"/>
              <w:bottom w:val="nil"/>
              <w:right w:val="nil"/>
            </w:tcBorders>
          </w:tcPr>
          <w:p w14:paraId="7B3C577E"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Common mental illness vs. no mental illness</w:t>
            </w:r>
          </w:p>
        </w:tc>
        <w:tc>
          <w:tcPr>
            <w:tcW w:w="2025" w:type="dxa"/>
            <w:tcBorders>
              <w:top w:val="nil"/>
              <w:left w:val="nil"/>
              <w:bottom w:val="nil"/>
              <w:right w:val="nil"/>
            </w:tcBorders>
          </w:tcPr>
          <w:p w14:paraId="54F575EE" w14:textId="39B697D8" w:rsidR="00F37B70" w:rsidRPr="00A0643C" w:rsidRDefault="00F37B70" w:rsidP="001B7103">
            <w:pPr>
              <w:spacing w:line="240" w:lineRule="auto"/>
              <w:jc w:val="center"/>
              <w:rPr>
                <w:rFonts w:cs="Times New Roman"/>
                <w:sz w:val="20"/>
                <w:szCs w:val="20"/>
              </w:rPr>
            </w:pPr>
            <w:r w:rsidRPr="00A0643C">
              <w:rPr>
                <w:rFonts w:cs="Times New Roman"/>
                <w:sz w:val="20"/>
                <w:szCs w:val="20"/>
              </w:rPr>
              <w:t>0.9</w:t>
            </w:r>
            <w:r w:rsidR="001A1ABA">
              <w:rPr>
                <w:rFonts w:cs="Times New Roman"/>
                <w:sz w:val="20"/>
                <w:szCs w:val="20"/>
              </w:rPr>
              <w:t>2</w:t>
            </w:r>
            <w:r w:rsidRPr="00A0643C">
              <w:rPr>
                <w:rFonts w:cs="Times New Roman"/>
                <w:sz w:val="20"/>
                <w:szCs w:val="20"/>
              </w:rPr>
              <w:t xml:space="preserve"> (0.9</w:t>
            </w:r>
            <w:r w:rsidR="001A1ABA">
              <w:rPr>
                <w:rFonts w:cs="Times New Roman"/>
                <w:sz w:val="20"/>
                <w:szCs w:val="20"/>
              </w:rPr>
              <w:t>1</w:t>
            </w:r>
            <w:r w:rsidRPr="00A0643C">
              <w:rPr>
                <w:rFonts w:cs="Times New Roman"/>
                <w:sz w:val="20"/>
                <w:szCs w:val="20"/>
              </w:rPr>
              <w:t>, 0.9</w:t>
            </w:r>
            <w:r w:rsidR="001A1ABA">
              <w:rPr>
                <w:rFonts w:cs="Times New Roman"/>
                <w:sz w:val="20"/>
                <w:szCs w:val="20"/>
              </w:rPr>
              <w:t>3</w:t>
            </w:r>
            <w:r w:rsidRPr="00A0643C">
              <w:rPr>
                <w:rFonts w:cs="Times New Roman"/>
                <w:sz w:val="20"/>
                <w:szCs w:val="20"/>
              </w:rPr>
              <w:t>)</w:t>
            </w:r>
          </w:p>
        </w:tc>
        <w:tc>
          <w:tcPr>
            <w:tcW w:w="2025" w:type="dxa"/>
            <w:tcBorders>
              <w:top w:val="nil"/>
              <w:left w:val="nil"/>
              <w:bottom w:val="nil"/>
              <w:right w:val="nil"/>
            </w:tcBorders>
          </w:tcPr>
          <w:p w14:paraId="67BA20B9"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0.97 (0.96, 0.9</w:t>
            </w:r>
            <w:r>
              <w:rPr>
                <w:rFonts w:cs="Times New Roman"/>
                <w:sz w:val="20"/>
                <w:szCs w:val="20"/>
              </w:rPr>
              <w:t>8</w:t>
            </w:r>
            <w:r w:rsidRPr="00A0643C">
              <w:rPr>
                <w:rFonts w:cs="Times New Roman"/>
                <w:sz w:val="20"/>
                <w:szCs w:val="20"/>
              </w:rPr>
              <w:t>)</w:t>
            </w:r>
          </w:p>
        </w:tc>
        <w:tc>
          <w:tcPr>
            <w:tcW w:w="2025" w:type="dxa"/>
            <w:tcBorders>
              <w:top w:val="nil"/>
              <w:left w:val="nil"/>
              <w:bottom w:val="nil"/>
              <w:right w:val="nil"/>
            </w:tcBorders>
          </w:tcPr>
          <w:p w14:paraId="6A863D4F"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0.97 (0.96, 0.99)</w:t>
            </w:r>
          </w:p>
        </w:tc>
        <w:tc>
          <w:tcPr>
            <w:tcW w:w="2025" w:type="dxa"/>
            <w:tcBorders>
              <w:top w:val="nil"/>
              <w:left w:val="nil"/>
              <w:bottom w:val="nil"/>
              <w:right w:val="nil"/>
            </w:tcBorders>
          </w:tcPr>
          <w:p w14:paraId="3AEAF350"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6465F946" w14:textId="77777777" w:rsidTr="001B7103">
        <w:tc>
          <w:tcPr>
            <w:tcW w:w="4860" w:type="dxa"/>
            <w:tcBorders>
              <w:top w:val="nil"/>
              <w:left w:val="nil"/>
              <w:bottom w:val="nil"/>
              <w:right w:val="nil"/>
            </w:tcBorders>
          </w:tcPr>
          <w:p w14:paraId="2968869D" w14:textId="77777777" w:rsidR="00F37B70" w:rsidRPr="00A0643C" w:rsidRDefault="00F37B70" w:rsidP="001B7103">
            <w:pPr>
              <w:spacing w:line="240" w:lineRule="auto"/>
              <w:rPr>
                <w:rFonts w:cs="Times New Roman"/>
                <w:sz w:val="20"/>
                <w:szCs w:val="20"/>
                <w:vertAlign w:val="superscript"/>
              </w:rPr>
            </w:pPr>
            <w:r w:rsidRPr="00A0643C">
              <w:rPr>
                <w:rFonts w:cs="Times New Roman"/>
                <w:b/>
                <w:bCs/>
                <w:sz w:val="20"/>
                <w:szCs w:val="20"/>
              </w:rPr>
              <w:t>Number of major medical comorbidities</w:t>
            </w:r>
            <w:r w:rsidRPr="00A0643C">
              <w:rPr>
                <w:rFonts w:cs="Times New Roman"/>
                <w:b/>
                <w:bCs/>
                <w:sz w:val="20"/>
                <w:szCs w:val="20"/>
                <w:vertAlign w:val="superscript"/>
              </w:rPr>
              <w:t>a</w:t>
            </w:r>
          </w:p>
        </w:tc>
        <w:tc>
          <w:tcPr>
            <w:tcW w:w="2025" w:type="dxa"/>
            <w:tcBorders>
              <w:top w:val="nil"/>
              <w:left w:val="nil"/>
              <w:bottom w:val="nil"/>
              <w:right w:val="nil"/>
            </w:tcBorders>
          </w:tcPr>
          <w:p w14:paraId="2A01110C" w14:textId="77777777" w:rsidR="00F37B70" w:rsidRPr="00A0643C" w:rsidRDefault="00F37B70" w:rsidP="001B7103">
            <w:pPr>
              <w:spacing w:line="240" w:lineRule="auto"/>
              <w:jc w:val="center"/>
              <w:rPr>
                <w:rFonts w:cs="Times New Roman"/>
                <w:sz w:val="20"/>
                <w:szCs w:val="20"/>
              </w:rPr>
            </w:pPr>
          </w:p>
        </w:tc>
        <w:tc>
          <w:tcPr>
            <w:tcW w:w="2025" w:type="dxa"/>
            <w:tcBorders>
              <w:top w:val="nil"/>
              <w:left w:val="nil"/>
              <w:bottom w:val="nil"/>
              <w:right w:val="nil"/>
            </w:tcBorders>
          </w:tcPr>
          <w:p w14:paraId="05F7D54D" w14:textId="77777777" w:rsidR="00F37B70" w:rsidRPr="00A0643C" w:rsidRDefault="00F37B70" w:rsidP="001B7103">
            <w:pPr>
              <w:spacing w:line="240" w:lineRule="auto"/>
              <w:jc w:val="center"/>
              <w:rPr>
                <w:rFonts w:cs="Times New Roman"/>
                <w:sz w:val="20"/>
                <w:szCs w:val="20"/>
              </w:rPr>
            </w:pPr>
          </w:p>
        </w:tc>
        <w:tc>
          <w:tcPr>
            <w:tcW w:w="2025" w:type="dxa"/>
            <w:tcBorders>
              <w:top w:val="nil"/>
              <w:left w:val="nil"/>
              <w:bottom w:val="nil"/>
              <w:right w:val="nil"/>
            </w:tcBorders>
          </w:tcPr>
          <w:p w14:paraId="0FBE9995" w14:textId="77777777" w:rsidR="00F37B70" w:rsidRPr="00A0643C" w:rsidRDefault="00F37B70" w:rsidP="001B7103">
            <w:pPr>
              <w:spacing w:line="240" w:lineRule="auto"/>
              <w:jc w:val="center"/>
              <w:rPr>
                <w:rFonts w:cs="Times New Roman"/>
                <w:sz w:val="20"/>
                <w:szCs w:val="20"/>
              </w:rPr>
            </w:pPr>
          </w:p>
        </w:tc>
        <w:tc>
          <w:tcPr>
            <w:tcW w:w="2025" w:type="dxa"/>
            <w:tcBorders>
              <w:top w:val="nil"/>
              <w:left w:val="nil"/>
              <w:bottom w:val="nil"/>
              <w:right w:val="nil"/>
            </w:tcBorders>
          </w:tcPr>
          <w:p w14:paraId="1E169BDC" w14:textId="77777777" w:rsidR="00F37B70" w:rsidRPr="00A0643C" w:rsidRDefault="00F37B70" w:rsidP="001B7103">
            <w:pPr>
              <w:spacing w:line="240" w:lineRule="auto"/>
              <w:jc w:val="center"/>
              <w:rPr>
                <w:rFonts w:cs="Times New Roman"/>
                <w:sz w:val="20"/>
                <w:szCs w:val="20"/>
              </w:rPr>
            </w:pPr>
          </w:p>
        </w:tc>
      </w:tr>
      <w:tr w:rsidR="00F37B70" w:rsidRPr="00A0643C" w14:paraId="7E0219E3" w14:textId="77777777" w:rsidTr="001B7103">
        <w:tc>
          <w:tcPr>
            <w:tcW w:w="4860" w:type="dxa"/>
            <w:tcBorders>
              <w:top w:val="nil"/>
              <w:left w:val="nil"/>
              <w:bottom w:val="nil"/>
              <w:right w:val="nil"/>
            </w:tcBorders>
          </w:tcPr>
          <w:p w14:paraId="3718CEAB"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Comorbidity 1 vs. 0</w:t>
            </w:r>
          </w:p>
        </w:tc>
        <w:tc>
          <w:tcPr>
            <w:tcW w:w="2025" w:type="dxa"/>
            <w:tcBorders>
              <w:top w:val="nil"/>
              <w:left w:val="nil"/>
              <w:bottom w:val="nil"/>
              <w:right w:val="nil"/>
            </w:tcBorders>
          </w:tcPr>
          <w:p w14:paraId="4DBD4099"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0.93 (0.92, 0.94)</w:t>
            </w:r>
          </w:p>
        </w:tc>
        <w:tc>
          <w:tcPr>
            <w:tcW w:w="2025" w:type="dxa"/>
            <w:tcBorders>
              <w:top w:val="nil"/>
              <w:left w:val="nil"/>
              <w:bottom w:val="nil"/>
              <w:right w:val="nil"/>
            </w:tcBorders>
          </w:tcPr>
          <w:p w14:paraId="70641C8C"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4BA82770"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0.94 (0.93, 0.95)</w:t>
            </w:r>
          </w:p>
        </w:tc>
        <w:tc>
          <w:tcPr>
            <w:tcW w:w="2025" w:type="dxa"/>
            <w:tcBorders>
              <w:top w:val="nil"/>
              <w:left w:val="nil"/>
              <w:bottom w:val="nil"/>
              <w:right w:val="nil"/>
            </w:tcBorders>
          </w:tcPr>
          <w:p w14:paraId="0CFDC1D7"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68C509B7" w14:textId="77777777" w:rsidTr="001B7103">
        <w:tc>
          <w:tcPr>
            <w:tcW w:w="4860" w:type="dxa"/>
            <w:tcBorders>
              <w:top w:val="nil"/>
              <w:left w:val="nil"/>
              <w:bottom w:val="nil"/>
              <w:right w:val="nil"/>
            </w:tcBorders>
          </w:tcPr>
          <w:p w14:paraId="31A80FED"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Comorbidity 2 vs. 0</w:t>
            </w:r>
          </w:p>
        </w:tc>
        <w:tc>
          <w:tcPr>
            <w:tcW w:w="2025" w:type="dxa"/>
            <w:tcBorders>
              <w:top w:val="nil"/>
              <w:left w:val="nil"/>
              <w:bottom w:val="nil"/>
              <w:right w:val="nil"/>
            </w:tcBorders>
          </w:tcPr>
          <w:p w14:paraId="1777D7AF" w14:textId="2CEC16E8" w:rsidR="00F37B70" w:rsidRPr="00A0643C" w:rsidRDefault="00F37B70" w:rsidP="001B7103">
            <w:pPr>
              <w:spacing w:line="240" w:lineRule="auto"/>
              <w:jc w:val="center"/>
              <w:rPr>
                <w:rFonts w:cs="Times New Roman"/>
                <w:sz w:val="20"/>
                <w:szCs w:val="20"/>
              </w:rPr>
            </w:pPr>
            <w:r w:rsidRPr="00A0643C">
              <w:rPr>
                <w:rFonts w:cs="Times New Roman"/>
                <w:sz w:val="20"/>
                <w:szCs w:val="20"/>
              </w:rPr>
              <w:t>0.83 (0.8</w:t>
            </w:r>
            <w:r w:rsidR="005B6A35">
              <w:rPr>
                <w:rFonts w:cs="Times New Roman"/>
                <w:sz w:val="20"/>
                <w:szCs w:val="20"/>
              </w:rPr>
              <w:t>2</w:t>
            </w:r>
            <w:r w:rsidRPr="00A0643C">
              <w:rPr>
                <w:rFonts w:cs="Times New Roman"/>
                <w:sz w:val="20"/>
                <w:szCs w:val="20"/>
              </w:rPr>
              <w:t>, 0.85)</w:t>
            </w:r>
          </w:p>
        </w:tc>
        <w:tc>
          <w:tcPr>
            <w:tcW w:w="2025" w:type="dxa"/>
            <w:tcBorders>
              <w:top w:val="nil"/>
              <w:left w:val="nil"/>
              <w:bottom w:val="nil"/>
              <w:right w:val="nil"/>
            </w:tcBorders>
          </w:tcPr>
          <w:p w14:paraId="6B9A0D38"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0FFA0379"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0.85 (0.83, 0.86)</w:t>
            </w:r>
          </w:p>
        </w:tc>
        <w:tc>
          <w:tcPr>
            <w:tcW w:w="2025" w:type="dxa"/>
            <w:tcBorders>
              <w:top w:val="nil"/>
              <w:left w:val="nil"/>
              <w:bottom w:val="nil"/>
              <w:right w:val="nil"/>
            </w:tcBorders>
          </w:tcPr>
          <w:p w14:paraId="0564029E"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69B8C4BF" w14:textId="77777777" w:rsidTr="001B7103">
        <w:tc>
          <w:tcPr>
            <w:tcW w:w="4860" w:type="dxa"/>
            <w:tcBorders>
              <w:top w:val="nil"/>
              <w:left w:val="nil"/>
              <w:bottom w:val="nil"/>
              <w:right w:val="nil"/>
            </w:tcBorders>
          </w:tcPr>
          <w:p w14:paraId="6A1292A9" w14:textId="77777777" w:rsidR="00F37B70" w:rsidRPr="00A0643C" w:rsidRDefault="00F37B70" w:rsidP="001B7103">
            <w:pPr>
              <w:spacing w:line="240" w:lineRule="auto"/>
              <w:rPr>
                <w:rFonts w:cs="Times New Roman"/>
                <w:sz w:val="20"/>
                <w:szCs w:val="20"/>
              </w:rPr>
            </w:pPr>
            <w:r w:rsidRPr="00A0643C">
              <w:rPr>
                <w:rFonts w:cs="Times New Roman"/>
                <w:sz w:val="20"/>
                <w:szCs w:val="20"/>
              </w:rPr>
              <w:t xml:space="preserve">  Comorbidity 3 vs. 0</w:t>
            </w:r>
          </w:p>
        </w:tc>
        <w:tc>
          <w:tcPr>
            <w:tcW w:w="2025" w:type="dxa"/>
            <w:tcBorders>
              <w:top w:val="nil"/>
              <w:left w:val="nil"/>
              <w:bottom w:val="nil"/>
              <w:right w:val="nil"/>
            </w:tcBorders>
          </w:tcPr>
          <w:p w14:paraId="65914DC9" w14:textId="624B5DF3" w:rsidR="00F37B70" w:rsidRPr="00A0643C" w:rsidRDefault="00F37B70" w:rsidP="001B7103">
            <w:pPr>
              <w:spacing w:line="240" w:lineRule="auto"/>
              <w:jc w:val="center"/>
              <w:rPr>
                <w:rFonts w:cs="Times New Roman"/>
                <w:sz w:val="20"/>
                <w:szCs w:val="20"/>
              </w:rPr>
            </w:pPr>
            <w:r w:rsidRPr="00A0643C">
              <w:rPr>
                <w:rFonts w:cs="Times New Roman"/>
                <w:sz w:val="20"/>
                <w:szCs w:val="20"/>
              </w:rPr>
              <w:t>0.7</w:t>
            </w:r>
            <w:r w:rsidR="005B6A35">
              <w:rPr>
                <w:rFonts w:cs="Times New Roman"/>
                <w:sz w:val="20"/>
                <w:szCs w:val="20"/>
              </w:rPr>
              <w:t>0</w:t>
            </w:r>
            <w:r w:rsidRPr="00A0643C">
              <w:rPr>
                <w:rFonts w:cs="Times New Roman"/>
                <w:sz w:val="20"/>
                <w:szCs w:val="20"/>
              </w:rPr>
              <w:t xml:space="preserve"> (0.</w:t>
            </w:r>
            <w:r w:rsidR="005B6A35">
              <w:rPr>
                <w:rFonts w:cs="Times New Roman"/>
                <w:sz w:val="20"/>
                <w:szCs w:val="20"/>
              </w:rPr>
              <w:t>6</w:t>
            </w:r>
            <w:r w:rsidRPr="00A0643C">
              <w:rPr>
                <w:rFonts w:cs="Times New Roman"/>
                <w:sz w:val="20"/>
                <w:szCs w:val="20"/>
              </w:rPr>
              <w:t>7, 0.</w:t>
            </w:r>
            <w:r w:rsidR="005B6A35">
              <w:rPr>
                <w:rFonts w:cs="Times New Roman"/>
                <w:sz w:val="20"/>
                <w:szCs w:val="20"/>
              </w:rPr>
              <w:t>73</w:t>
            </w:r>
            <w:r w:rsidRPr="00A0643C">
              <w:rPr>
                <w:rFonts w:cs="Times New Roman"/>
                <w:sz w:val="20"/>
                <w:szCs w:val="20"/>
              </w:rPr>
              <w:t>)</w:t>
            </w:r>
          </w:p>
        </w:tc>
        <w:tc>
          <w:tcPr>
            <w:tcW w:w="2025" w:type="dxa"/>
            <w:tcBorders>
              <w:top w:val="nil"/>
              <w:left w:val="nil"/>
              <w:bottom w:val="nil"/>
              <w:right w:val="nil"/>
            </w:tcBorders>
          </w:tcPr>
          <w:p w14:paraId="1262038B"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552EB812"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0.79 (0.76, 0.82)</w:t>
            </w:r>
          </w:p>
        </w:tc>
        <w:tc>
          <w:tcPr>
            <w:tcW w:w="2025" w:type="dxa"/>
            <w:tcBorders>
              <w:top w:val="nil"/>
              <w:left w:val="nil"/>
              <w:bottom w:val="nil"/>
              <w:right w:val="nil"/>
            </w:tcBorders>
          </w:tcPr>
          <w:p w14:paraId="7C587CCD"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2A3EED85" w14:textId="77777777" w:rsidTr="001B7103">
        <w:tc>
          <w:tcPr>
            <w:tcW w:w="4860" w:type="dxa"/>
            <w:tcBorders>
              <w:top w:val="nil"/>
              <w:left w:val="nil"/>
              <w:bottom w:val="nil"/>
              <w:right w:val="nil"/>
            </w:tcBorders>
          </w:tcPr>
          <w:p w14:paraId="7060D263" w14:textId="3E7099B0" w:rsidR="00F37B70" w:rsidRPr="00CB17DF" w:rsidRDefault="00F37B70" w:rsidP="001B7103">
            <w:pPr>
              <w:spacing w:line="240" w:lineRule="auto"/>
              <w:rPr>
                <w:rFonts w:cs="Times New Roman"/>
                <w:sz w:val="20"/>
                <w:szCs w:val="20"/>
              </w:rPr>
            </w:pPr>
            <w:r w:rsidRPr="00CB17DF">
              <w:rPr>
                <w:rFonts w:cs="Times New Roman"/>
                <w:sz w:val="20"/>
                <w:szCs w:val="20"/>
              </w:rPr>
              <w:t xml:space="preserve">  Comorbidity </w:t>
            </w:r>
            <w:r w:rsidR="003D2972" w:rsidRPr="00856511">
              <w:rPr>
                <w:rFonts w:cs="Times New Roman"/>
                <w:sz w:val="20"/>
                <w:szCs w:val="20"/>
              </w:rPr>
              <w:t>≥</w:t>
            </w:r>
            <w:r w:rsidRPr="00CB17DF">
              <w:rPr>
                <w:rFonts w:cs="Times New Roman"/>
                <w:sz w:val="20"/>
                <w:szCs w:val="20"/>
              </w:rPr>
              <w:t>4 vs. 0</w:t>
            </w:r>
          </w:p>
        </w:tc>
        <w:tc>
          <w:tcPr>
            <w:tcW w:w="2025" w:type="dxa"/>
            <w:tcBorders>
              <w:top w:val="nil"/>
              <w:left w:val="nil"/>
              <w:bottom w:val="nil"/>
              <w:right w:val="nil"/>
            </w:tcBorders>
          </w:tcPr>
          <w:p w14:paraId="4D741B99" w14:textId="71CC7293" w:rsidR="00F37B70" w:rsidRPr="00CB17DF" w:rsidRDefault="00F37B70" w:rsidP="001B7103">
            <w:pPr>
              <w:spacing w:line="240" w:lineRule="auto"/>
              <w:jc w:val="center"/>
              <w:rPr>
                <w:rFonts w:cs="Times New Roman"/>
                <w:sz w:val="20"/>
                <w:szCs w:val="20"/>
              </w:rPr>
            </w:pPr>
            <w:r w:rsidRPr="00CB17DF">
              <w:rPr>
                <w:rFonts w:cs="Times New Roman"/>
                <w:sz w:val="20"/>
                <w:szCs w:val="20"/>
              </w:rPr>
              <w:t>0.</w:t>
            </w:r>
            <w:r w:rsidR="005B6A35">
              <w:rPr>
                <w:rFonts w:cs="Times New Roman"/>
                <w:sz w:val="20"/>
                <w:szCs w:val="20"/>
              </w:rPr>
              <w:t>59</w:t>
            </w:r>
            <w:r w:rsidRPr="00CB17DF">
              <w:rPr>
                <w:rFonts w:cs="Times New Roman"/>
                <w:sz w:val="20"/>
                <w:szCs w:val="20"/>
              </w:rPr>
              <w:t xml:space="preserve"> (0.5</w:t>
            </w:r>
            <w:r w:rsidR="005B6A35">
              <w:rPr>
                <w:rFonts w:cs="Times New Roman"/>
                <w:sz w:val="20"/>
                <w:szCs w:val="20"/>
              </w:rPr>
              <w:t>4</w:t>
            </w:r>
            <w:r w:rsidRPr="00CB17DF">
              <w:rPr>
                <w:rFonts w:cs="Times New Roman"/>
                <w:sz w:val="20"/>
                <w:szCs w:val="20"/>
              </w:rPr>
              <w:t>, 0.6</w:t>
            </w:r>
            <w:r w:rsidR="005B6A35">
              <w:rPr>
                <w:rFonts w:cs="Times New Roman"/>
                <w:sz w:val="20"/>
                <w:szCs w:val="20"/>
              </w:rPr>
              <w:t>4</w:t>
            </w:r>
            <w:r w:rsidRPr="00CB17DF">
              <w:rPr>
                <w:rFonts w:cs="Times New Roman"/>
                <w:sz w:val="20"/>
                <w:szCs w:val="20"/>
              </w:rPr>
              <w:t>)</w:t>
            </w:r>
          </w:p>
        </w:tc>
        <w:tc>
          <w:tcPr>
            <w:tcW w:w="2025" w:type="dxa"/>
            <w:tcBorders>
              <w:top w:val="nil"/>
              <w:left w:val="nil"/>
              <w:bottom w:val="nil"/>
              <w:right w:val="nil"/>
            </w:tcBorders>
          </w:tcPr>
          <w:p w14:paraId="7A538B54" w14:textId="77777777" w:rsidR="00F37B70" w:rsidRPr="00CA027D" w:rsidRDefault="00F37B70" w:rsidP="001B7103">
            <w:pPr>
              <w:spacing w:line="240" w:lineRule="auto"/>
              <w:jc w:val="center"/>
              <w:rPr>
                <w:rFonts w:cs="Times New Roman"/>
                <w:sz w:val="20"/>
                <w:szCs w:val="20"/>
              </w:rPr>
            </w:pPr>
            <w:r w:rsidRPr="00CA027D">
              <w:rPr>
                <w:rFonts w:cs="Times New Roman"/>
                <w:sz w:val="20"/>
                <w:szCs w:val="20"/>
              </w:rPr>
              <w:t>-</w:t>
            </w:r>
          </w:p>
        </w:tc>
        <w:tc>
          <w:tcPr>
            <w:tcW w:w="2025" w:type="dxa"/>
            <w:tcBorders>
              <w:top w:val="nil"/>
              <w:left w:val="nil"/>
              <w:bottom w:val="nil"/>
              <w:right w:val="nil"/>
            </w:tcBorders>
          </w:tcPr>
          <w:p w14:paraId="7215120B" w14:textId="77777777" w:rsidR="00F37B70" w:rsidRPr="00CA027D" w:rsidRDefault="00F37B70" w:rsidP="001B7103">
            <w:pPr>
              <w:spacing w:line="240" w:lineRule="auto"/>
              <w:jc w:val="center"/>
              <w:rPr>
                <w:rFonts w:cs="Times New Roman"/>
                <w:sz w:val="20"/>
                <w:szCs w:val="20"/>
              </w:rPr>
            </w:pPr>
            <w:r w:rsidRPr="00CA027D">
              <w:rPr>
                <w:rFonts w:cs="Times New Roman"/>
                <w:sz w:val="20"/>
                <w:szCs w:val="20"/>
              </w:rPr>
              <w:t>0.65 (0.60, 0.71)</w:t>
            </w:r>
          </w:p>
        </w:tc>
        <w:tc>
          <w:tcPr>
            <w:tcW w:w="2025" w:type="dxa"/>
            <w:tcBorders>
              <w:top w:val="nil"/>
              <w:left w:val="nil"/>
              <w:bottom w:val="nil"/>
              <w:right w:val="nil"/>
            </w:tcBorders>
          </w:tcPr>
          <w:p w14:paraId="2D622C01" w14:textId="77777777" w:rsidR="00F37B70" w:rsidRPr="00A0643C" w:rsidRDefault="00F37B70" w:rsidP="001B7103">
            <w:pPr>
              <w:spacing w:line="240" w:lineRule="auto"/>
              <w:jc w:val="center"/>
              <w:rPr>
                <w:rFonts w:cs="Times New Roman"/>
                <w:sz w:val="20"/>
                <w:szCs w:val="20"/>
              </w:rPr>
            </w:pPr>
            <w:r w:rsidRPr="00A0643C">
              <w:rPr>
                <w:rFonts w:cs="Times New Roman"/>
                <w:sz w:val="20"/>
                <w:szCs w:val="20"/>
              </w:rPr>
              <w:t>-</w:t>
            </w:r>
          </w:p>
        </w:tc>
      </w:tr>
      <w:tr w:rsidR="00F37B70" w:rsidRPr="00A0643C" w14:paraId="3404CB0D" w14:textId="77777777" w:rsidTr="001B7103">
        <w:tc>
          <w:tcPr>
            <w:tcW w:w="4860" w:type="dxa"/>
            <w:tcBorders>
              <w:top w:val="nil"/>
              <w:left w:val="nil"/>
              <w:bottom w:val="nil"/>
              <w:right w:val="nil"/>
            </w:tcBorders>
          </w:tcPr>
          <w:p w14:paraId="4B2AC1E9" w14:textId="77777777" w:rsidR="00F37B70" w:rsidRPr="00A0643C" w:rsidRDefault="00F37B70" w:rsidP="001B7103">
            <w:pPr>
              <w:spacing w:line="240" w:lineRule="auto"/>
              <w:rPr>
                <w:rFonts w:cs="Times New Roman"/>
                <w:sz w:val="20"/>
                <w:szCs w:val="20"/>
              </w:rPr>
            </w:pPr>
            <w:r w:rsidRPr="00A0643C">
              <w:rPr>
                <w:rFonts w:cs="Times New Roman"/>
                <w:b/>
                <w:bCs/>
                <w:sz w:val="20"/>
                <w:szCs w:val="20"/>
              </w:rPr>
              <w:t>Mental and medical comorbidity</w:t>
            </w:r>
          </w:p>
        </w:tc>
        <w:tc>
          <w:tcPr>
            <w:tcW w:w="2025" w:type="dxa"/>
            <w:tcBorders>
              <w:top w:val="nil"/>
              <w:left w:val="nil"/>
              <w:bottom w:val="nil"/>
              <w:right w:val="nil"/>
            </w:tcBorders>
          </w:tcPr>
          <w:p w14:paraId="425DE322" w14:textId="77777777" w:rsidR="00F37B70" w:rsidRPr="00A0643C" w:rsidRDefault="00F37B70" w:rsidP="001B7103">
            <w:pPr>
              <w:spacing w:line="240" w:lineRule="auto"/>
              <w:jc w:val="center"/>
              <w:rPr>
                <w:rFonts w:cs="Times New Roman"/>
                <w:sz w:val="20"/>
                <w:szCs w:val="20"/>
              </w:rPr>
            </w:pPr>
          </w:p>
        </w:tc>
        <w:tc>
          <w:tcPr>
            <w:tcW w:w="2025" w:type="dxa"/>
            <w:tcBorders>
              <w:top w:val="nil"/>
              <w:left w:val="nil"/>
              <w:bottom w:val="nil"/>
              <w:right w:val="nil"/>
            </w:tcBorders>
          </w:tcPr>
          <w:p w14:paraId="26DF60E0" w14:textId="77777777" w:rsidR="00F37B70" w:rsidRPr="00A0643C" w:rsidRDefault="00F37B70" w:rsidP="001B7103">
            <w:pPr>
              <w:spacing w:line="240" w:lineRule="auto"/>
              <w:jc w:val="center"/>
              <w:rPr>
                <w:rFonts w:cs="Times New Roman"/>
                <w:sz w:val="20"/>
                <w:szCs w:val="20"/>
              </w:rPr>
            </w:pPr>
          </w:p>
        </w:tc>
        <w:tc>
          <w:tcPr>
            <w:tcW w:w="2025" w:type="dxa"/>
            <w:tcBorders>
              <w:top w:val="nil"/>
              <w:left w:val="nil"/>
              <w:bottom w:val="nil"/>
              <w:right w:val="nil"/>
            </w:tcBorders>
          </w:tcPr>
          <w:p w14:paraId="62943CD3" w14:textId="77777777" w:rsidR="00F37B70" w:rsidRPr="00A0643C" w:rsidRDefault="00F37B70" w:rsidP="001B7103">
            <w:pPr>
              <w:spacing w:line="240" w:lineRule="auto"/>
              <w:jc w:val="center"/>
              <w:rPr>
                <w:rFonts w:cs="Times New Roman"/>
                <w:sz w:val="20"/>
                <w:szCs w:val="20"/>
              </w:rPr>
            </w:pPr>
          </w:p>
        </w:tc>
        <w:tc>
          <w:tcPr>
            <w:tcW w:w="2025" w:type="dxa"/>
            <w:tcBorders>
              <w:top w:val="nil"/>
              <w:left w:val="nil"/>
              <w:bottom w:val="nil"/>
              <w:right w:val="nil"/>
            </w:tcBorders>
          </w:tcPr>
          <w:p w14:paraId="6BEE677B" w14:textId="77777777" w:rsidR="00F37B70" w:rsidRPr="00A0643C" w:rsidRDefault="00F37B70" w:rsidP="001B7103">
            <w:pPr>
              <w:spacing w:line="240" w:lineRule="auto"/>
              <w:jc w:val="center"/>
              <w:rPr>
                <w:rFonts w:cs="Times New Roman"/>
                <w:sz w:val="20"/>
                <w:szCs w:val="20"/>
              </w:rPr>
            </w:pPr>
          </w:p>
        </w:tc>
      </w:tr>
      <w:tr w:rsidR="003D2972" w:rsidRPr="00A0643C" w14:paraId="4CE3CDA1" w14:textId="77777777" w:rsidTr="001B7103">
        <w:tc>
          <w:tcPr>
            <w:tcW w:w="4860" w:type="dxa"/>
            <w:tcBorders>
              <w:top w:val="nil"/>
              <w:left w:val="nil"/>
              <w:bottom w:val="nil"/>
              <w:right w:val="nil"/>
            </w:tcBorders>
          </w:tcPr>
          <w:p w14:paraId="36EE84D2" w14:textId="08E77C9C" w:rsidR="003D2972" w:rsidRPr="00A0643C" w:rsidRDefault="003D2972" w:rsidP="003D2972">
            <w:pPr>
              <w:spacing w:line="240" w:lineRule="auto"/>
              <w:rPr>
                <w:rFonts w:cs="Times New Roman"/>
                <w:sz w:val="20"/>
                <w:szCs w:val="20"/>
              </w:rPr>
            </w:pPr>
            <w:r w:rsidRPr="009F3D22">
              <w:rPr>
                <w:rFonts w:cs="Times New Roman"/>
                <w:sz w:val="20"/>
                <w:szCs w:val="20"/>
              </w:rPr>
              <w:t xml:space="preserve">  </w:t>
            </w:r>
            <w:r>
              <w:rPr>
                <w:rFonts w:cs="Times New Roman"/>
                <w:sz w:val="20"/>
                <w:szCs w:val="20"/>
              </w:rPr>
              <w:t>M</w:t>
            </w:r>
            <w:r w:rsidRPr="009F3D22">
              <w:rPr>
                <w:rFonts w:cs="Times New Roman"/>
                <w:sz w:val="20"/>
                <w:szCs w:val="20"/>
              </w:rPr>
              <w:t xml:space="preserve">edical and mental </w:t>
            </w:r>
            <w:r>
              <w:rPr>
                <w:rFonts w:cs="Times New Roman"/>
                <w:sz w:val="20"/>
                <w:szCs w:val="20"/>
              </w:rPr>
              <w:t xml:space="preserve">health </w:t>
            </w:r>
            <w:r w:rsidRPr="009F3D22">
              <w:rPr>
                <w:rFonts w:cs="Times New Roman"/>
                <w:sz w:val="20"/>
                <w:szCs w:val="20"/>
              </w:rPr>
              <w:t>comorbidit</w:t>
            </w:r>
            <w:r>
              <w:rPr>
                <w:rFonts w:cs="Times New Roman"/>
                <w:sz w:val="20"/>
                <w:szCs w:val="20"/>
              </w:rPr>
              <w:t>ies</w:t>
            </w:r>
            <w:r w:rsidRPr="009F3D22">
              <w:rPr>
                <w:rFonts w:cs="Times New Roman"/>
                <w:sz w:val="20"/>
                <w:szCs w:val="20"/>
              </w:rPr>
              <w:t xml:space="preserve"> vs. none</w:t>
            </w:r>
          </w:p>
        </w:tc>
        <w:tc>
          <w:tcPr>
            <w:tcW w:w="2025" w:type="dxa"/>
            <w:tcBorders>
              <w:top w:val="nil"/>
              <w:left w:val="nil"/>
              <w:bottom w:val="nil"/>
              <w:right w:val="nil"/>
            </w:tcBorders>
          </w:tcPr>
          <w:p w14:paraId="776A309F" w14:textId="0763927E" w:rsidR="003D2972" w:rsidRPr="00A0643C" w:rsidRDefault="003D2972" w:rsidP="003D2972">
            <w:pPr>
              <w:spacing w:line="240" w:lineRule="auto"/>
              <w:jc w:val="center"/>
              <w:rPr>
                <w:rFonts w:cs="Times New Roman"/>
                <w:sz w:val="20"/>
                <w:szCs w:val="20"/>
              </w:rPr>
            </w:pPr>
            <w:r w:rsidRPr="00A0643C">
              <w:rPr>
                <w:rFonts w:cs="Times New Roman"/>
                <w:sz w:val="20"/>
                <w:szCs w:val="20"/>
              </w:rPr>
              <w:t>0.8</w:t>
            </w:r>
            <w:r>
              <w:rPr>
                <w:rFonts w:cs="Times New Roman"/>
                <w:sz w:val="20"/>
                <w:szCs w:val="20"/>
              </w:rPr>
              <w:t>2</w:t>
            </w:r>
            <w:r w:rsidRPr="00A0643C">
              <w:rPr>
                <w:rFonts w:cs="Times New Roman"/>
                <w:sz w:val="20"/>
                <w:szCs w:val="20"/>
              </w:rPr>
              <w:t xml:space="preserve"> (0.8</w:t>
            </w:r>
            <w:r>
              <w:rPr>
                <w:rFonts w:cs="Times New Roman"/>
                <w:sz w:val="20"/>
                <w:szCs w:val="20"/>
              </w:rPr>
              <w:t>0</w:t>
            </w:r>
            <w:r w:rsidRPr="00A0643C">
              <w:rPr>
                <w:rFonts w:cs="Times New Roman"/>
                <w:sz w:val="20"/>
                <w:szCs w:val="20"/>
              </w:rPr>
              <w:t>, 0.8</w:t>
            </w:r>
            <w:r>
              <w:rPr>
                <w:rFonts w:cs="Times New Roman"/>
                <w:sz w:val="20"/>
                <w:szCs w:val="20"/>
              </w:rPr>
              <w:t>3</w:t>
            </w:r>
            <w:r w:rsidRPr="00A0643C">
              <w:rPr>
                <w:rFonts w:cs="Times New Roman"/>
                <w:sz w:val="20"/>
                <w:szCs w:val="20"/>
              </w:rPr>
              <w:t>)</w:t>
            </w:r>
          </w:p>
        </w:tc>
        <w:tc>
          <w:tcPr>
            <w:tcW w:w="2025" w:type="dxa"/>
            <w:tcBorders>
              <w:top w:val="nil"/>
              <w:left w:val="nil"/>
              <w:bottom w:val="nil"/>
              <w:right w:val="nil"/>
            </w:tcBorders>
          </w:tcPr>
          <w:p w14:paraId="3FD836C7" w14:textId="77777777" w:rsidR="003D2972" w:rsidRPr="00A0643C" w:rsidRDefault="003D2972" w:rsidP="003D2972">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64BA433D" w14:textId="77777777" w:rsidR="003D2972" w:rsidRPr="00A0643C" w:rsidRDefault="003D2972" w:rsidP="003D2972">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58B257EC" w14:textId="11F79D02" w:rsidR="003D2972" w:rsidRPr="00A0643C" w:rsidRDefault="003D2972" w:rsidP="003D2972">
            <w:pPr>
              <w:spacing w:line="240" w:lineRule="auto"/>
              <w:jc w:val="center"/>
              <w:rPr>
                <w:rFonts w:cs="Times New Roman"/>
                <w:sz w:val="20"/>
                <w:szCs w:val="20"/>
              </w:rPr>
            </w:pPr>
            <w:r w:rsidRPr="00A0643C">
              <w:rPr>
                <w:rFonts w:cs="Times New Roman"/>
                <w:sz w:val="20"/>
                <w:szCs w:val="20"/>
              </w:rPr>
              <w:t>0.87 (0.85, 0.8</w:t>
            </w:r>
            <w:r>
              <w:rPr>
                <w:rFonts w:cs="Times New Roman"/>
                <w:sz w:val="20"/>
                <w:szCs w:val="20"/>
              </w:rPr>
              <w:t>8</w:t>
            </w:r>
            <w:r w:rsidRPr="00A0643C">
              <w:rPr>
                <w:rFonts w:cs="Times New Roman"/>
                <w:sz w:val="20"/>
                <w:szCs w:val="20"/>
              </w:rPr>
              <w:t>)</w:t>
            </w:r>
          </w:p>
        </w:tc>
      </w:tr>
      <w:tr w:rsidR="003D2972" w:rsidRPr="00A0643C" w14:paraId="74BF320E" w14:textId="77777777" w:rsidTr="001B7103">
        <w:tc>
          <w:tcPr>
            <w:tcW w:w="4860" w:type="dxa"/>
            <w:tcBorders>
              <w:top w:val="nil"/>
              <w:left w:val="nil"/>
              <w:bottom w:val="nil"/>
              <w:right w:val="nil"/>
            </w:tcBorders>
          </w:tcPr>
          <w:p w14:paraId="5A546B9C" w14:textId="3CC528B5" w:rsidR="003D2972" w:rsidRPr="00A0643C" w:rsidRDefault="003D2972" w:rsidP="003D2972">
            <w:pPr>
              <w:spacing w:line="240" w:lineRule="auto"/>
              <w:rPr>
                <w:rFonts w:cs="Times New Roman"/>
                <w:sz w:val="20"/>
                <w:szCs w:val="20"/>
              </w:rPr>
            </w:pPr>
            <w:r w:rsidRPr="009F3D22">
              <w:rPr>
                <w:rFonts w:cs="Times New Roman"/>
                <w:sz w:val="20"/>
                <w:szCs w:val="20"/>
              </w:rPr>
              <w:t xml:space="preserve">  </w:t>
            </w:r>
            <w:r>
              <w:rPr>
                <w:rFonts w:cs="Times New Roman"/>
                <w:sz w:val="20"/>
                <w:szCs w:val="20"/>
              </w:rPr>
              <w:t>M</w:t>
            </w:r>
            <w:r w:rsidRPr="009F3D22">
              <w:rPr>
                <w:rFonts w:cs="Times New Roman"/>
                <w:sz w:val="20"/>
                <w:szCs w:val="20"/>
              </w:rPr>
              <w:t>edical comorbidit</w:t>
            </w:r>
            <w:r>
              <w:rPr>
                <w:rFonts w:cs="Times New Roman"/>
                <w:sz w:val="20"/>
                <w:szCs w:val="20"/>
              </w:rPr>
              <w:t>ies</w:t>
            </w:r>
            <w:r w:rsidRPr="009F3D22">
              <w:rPr>
                <w:rFonts w:cs="Times New Roman"/>
                <w:sz w:val="20"/>
                <w:szCs w:val="20"/>
              </w:rPr>
              <w:t xml:space="preserve"> only vs. none</w:t>
            </w:r>
          </w:p>
        </w:tc>
        <w:tc>
          <w:tcPr>
            <w:tcW w:w="2025" w:type="dxa"/>
            <w:tcBorders>
              <w:top w:val="nil"/>
              <w:left w:val="nil"/>
              <w:bottom w:val="nil"/>
              <w:right w:val="nil"/>
            </w:tcBorders>
          </w:tcPr>
          <w:p w14:paraId="73B11C81" w14:textId="634F06CB" w:rsidR="003D2972" w:rsidRPr="00A0643C" w:rsidRDefault="003D2972" w:rsidP="003D2972">
            <w:pPr>
              <w:spacing w:line="240" w:lineRule="auto"/>
              <w:jc w:val="center"/>
              <w:rPr>
                <w:rFonts w:cs="Times New Roman"/>
                <w:sz w:val="20"/>
                <w:szCs w:val="20"/>
              </w:rPr>
            </w:pPr>
            <w:r w:rsidRPr="00A0643C">
              <w:rPr>
                <w:rFonts w:cs="Times New Roman"/>
                <w:sz w:val="20"/>
                <w:szCs w:val="20"/>
              </w:rPr>
              <w:t>0.90 (0.89, 0.9</w:t>
            </w:r>
            <w:r>
              <w:rPr>
                <w:rFonts w:cs="Times New Roman"/>
                <w:sz w:val="20"/>
                <w:szCs w:val="20"/>
              </w:rPr>
              <w:t>2</w:t>
            </w:r>
            <w:r w:rsidRPr="00A0643C">
              <w:rPr>
                <w:rFonts w:cs="Times New Roman"/>
                <w:sz w:val="20"/>
                <w:szCs w:val="20"/>
              </w:rPr>
              <w:t>)</w:t>
            </w:r>
          </w:p>
        </w:tc>
        <w:tc>
          <w:tcPr>
            <w:tcW w:w="2025" w:type="dxa"/>
            <w:tcBorders>
              <w:top w:val="nil"/>
              <w:left w:val="nil"/>
              <w:bottom w:val="nil"/>
              <w:right w:val="nil"/>
            </w:tcBorders>
          </w:tcPr>
          <w:p w14:paraId="6C9F8316" w14:textId="77777777" w:rsidR="003D2972" w:rsidRPr="00A0643C" w:rsidRDefault="003D2972" w:rsidP="003D2972">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3E74D782" w14:textId="77777777" w:rsidR="003D2972" w:rsidRPr="00A0643C" w:rsidRDefault="003D2972" w:rsidP="003D2972">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nil"/>
              <w:right w:val="nil"/>
            </w:tcBorders>
          </w:tcPr>
          <w:p w14:paraId="237C5B16" w14:textId="33E47CFD" w:rsidR="003D2972" w:rsidRPr="00A0643C" w:rsidRDefault="003D2972" w:rsidP="003D2972">
            <w:pPr>
              <w:spacing w:line="240" w:lineRule="auto"/>
              <w:jc w:val="center"/>
              <w:rPr>
                <w:rFonts w:cs="Times New Roman"/>
                <w:sz w:val="20"/>
                <w:szCs w:val="20"/>
              </w:rPr>
            </w:pPr>
            <w:r w:rsidRPr="00A0643C">
              <w:rPr>
                <w:rFonts w:cs="Times New Roman"/>
                <w:sz w:val="20"/>
                <w:szCs w:val="20"/>
              </w:rPr>
              <w:t>0.91 (0.9</w:t>
            </w:r>
            <w:r>
              <w:rPr>
                <w:rFonts w:cs="Times New Roman"/>
                <w:sz w:val="20"/>
                <w:szCs w:val="20"/>
              </w:rPr>
              <w:t>1</w:t>
            </w:r>
            <w:r w:rsidRPr="00A0643C">
              <w:rPr>
                <w:rFonts w:cs="Times New Roman"/>
                <w:sz w:val="20"/>
                <w:szCs w:val="20"/>
              </w:rPr>
              <w:t>, 0.9</w:t>
            </w:r>
            <w:r>
              <w:rPr>
                <w:rFonts w:cs="Times New Roman"/>
                <w:sz w:val="20"/>
                <w:szCs w:val="20"/>
              </w:rPr>
              <w:t>3</w:t>
            </w:r>
            <w:r w:rsidRPr="00A0643C">
              <w:rPr>
                <w:rFonts w:cs="Times New Roman"/>
                <w:sz w:val="20"/>
                <w:szCs w:val="20"/>
              </w:rPr>
              <w:t>)</w:t>
            </w:r>
          </w:p>
        </w:tc>
      </w:tr>
      <w:tr w:rsidR="003D2972" w:rsidRPr="00A0643C" w14:paraId="58B652B3" w14:textId="77777777" w:rsidTr="001B7103">
        <w:tc>
          <w:tcPr>
            <w:tcW w:w="4860" w:type="dxa"/>
            <w:tcBorders>
              <w:top w:val="nil"/>
              <w:left w:val="nil"/>
              <w:bottom w:val="single" w:sz="4" w:space="0" w:color="auto"/>
              <w:right w:val="nil"/>
            </w:tcBorders>
          </w:tcPr>
          <w:p w14:paraId="65F045D5" w14:textId="03866652" w:rsidR="003D2972" w:rsidRPr="00A0643C" w:rsidRDefault="003D2972" w:rsidP="003D2972">
            <w:pPr>
              <w:spacing w:line="240" w:lineRule="auto"/>
              <w:rPr>
                <w:rFonts w:cs="Times New Roman"/>
                <w:sz w:val="20"/>
                <w:szCs w:val="20"/>
              </w:rPr>
            </w:pPr>
            <w:r w:rsidRPr="009F3D22">
              <w:rPr>
                <w:rFonts w:cs="Times New Roman"/>
                <w:sz w:val="20"/>
                <w:szCs w:val="20"/>
              </w:rPr>
              <w:t xml:space="preserve">  </w:t>
            </w:r>
            <w:r>
              <w:rPr>
                <w:rFonts w:cs="Times New Roman"/>
                <w:sz w:val="20"/>
                <w:szCs w:val="20"/>
              </w:rPr>
              <w:t>M</w:t>
            </w:r>
            <w:r w:rsidRPr="009F3D22">
              <w:rPr>
                <w:rFonts w:cs="Times New Roman"/>
                <w:sz w:val="20"/>
                <w:szCs w:val="20"/>
              </w:rPr>
              <w:t xml:space="preserve">ental </w:t>
            </w:r>
            <w:r>
              <w:rPr>
                <w:rFonts w:cs="Times New Roman"/>
                <w:sz w:val="20"/>
                <w:szCs w:val="20"/>
              </w:rPr>
              <w:t xml:space="preserve">health </w:t>
            </w:r>
            <w:r w:rsidRPr="009F3D22">
              <w:rPr>
                <w:rFonts w:cs="Times New Roman"/>
                <w:sz w:val="20"/>
                <w:szCs w:val="20"/>
              </w:rPr>
              <w:t>comorbidit</w:t>
            </w:r>
            <w:r>
              <w:rPr>
                <w:rFonts w:cs="Times New Roman"/>
                <w:sz w:val="20"/>
                <w:szCs w:val="20"/>
              </w:rPr>
              <w:t>ies</w:t>
            </w:r>
            <w:r w:rsidRPr="009F3D22">
              <w:rPr>
                <w:rFonts w:cs="Times New Roman"/>
                <w:sz w:val="20"/>
                <w:szCs w:val="20"/>
              </w:rPr>
              <w:t xml:space="preserve"> only vs. none</w:t>
            </w:r>
          </w:p>
        </w:tc>
        <w:tc>
          <w:tcPr>
            <w:tcW w:w="2025" w:type="dxa"/>
            <w:tcBorders>
              <w:top w:val="nil"/>
              <w:left w:val="nil"/>
              <w:bottom w:val="single" w:sz="4" w:space="0" w:color="auto"/>
              <w:right w:val="nil"/>
            </w:tcBorders>
          </w:tcPr>
          <w:p w14:paraId="4DB3FB3B" w14:textId="3A46C7CD" w:rsidR="003D2972" w:rsidRPr="00A0643C" w:rsidRDefault="003D2972" w:rsidP="003D2972">
            <w:pPr>
              <w:spacing w:line="240" w:lineRule="auto"/>
              <w:jc w:val="center"/>
              <w:rPr>
                <w:rFonts w:cs="Times New Roman"/>
                <w:sz w:val="20"/>
                <w:szCs w:val="20"/>
              </w:rPr>
            </w:pPr>
            <w:r w:rsidRPr="00A0643C">
              <w:rPr>
                <w:rFonts w:cs="Times New Roman"/>
                <w:sz w:val="20"/>
                <w:szCs w:val="20"/>
              </w:rPr>
              <w:t>0.9</w:t>
            </w:r>
            <w:r>
              <w:rPr>
                <w:rFonts w:cs="Times New Roman"/>
                <w:sz w:val="20"/>
                <w:szCs w:val="20"/>
              </w:rPr>
              <w:t>3</w:t>
            </w:r>
            <w:r w:rsidRPr="00A0643C">
              <w:rPr>
                <w:rFonts w:cs="Times New Roman"/>
                <w:sz w:val="20"/>
                <w:szCs w:val="20"/>
              </w:rPr>
              <w:t xml:space="preserve"> (0.9</w:t>
            </w:r>
            <w:r>
              <w:rPr>
                <w:rFonts w:cs="Times New Roman"/>
                <w:sz w:val="20"/>
                <w:szCs w:val="20"/>
              </w:rPr>
              <w:t>1</w:t>
            </w:r>
            <w:r w:rsidRPr="00A0643C">
              <w:rPr>
                <w:rFonts w:cs="Times New Roman"/>
                <w:sz w:val="20"/>
                <w:szCs w:val="20"/>
              </w:rPr>
              <w:t>, 0.9</w:t>
            </w:r>
            <w:r>
              <w:rPr>
                <w:rFonts w:cs="Times New Roman"/>
                <w:sz w:val="20"/>
                <w:szCs w:val="20"/>
              </w:rPr>
              <w:t>4</w:t>
            </w:r>
            <w:r w:rsidRPr="00A0643C">
              <w:rPr>
                <w:rFonts w:cs="Times New Roman"/>
                <w:sz w:val="20"/>
                <w:szCs w:val="20"/>
              </w:rPr>
              <w:t>)</w:t>
            </w:r>
          </w:p>
        </w:tc>
        <w:tc>
          <w:tcPr>
            <w:tcW w:w="2025" w:type="dxa"/>
            <w:tcBorders>
              <w:top w:val="nil"/>
              <w:left w:val="nil"/>
              <w:bottom w:val="single" w:sz="4" w:space="0" w:color="auto"/>
              <w:right w:val="nil"/>
            </w:tcBorders>
          </w:tcPr>
          <w:p w14:paraId="0CB9F422" w14:textId="77777777" w:rsidR="003D2972" w:rsidRPr="00A0643C" w:rsidRDefault="003D2972" w:rsidP="003D2972">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single" w:sz="4" w:space="0" w:color="auto"/>
              <w:right w:val="nil"/>
            </w:tcBorders>
          </w:tcPr>
          <w:p w14:paraId="54D76CD4" w14:textId="77777777" w:rsidR="003D2972" w:rsidRPr="00A0643C" w:rsidRDefault="003D2972" w:rsidP="003D2972">
            <w:pPr>
              <w:spacing w:line="240" w:lineRule="auto"/>
              <w:jc w:val="center"/>
              <w:rPr>
                <w:rFonts w:cs="Times New Roman"/>
                <w:sz w:val="20"/>
                <w:szCs w:val="20"/>
              </w:rPr>
            </w:pPr>
            <w:r w:rsidRPr="00A0643C">
              <w:rPr>
                <w:rFonts w:cs="Times New Roman"/>
                <w:sz w:val="20"/>
                <w:szCs w:val="20"/>
              </w:rPr>
              <w:t>-</w:t>
            </w:r>
          </w:p>
        </w:tc>
        <w:tc>
          <w:tcPr>
            <w:tcW w:w="2025" w:type="dxa"/>
            <w:tcBorders>
              <w:top w:val="nil"/>
              <w:left w:val="nil"/>
              <w:bottom w:val="single" w:sz="4" w:space="0" w:color="auto"/>
              <w:right w:val="nil"/>
            </w:tcBorders>
          </w:tcPr>
          <w:p w14:paraId="6776EEDC" w14:textId="486BC57C" w:rsidR="003D2972" w:rsidRPr="00A0643C" w:rsidRDefault="003D2972" w:rsidP="003D2972">
            <w:pPr>
              <w:spacing w:line="240" w:lineRule="auto"/>
              <w:jc w:val="center"/>
              <w:rPr>
                <w:rFonts w:cs="Times New Roman"/>
                <w:sz w:val="20"/>
                <w:szCs w:val="20"/>
                <w:highlight w:val="yellow"/>
              </w:rPr>
            </w:pPr>
            <w:r w:rsidRPr="00A0643C">
              <w:rPr>
                <w:rFonts w:cs="Times New Roman"/>
                <w:sz w:val="20"/>
                <w:szCs w:val="20"/>
              </w:rPr>
              <w:t>0.9</w:t>
            </w:r>
            <w:r>
              <w:rPr>
                <w:rFonts w:cs="Times New Roman"/>
                <w:sz w:val="20"/>
                <w:szCs w:val="20"/>
              </w:rPr>
              <w:t>7</w:t>
            </w:r>
            <w:r w:rsidRPr="00A0643C">
              <w:rPr>
                <w:rFonts w:cs="Times New Roman"/>
                <w:sz w:val="20"/>
                <w:szCs w:val="20"/>
              </w:rPr>
              <w:t xml:space="preserve"> (0.95, 0.98)</w:t>
            </w:r>
          </w:p>
        </w:tc>
      </w:tr>
      <w:tr w:rsidR="00F37B70" w:rsidRPr="00A0643C" w14:paraId="4E1310D7" w14:textId="77777777" w:rsidTr="001B7103">
        <w:tc>
          <w:tcPr>
            <w:tcW w:w="4860" w:type="dxa"/>
            <w:tcBorders>
              <w:top w:val="single" w:sz="4" w:space="0" w:color="auto"/>
              <w:left w:val="nil"/>
              <w:bottom w:val="nil"/>
              <w:right w:val="nil"/>
            </w:tcBorders>
          </w:tcPr>
          <w:p w14:paraId="658F82A1" w14:textId="77777777" w:rsidR="00F37B70" w:rsidRPr="00A0643C" w:rsidRDefault="00F37B70" w:rsidP="001B7103">
            <w:pPr>
              <w:spacing w:line="240" w:lineRule="auto"/>
              <w:rPr>
                <w:rFonts w:cs="Times New Roman"/>
                <w:b/>
                <w:bCs/>
                <w:sz w:val="20"/>
                <w:szCs w:val="20"/>
              </w:rPr>
            </w:pPr>
            <w:r w:rsidRPr="00A0643C">
              <w:rPr>
                <w:rFonts w:cs="Times New Roman"/>
                <w:b/>
                <w:bCs/>
                <w:sz w:val="20"/>
                <w:szCs w:val="20"/>
              </w:rPr>
              <w:t>Covariates</w:t>
            </w:r>
          </w:p>
        </w:tc>
        <w:tc>
          <w:tcPr>
            <w:tcW w:w="2025" w:type="dxa"/>
            <w:tcBorders>
              <w:top w:val="single" w:sz="4" w:space="0" w:color="auto"/>
              <w:left w:val="nil"/>
              <w:bottom w:val="nil"/>
              <w:right w:val="nil"/>
            </w:tcBorders>
          </w:tcPr>
          <w:p w14:paraId="4D934004" w14:textId="77777777" w:rsidR="00F37B70" w:rsidRPr="00A0643C" w:rsidRDefault="00F37B70" w:rsidP="001B7103">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250BB804" w14:textId="77777777" w:rsidR="00F37B70" w:rsidRPr="00A0643C" w:rsidRDefault="00F37B70" w:rsidP="001B7103">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4D9F2DC5" w14:textId="77777777" w:rsidR="00F37B70" w:rsidRPr="00A0643C" w:rsidRDefault="00F37B70" w:rsidP="001B7103">
            <w:pPr>
              <w:spacing w:line="240" w:lineRule="auto"/>
              <w:jc w:val="center"/>
              <w:rPr>
                <w:rFonts w:cs="Times New Roman"/>
                <w:sz w:val="20"/>
                <w:szCs w:val="20"/>
              </w:rPr>
            </w:pPr>
          </w:p>
        </w:tc>
        <w:tc>
          <w:tcPr>
            <w:tcW w:w="2025" w:type="dxa"/>
            <w:tcBorders>
              <w:top w:val="single" w:sz="4" w:space="0" w:color="auto"/>
              <w:left w:val="nil"/>
              <w:bottom w:val="nil"/>
              <w:right w:val="nil"/>
            </w:tcBorders>
          </w:tcPr>
          <w:p w14:paraId="6EABC0DF" w14:textId="77777777" w:rsidR="00F37B70" w:rsidRPr="00A0643C" w:rsidRDefault="00F37B70" w:rsidP="001B7103">
            <w:pPr>
              <w:spacing w:line="240" w:lineRule="auto"/>
              <w:jc w:val="center"/>
              <w:rPr>
                <w:rFonts w:cs="Times New Roman"/>
                <w:sz w:val="20"/>
                <w:szCs w:val="20"/>
                <w:highlight w:val="yellow"/>
              </w:rPr>
            </w:pPr>
          </w:p>
        </w:tc>
      </w:tr>
      <w:tr w:rsidR="00BC090F" w:rsidRPr="00A0643C" w14:paraId="208946EB" w14:textId="77777777" w:rsidTr="001B7103">
        <w:tc>
          <w:tcPr>
            <w:tcW w:w="4860" w:type="dxa"/>
            <w:tcBorders>
              <w:top w:val="nil"/>
              <w:left w:val="nil"/>
              <w:bottom w:val="nil"/>
              <w:right w:val="nil"/>
            </w:tcBorders>
          </w:tcPr>
          <w:p w14:paraId="4C79DC40" w14:textId="1059B4D1" w:rsidR="00BC090F" w:rsidRPr="00A0643C" w:rsidRDefault="00BC090F" w:rsidP="00BC090F">
            <w:pPr>
              <w:spacing w:line="240" w:lineRule="auto"/>
              <w:rPr>
                <w:rFonts w:cs="Times New Roman"/>
                <w:sz w:val="20"/>
                <w:szCs w:val="20"/>
              </w:rPr>
            </w:pPr>
            <w:r>
              <w:rPr>
                <w:rFonts w:cs="Times New Roman"/>
                <w:sz w:val="20"/>
                <w:szCs w:val="20"/>
              </w:rPr>
              <w:t xml:space="preserve">  </w:t>
            </w:r>
            <w:r w:rsidRPr="00BC090F">
              <w:rPr>
                <w:rFonts w:cs="Times New Roman"/>
                <w:sz w:val="20"/>
                <w:szCs w:val="20"/>
              </w:rPr>
              <w:t>Age (per 1-unit increase)</w:t>
            </w:r>
          </w:p>
        </w:tc>
        <w:tc>
          <w:tcPr>
            <w:tcW w:w="2025" w:type="dxa"/>
            <w:tcBorders>
              <w:top w:val="nil"/>
              <w:left w:val="nil"/>
              <w:bottom w:val="nil"/>
              <w:right w:val="nil"/>
            </w:tcBorders>
          </w:tcPr>
          <w:p w14:paraId="7A035C69" w14:textId="704961CF" w:rsidR="00BC090F" w:rsidRPr="00A0643C" w:rsidRDefault="00BC090F" w:rsidP="00BC090F">
            <w:pPr>
              <w:spacing w:line="240" w:lineRule="auto"/>
              <w:jc w:val="center"/>
              <w:rPr>
                <w:rFonts w:cs="Times New Roman"/>
                <w:sz w:val="20"/>
                <w:szCs w:val="20"/>
              </w:rPr>
            </w:pPr>
            <w:r>
              <w:rPr>
                <w:rFonts w:cs="Times New Roman"/>
                <w:sz w:val="20"/>
                <w:szCs w:val="20"/>
              </w:rPr>
              <w:t>0.99 (0.99, 1.00)</w:t>
            </w:r>
          </w:p>
        </w:tc>
        <w:tc>
          <w:tcPr>
            <w:tcW w:w="2025" w:type="dxa"/>
            <w:tcBorders>
              <w:top w:val="nil"/>
              <w:left w:val="nil"/>
              <w:bottom w:val="nil"/>
              <w:right w:val="nil"/>
            </w:tcBorders>
          </w:tcPr>
          <w:p w14:paraId="6DFD2E30" w14:textId="1727930E" w:rsidR="00BC090F" w:rsidRPr="00A0643C" w:rsidRDefault="00BC090F" w:rsidP="00BC090F">
            <w:pPr>
              <w:spacing w:line="240" w:lineRule="auto"/>
              <w:jc w:val="center"/>
              <w:rPr>
                <w:rFonts w:cs="Times New Roman"/>
                <w:sz w:val="20"/>
                <w:szCs w:val="20"/>
              </w:rPr>
            </w:pPr>
            <w:r>
              <w:rPr>
                <w:rFonts w:cs="Times New Roman"/>
                <w:sz w:val="20"/>
                <w:szCs w:val="20"/>
              </w:rPr>
              <w:t>0.99 (0.99, 1.00)</w:t>
            </w:r>
          </w:p>
        </w:tc>
        <w:tc>
          <w:tcPr>
            <w:tcW w:w="2025" w:type="dxa"/>
            <w:tcBorders>
              <w:top w:val="nil"/>
              <w:left w:val="nil"/>
              <w:bottom w:val="nil"/>
              <w:right w:val="nil"/>
            </w:tcBorders>
          </w:tcPr>
          <w:p w14:paraId="24E1E5FE" w14:textId="4CCC1CAB" w:rsidR="00BC090F" w:rsidRPr="00A0643C" w:rsidRDefault="00BC090F" w:rsidP="00BC090F">
            <w:pPr>
              <w:spacing w:line="240" w:lineRule="auto"/>
              <w:jc w:val="center"/>
              <w:rPr>
                <w:rFonts w:cs="Times New Roman"/>
                <w:sz w:val="20"/>
                <w:szCs w:val="20"/>
              </w:rPr>
            </w:pPr>
            <w:r>
              <w:rPr>
                <w:rFonts w:cs="Times New Roman"/>
                <w:sz w:val="20"/>
                <w:szCs w:val="20"/>
              </w:rPr>
              <w:t>0.99 (0.99, 1.00)</w:t>
            </w:r>
          </w:p>
        </w:tc>
        <w:tc>
          <w:tcPr>
            <w:tcW w:w="2025" w:type="dxa"/>
            <w:tcBorders>
              <w:top w:val="nil"/>
              <w:left w:val="nil"/>
              <w:bottom w:val="nil"/>
              <w:right w:val="nil"/>
            </w:tcBorders>
            <w:shd w:val="clear" w:color="auto" w:fill="auto"/>
          </w:tcPr>
          <w:p w14:paraId="0941132C" w14:textId="376FB1EE" w:rsidR="00BC090F" w:rsidRPr="00A0643C" w:rsidRDefault="00BC090F" w:rsidP="00BC090F">
            <w:pPr>
              <w:spacing w:line="240" w:lineRule="auto"/>
              <w:jc w:val="center"/>
              <w:rPr>
                <w:rFonts w:cs="Times New Roman"/>
                <w:sz w:val="20"/>
                <w:szCs w:val="20"/>
              </w:rPr>
            </w:pPr>
            <w:r>
              <w:rPr>
                <w:rFonts w:cs="Times New Roman"/>
                <w:sz w:val="20"/>
                <w:szCs w:val="20"/>
              </w:rPr>
              <w:t>0.99 (0.99, 1.00)</w:t>
            </w:r>
          </w:p>
        </w:tc>
      </w:tr>
      <w:tr w:rsidR="005B6A35" w:rsidRPr="00A0643C" w14:paraId="64B62DF5" w14:textId="77777777" w:rsidTr="001B7103">
        <w:tc>
          <w:tcPr>
            <w:tcW w:w="4860" w:type="dxa"/>
            <w:tcBorders>
              <w:top w:val="nil"/>
              <w:left w:val="nil"/>
              <w:bottom w:val="nil"/>
              <w:right w:val="nil"/>
            </w:tcBorders>
          </w:tcPr>
          <w:p w14:paraId="0C261A03" w14:textId="3CA76290" w:rsidR="005B6A35" w:rsidRPr="00A0643C" w:rsidRDefault="005B6A35" w:rsidP="005B6A35">
            <w:pPr>
              <w:spacing w:line="240" w:lineRule="auto"/>
              <w:rPr>
                <w:rFonts w:cs="Times New Roman"/>
                <w:sz w:val="20"/>
                <w:szCs w:val="20"/>
              </w:rPr>
            </w:pPr>
            <w:r w:rsidRPr="00A0643C">
              <w:rPr>
                <w:rFonts w:cs="Times New Roman"/>
                <w:sz w:val="20"/>
                <w:szCs w:val="20"/>
              </w:rPr>
              <w:t xml:space="preserve">  Male vs. female</w:t>
            </w:r>
          </w:p>
        </w:tc>
        <w:tc>
          <w:tcPr>
            <w:tcW w:w="2025" w:type="dxa"/>
            <w:tcBorders>
              <w:top w:val="nil"/>
              <w:left w:val="nil"/>
              <w:bottom w:val="nil"/>
              <w:right w:val="nil"/>
            </w:tcBorders>
          </w:tcPr>
          <w:p w14:paraId="2CC0AF1F" w14:textId="15536DB0" w:rsidR="005B6A35" w:rsidRPr="00A0643C" w:rsidRDefault="005B6A35" w:rsidP="005B6A35">
            <w:pPr>
              <w:spacing w:line="240" w:lineRule="auto"/>
              <w:jc w:val="center"/>
              <w:rPr>
                <w:rFonts w:cs="Times New Roman"/>
                <w:sz w:val="20"/>
                <w:szCs w:val="20"/>
              </w:rPr>
            </w:pPr>
            <w:r w:rsidRPr="00A0643C">
              <w:rPr>
                <w:rFonts w:cs="Times New Roman"/>
                <w:sz w:val="20"/>
                <w:szCs w:val="20"/>
              </w:rPr>
              <w:t>1.0</w:t>
            </w:r>
            <w:r>
              <w:rPr>
                <w:rFonts w:cs="Times New Roman"/>
                <w:sz w:val="20"/>
                <w:szCs w:val="20"/>
              </w:rPr>
              <w:t>4</w:t>
            </w:r>
            <w:r w:rsidRPr="00A0643C">
              <w:rPr>
                <w:rFonts w:cs="Times New Roman"/>
                <w:sz w:val="20"/>
                <w:szCs w:val="20"/>
              </w:rPr>
              <w:t xml:space="preserve"> (</w:t>
            </w:r>
            <w:r>
              <w:rPr>
                <w:rFonts w:cs="Times New Roman"/>
                <w:sz w:val="20"/>
                <w:szCs w:val="20"/>
              </w:rPr>
              <w:t>1.03</w:t>
            </w:r>
            <w:r w:rsidRPr="00A0643C">
              <w:rPr>
                <w:rFonts w:cs="Times New Roman"/>
                <w:sz w:val="20"/>
                <w:szCs w:val="20"/>
              </w:rPr>
              <w:t>, 1.0</w:t>
            </w:r>
            <w:r>
              <w:rPr>
                <w:rFonts w:cs="Times New Roman"/>
                <w:sz w:val="20"/>
                <w:szCs w:val="20"/>
              </w:rPr>
              <w:t>6</w:t>
            </w:r>
            <w:r w:rsidRPr="00A0643C">
              <w:rPr>
                <w:rFonts w:cs="Times New Roman"/>
                <w:sz w:val="20"/>
                <w:szCs w:val="20"/>
              </w:rPr>
              <w:t>)</w:t>
            </w:r>
          </w:p>
        </w:tc>
        <w:tc>
          <w:tcPr>
            <w:tcW w:w="2025" w:type="dxa"/>
            <w:tcBorders>
              <w:top w:val="nil"/>
              <w:left w:val="nil"/>
              <w:bottom w:val="nil"/>
              <w:right w:val="nil"/>
            </w:tcBorders>
          </w:tcPr>
          <w:p w14:paraId="770AFD6B" w14:textId="38F5F3F1" w:rsidR="005B6A35" w:rsidRPr="00A0643C" w:rsidRDefault="005B6A35" w:rsidP="005B6A35">
            <w:pPr>
              <w:spacing w:line="240" w:lineRule="auto"/>
              <w:jc w:val="center"/>
              <w:rPr>
                <w:rFonts w:cs="Times New Roman"/>
                <w:sz w:val="20"/>
                <w:szCs w:val="20"/>
              </w:rPr>
            </w:pPr>
            <w:r w:rsidRPr="00A0643C">
              <w:rPr>
                <w:rFonts w:cs="Times New Roman"/>
                <w:sz w:val="20"/>
                <w:szCs w:val="20"/>
              </w:rPr>
              <w:t>1.0</w:t>
            </w:r>
            <w:r>
              <w:rPr>
                <w:rFonts w:cs="Times New Roman"/>
                <w:sz w:val="20"/>
                <w:szCs w:val="20"/>
              </w:rPr>
              <w:t>5</w:t>
            </w:r>
            <w:r w:rsidRPr="00A0643C">
              <w:rPr>
                <w:rFonts w:cs="Times New Roman"/>
                <w:sz w:val="20"/>
                <w:szCs w:val="20"/>
              </w:rPr>
              <w:t xml:space="preserve"> (</w:t>
            </w:r>
            <w:r>
              <w:rPr>
                <w:rFonts w:cs="Times New Roman"/>
                <w:sz w:val="20"/>
                <w:szCs w:val="20"/>
              </w:rPr>
              <w:t>1.</w:t>
            </w:r>
            <w:r w:rsidRPr="00A0643C">
              <w:rPr>
                <w:rFonts w:cs="Times New Roman"/>
                <w:sz w:val="20"/>
                <w:szCs w:val="20"/>
              </w:rPr>
              <w:t>0</w:t>
            </w:r>
            <w:r>
              <w:rPr>
                <w:rFonts w:cs="Times New Roman"/>
                <w:sz w:val="20"/>
                <w:szCs w:val="20"/>
              </w:rPr>
              <w:t>4</w:t>
            </w:r>
            <w:r w:rsidRPr="00A0643C">
              <w:rPr>
                <w:rFonts w:cs="Times New Roman"/>
                <w:sz w:val="20"/>
                <w:szCs w:val="20"/>
              </w:rPr>
              <w:t>, 1.0</w:t>
            </w:r>
            <w:r>
              <w:rPr>
                <w:rFonts w:cs="Times New Roman"/>
                <w:sz w:val="20"/>
                <w:szCs w:val="20"/>
              </w:rPr>
              <w:t>6</w:t>
            </w:r>
            <w:r w:rsidRPr="00A0643C">
              <w:rPr>
                <w:rFonts w:cs="Times New Roman"/>
                <w:sz w:val="20"/>
                <w:szCs w:val="20"/>
              </w:rPr>
              <w:t>)</w:t>
            </w:r>
          </w:p>
        </w:tc>
        <w:tc>
          <w:tcPr>
            <w:tcW w:w="2025" w:type="dxa"/>
            <w:tcBorders>
              <w:top w:val="nil"/>
              <w:left w:val="nil"/>
              <w:bottom w:val="nil"/>
              <w:right w:val="nil"/>
            </w:tcBorders>
          </w:tcPr>
          <w:p w14:paraId="7BA8E4CF" w14:textId="47DF4F73" w:rsidR="005B6A35" w:rsidRPr="00A0643C" w:rsidRDefault="005B6A35" w:rsidP="005B6A35">
            <w:pPr>
              <w:spacing w:line="240" w:lineRule="auto"/>
              <w:jc w:val="center"/>
              <w:rPr>
                <w:rFonts w:cs="Times New Roman"/>
                <w:sz w:val="20"/>
                <w:szCs w:val="20"/>
              </w:rPr>
            </w:pPr>
            <w:r w:rsidRPr="00A0643C">
              <w:rPr>
                <w:rFonts w:cs="Times New Roman"/>
                <w:sz w:val="20"/>
                <w:szCs w:val="20"/>
              </w:rPr>
              <w:t>1.0</w:t>
            </w:r>
            <w:r w:rsidR="00322A2E">
              <w:rPr>
                <w:rFonts w:cs="Times New Roman"/>
                <w:sz w:val="20"/>
                <w:szCs w:val="20"/>
              </w:rPr>
              <w:t>5</w:t>
            </w:r>
            <w:r w:rsidRPr="00A0643C">
              <w:rPr>
                <w:rFonts w:cs="Times New Roman"/>
                <w:sz w:val="20"/>
                <w:szCs w:val="20"/>
              </w:rPr>
              <w:t xml:space="preserve"> (</w:t>
            </w:r>
            <w:r w:rsidR="00322A2E">
              <w:rPr>
                <w:rFonts w:cs="Times New Roman"/>
                <w:sz w:val="20"/>
                <w:szCs w:val="20"/>
              </w:rPr>
              <w:t>1.</w:t>
            </w:r>
            <w:r w:rsidRPr="00A0643C">
              <w:rPr>
                <w:rFonts w:cs="Times New Roman"/>
                <w:sz w:val="20"/>
                <w:szCs w:val="20"/>
              </w:rPr>
              <w:t>0</w:t>
            </w:r>
            <w:r w:rsidR="00322A2E">
              <w:rPr>
                <w:rFonts w:cs="Times New Roman"/>
                <w:sz w:val="20"/>
                <w:szCs w:val="20"/>
              </w:rPr>
              <w:t>4</w:t>
            </w:r>
            <w:r w:rsidRPr="00A0643C">
              <w:rPr>
                <w:rFonts w:cs="Times New Roman"/>
                <w:sz w:val="20"/>
                <w:szCs w:val="20"/>
              </w:rPr>
              <w:t>, 1.0</w:t>
            </w:r>
            <w:r w:rsidR="00322A2E">
              <w:rPr>
                <w:rFonts w:cs="Times New Roman"/>
                <w:sz w:val="20"/>
                <w:szCs w:val="20"/>
              </w:rPr>
              <w:t>6</w:t>
            </w:r>
            <w:r w:rsidRPr="00A0643C">
              <w:rPr>
                <w:rFonts w:cs="Times New Roman"/>
                <w:sz w:val="20"/>
                <w:szCs w:val="20"/>
              </w:rPr>
              <w:t>)</w:t>
            </w:r>
          </w:p>
        </w:tc>
        <w:tc>
          <w:tcPr>
            <w:tcW w:w="2025" w:type="dxa"/>
            <w:tcBorders>
              <w:top w:val="nil"/>
              <w:left w:val="nil"/>
              <w:bottom w:val="nil"/>
              <w:right w:val="nil"/>
            </w:tcBorders>
            <w:shd w:val="clear" w:color="auto" w:fill="auto"/>
          </w:tcPr>
          <w:p w14:paraId="195ECB9E" w14:textId="2A4551CE" w:rsidR="005B6A35" w:rsidRPr="00A0643C" w:rsidRDefault="005B6A35" w:rsidP="005B6A35">
            <w:pPr>
              <w:spacing w:line="240" w:lineRule="auto"/>
              <w:jc w:val="center"/>
              <w:rPr>
                <w:rFonts w:cs="Times New Roman"/>
                <w:sz w:val="20"/>
                <w:szCs w:val="20"/>
              </w:rPr>
            </w:pPr>
            <w:r w:rsidRPr="00A0643C">
              <w:rPr>
                <w:rFonts w:cs="Times New Roman"/>
                <w:sz w:val="20"/>
                <w:szCs w:val="20"/>
              </w:rPr>
              <w:t>1.0</w:t>
            </w:r>
            <w:r w:rsidR="00322A2E">
              <w:rPr>
                <w:rFonts w:cs="Times New Roman"/>
                <w:sz w:val="20"/>
                <w:szCs w:val="20"/>
              </w:rPr>
              <w:t>4</w:t>
            </w:r>
            <w:r w:rsidRPr="00A0643C">
              <w:rPr>
                <w:rFonts w:cs="Times New Roman"/>
                <w:sz w:val="20"/>
                <w:szCs w:val="20"/>
              </w:rPr>
              <w:t xml:space="preserve"> (</w:t>
            </w:r>
            <w:r w:rsidR="00322A2E">
              <w:rPr>
                <w:rFonts w:cs="Times New Roman"/>
                <w:sz w:val="20"/>
                <w:szCs w:val="20"/>
              </w:rPr>
              <w:t>1.</w:t>
            </w:r>
            <w:r w:rsidRPr="00A0643C">
              <w:rPr>
                <w:rFonts w:cs="Times New Roman"/>
                <w:sz w:val="20"/>
                <w:szCs w:val="20"/>
              </w:rPr>
              <w:t>0</w:t>
            </w:r>
            <w:r w:rsidR="00322A2E">
              <w:rPr>
                <w:rFonts w:cs="Times New Roman"/>
                <w:sz w:val="20"/>
                <w:szCs w:val="20"/>
              </w:rPr>
              <w:t>3</w:t>
            </w:r>
            <w:r w:rsidRPr="00A0643C">
              <w:rPr>
                <w:rFonts w:cs="Times New Roman"/>
                <w:sz w:val="20"/>
                <w:szCs w:val="20"/>
              </w:rPr>
              <w:t>, 1.0</w:t>
            </w:r>
            <w:r w:rsidR="00322A2E">
              <w:rPr>
                <w:rFonts w:cs="Times New Roman"/>
                <w:sz w:val="20"/>
                <w:szCs w:val="20"/>
              </w:rPr>
              <w:t>5</w:t>
            </w:r>
            <w:r w:rsidRPr="00A0643C">
              <w:rPr>
                <w:rFonts w:cs="Times New Roman"/>
                <w:sz w:val="20"/>
                <w:szCs w:val="20"/>
              </w:rPr>
              <w:t>)</w:t>
            </w:r>
          </w:p>
        </w:tc>
      </w:tr>
      <w:tr w:rsidR="005B6A35" w:rsidRPr="00A0643C" w14:paraId="2CE34975" w14:textId="77777777" w:rsidTr="001B7103">
        <w:tc>
          <w:tcPr>
            <w:tcW w:w="4860" w:type="dxa"/>
            <w:tcBorders>
              <w:top w:val="nil"/>
              <w:left w:val="nil"/>
              <w:bottom w:val="nil"/>
              <w:right w:val="nil"/>
            </w:tcBorders>
          </w:tcPr>
          <w:p w14:paraId="430BF05F" w14:textId="2930EAB1" w:rsidR="005B6A35" w:rsidRPr="00A0643C" w:rsidRDefault="005B6A35" w:rsidP="005B6A35">
            <w:pPr>
              <w:spacing w:line="240" w:lineRule="auto"/>
              <w:rPr>
                <w:rFonts w:cs="Times New Roman"/>
                <w:sz w:val="20"/>
                <w:szCs w:val="20"/>
              </w:rPr>
            </w:pPr>
            <w:r w:rsidRPr="00A0643C">
              <w:rPr>
                <w:rFonts w:cs="Times New Roman"/>
                <w:sz w:val="20"/>
                <w:szCs w:val="20"/>
              </w:rPr>
              <w:t xml:space="preserve">  Rural residence vs. urban</w:t>
            </w:r>
          </w:p>
        </w:tc>
        <w:tc>
          <w:tcPr>
            <w:tcW w:w="2025" w:type="dxa"/>
            <w:tcBorders>
              <w:top w:val="nil"/>
              <w:left w:val="nil"/>
              <w:bottom w:val="nil"/>
              <w:right w:val="nil"/>
            </w:tcBorders>
          </w:tcPr>
          <w:p w14:paraId="3C113E1C" w14:textId="2FC2AFC4"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7254FC">
              <w:rPr>
                <w:rFonts w:cs="Times New Roman"/>
                <w:sz w:val="20"/>
                <w:szCs w:val="20"/>
              </w:rPr>
              <w:t>7</w:t>
            </w:r>
            <w:r w:rsidRPr="00A0643C">
              <w:rPr>
                <w:rFonts w:cs="Times New Roman"/>
                <w:sz w:val="20"/>
                <w:szCs w:val="20"/>
              </w:rPr>
              <w:t xml:space="preserve"> (0.9</w:t>
            </w:r>
            <w:r w:rsidR="007254FC">
              <w:rPr>
                <w:rFonts w:cs="Times New Roman"/>
                <w:sz w:val="20"/>
                <w:szCs w:val="20"/>
              </w:rPr>
              <w:t>6</w:t>
            </w:r>
            <w:r w:rsidRPr="00A0643C">
              <w:rPr>
                <w:rFonts w:cs="Times New Roman"/>
                <w:sz w:val="20"/>
                <w:szCs w:val="20"/>
              </w:rPr>
              <w:t>, 0.9</w:t>
            </w:r>
            <w:r w:rsidR="007254FC">
              <w:rPr>
                <w:rFonts w:cs="Times New Roman"/>
                <w:sz w:val="20"/>
                <w:szCs w:val="20"/>
              </w:rPr>
              <w:t>9</w:t>
            </w:r>
            <w:r w:rsidRPr="00A0643C">
              <w:rPr>
                <w:rFonts w:cs="Times New Roman"/>
                <w:sz w:val="20"/>
                <w:szCs w:val="20"/>
              </w:rPr>
              <w:t>)</w:t>
            </w:r>
          </w:p>
        </w:tc>
        <w:tc>
          <w:tcPr>
            <w:tcW w:w="2025" w:type="dxa"/>
            <w:tcBorders>
              <w:top w:val="nil"/>
              <w:left w:val="nil"/>
              <w:bottom w:val="nil"/>
              <w:right w:val="nil"/>
            </w:tcBorders>
          </w:tcPr>
          <w:p w14:paraId="7C888A97" w14:textId="0813D4DC"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7254FC">
              <w:rPr>
                <w:rFonts w:cs="Times New Roman"/>
                <w:sz w:val="20"/>
                <w:szCs w:val="20"/>
              </w:rPr>
              <w:t>8</w:t>
            </w:r>
            <w:r w:rsidRPr="00A0643C">
              <w:rPr>
                <w:rFonts w:cs="Times New Roman"/>
                <w:sz w:val="20"/>
                <w:szCs w:val="20"/>
              </w:rPr>
              <w:t xml:space="preserve"> (0.9</w:t>
            </w:r>
            <w:r w:rsidR="007254FC">
              <w:rPr>
                <w:rFonts w:cs="Times New Roman"/>
                <w:sz w:val="20"/>
                <w:szCs w:val="20"/>
              </w:rPr>
              <w:t>6</w:t>
            </w:r>
            <w:r w:rsidRPr="00A0643C">
              <w:rPr>
                <w:rFonts w:cs="Times New Roman"/>
                <w:sz w:val="20"/>
                <w:szCs w:val="20"/>
              </w:rPr>
              <w:t>, 0.9</w:t>
            </w:r>
            <w:r w:rsidR="007254FC">
              <w:rPr>
                <w:rFonts w:cs="Times New Roman"/>
                <w:sz w:val="20"/>
                <w:szCs w:val="20"/>
              </w:rPr>
              <w:t>9</w:t>
            </w:r>
            <w:r w:rsidRPr="00A0643C">
              <w:rPr>
                <w:rFonts w:cs="Times New Roman"/>
                <w:sz w:val="20"/>
                <w:szCs w:val="20"/>
              </w:rPr>
              <w:t>)</w:t>
            </w:r>
          </w:p>
        </w:tc>
        <w:tc>
          <w:tcPr>
            <w:tcW w:w="2025" w:type="dxa"/>
            <w:tcBorders>
              <w:top w:val="nil"/>
              <w:left w:val="nil"/>
              <w:bottom w:val="nil"/>
              <w:right w:val="nil"/>
            </w:tcBorders>
          </w:tcPr>
          <w:p w14:paraId="1D39BB91" w14:textId="24FA3AB7"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7254FC">
              <w:rPr>
                <w:rFonts w:cs="Times New Roman"/>
                <w:sz w:val="20"/>
                <w:szCs w:val="20"/>
              </w:rPr>
              <w:t>8</w:t>
            </w:r>
            <w:r w:rsidRPr="00A0643C">
              <w:rPr>
                <w:rFonts w:cs="Times New Roman"/>
                <w:sz w:val="20"/>
                <w:szCs w:val="20"/>
              </w:rPr>
              <w:t xml:space="preserve"> (0.9</w:t>
            </w:r>
            <w:r w:rsidR="007254FC">
              <w:rPr>
                <w:rFonts w:cs="Times New Roman"/>
                <w:sz w:val="20"/>
                <w:szCs w:val="20"/>
              </w:rPr>
              <w:t>6</w:t>
            </w:r>
            <w:r w:rsidRPr="00A0643C">
              <w:rPr>
                <w:rFonts w:cs="Times New Roman"/>
                <w:sz w:val="20"/>
                <w:szCs w:val="20"/>
              </w:rPr>
              <w:t>, 0.9</w:t>
            </w:r>
            <w:r w:rsidR="007254FC">
              <w:rPr>
                <w:rFonts w:cs="Times New Roman"/>
                <w:sz w:val="20"/>
                <w:szCs w:val="20"/>
              </w:rPr>
              <w:t>9</w:t>
            </w:r>
            <w:r w:rsidRPr="00A0643C">
              <w:rPr>
                <w:rFonts w:cs="Times New Roman"/>
                <w:sz w:val="20"/>
                <w:szCs w:val="20"/>
              </w:rPr>
              <w:t>)</w:t>
            </w:r>
          </w:p>
        </w:tc>
        <w:tc>
          <w:tcPr>
            <w:tcW w:w="2025" w:type="dxa"/>
            <w:tcBorders>
              <w:top w:val="nil"/>
              <w:left w:val="nil"/>
              <w:bottom w:val="nil"/>
              <w:right w:val="nil"/>
            </w:tcBorders>
            <w:shd w:val="clear" w:color="auto" w:fill="auto"/>
          </w:tcPr>
          <w:p w14:paraId="4ADD7521" w14:textId="177DEF49"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7254FC">
              <w:rPr>
                <w:rFonts w:cs="Times New Roman"/>
                <w:sz w:val="20"/>
                <w:szCs w:val="20"/>
              </w:rPr>
              <w:t>8</w:t>
            </w:r>
            <w:r w:rsidRPr="00A0643C">
              <w:rPr>
                <w:rFonts w:cs="Times New Roman"/>
                <w:sz w:val="20"/>
                <w:szCs w:val="20"/>
              </w:rPr>
              <w:t xml:space="preserve"> (0.9</w:t>
            </w:r>
            <w:r w:rsidR="007254FC">
              <w:rPr>
                <w:rFonts w:cs="Times New Roman"/>
                <w:sz w:val="20"/>
                <w:szCs w:val="20"/>
              </w:rPr>
              <w:t>6</w:t>
            </w:r>
            <w:r w:rsidRPr="00A0643C">
              <w:rPr>
                <w:rFonts w:cs="Times New Roman"/>
                <w:sz w:val="20"/>
                <w:szCs w:val="20"/>
              </w:rPr>
              <w:t>, 0.9</w:t>
            </w:r>
            <w:r w:rsidR="007254FC">
              <w:rPr>
                <w:rFonts w:cs="Times New Roman"/>
                <w:sz w:val="20"/>
                <w:szCs w:val="20"/>
              </w:rPr>
              <w:t>9</w:t>
            </w:r>
            <w:r w:rsidRPr="00A0643C">
              <w:rPr>
                <w:rFonts w:cs="Times New Roman"/>
                <w:sz w:val="20"/>
                <w:szCs w:val="20"/>
              </w:rPr>
              <w:t>)</w:t>
            </w:r>
          </w:p>
        </w:tc>
      </w:tr>
      <w:tr w:rsidR="005B6A35" w:rsidRPr="00A0643C" w14:paraId="7191BA74" w14:textId="77777777" w:rsidTr="001B7103">
        <w:tc>
          <w:tcPr>
            <w:tcW w:w="4860" w:type="dxa"/>
            <w:tcBorders>
              <w:top w:val="nil"/>
              <w:left w:val="nil"/>
              <w:bottom w:val="nil"/>
              <w:right w:val="nil"/>
            </w:tcBorders>
          </w:tcPr>
          <w:p w14:paraId="3C0E0DBC" w14:textId="77777777" w:rsidR="005B6A35" w:rsidRPr="00A0643C" w:rsidRDefault="005B6A35" w:rsidP="005B6A35">
            <w:pPr>
              <w:spacing w:line="240" w:lineRule="auto"/>
              <w:rPr>
                <w:rFonts w:cs="Times New Roman"/>
                <w:sz w:val="20"/>
                <w:szCs w:val="20"/>
              </w:rPr>
            </w:pPr>
            <w:r w:rsidRPr="00A0643C">
              <w:rPr>
                <w:rFonts w:cs="Times New Roman"/>
                <w:sz w:val="20"/>
                <w:szCs w:val="20"/>
              </w:rPr>
              <w:t xml:space="preserve">  Income quintile 1 vs. 5</w:t>
            </w:r>
          </w:p>
        </w:tc>
        <w:tc>
          <w:tcPr>
            <w:tcW w:w="2025" w:type="dxa"/>
            <w:tcBorders>
              <w:top w:val="nil"/>
              <w:left w:val="nil"/>
              <w:bottom w:val="nil"/>
              <w:right w:val="nil"/>
            </w:tcBorders>
          </w:tcPr>
          <w:p w14:paraId="0231B733" w14:textId="12EA9B1B"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7254FC">
              <w:rPr>
                <w:rFonts w:cs="Times New Roman"/>
                <w:sz w:val="20"/>
                <w:szCs w:val="20"/>
              </w:rPr>
              <w:t>86</w:t>
            </w:r>
            <w:r w:rsidRPr="00A0643C">
              <w:rPr>
                <w:rFonts w:cs="Times New Roman"/>
                <w:sz w:val="20"/>
                <w:szCs w:val="20"/>
              </w:rPr>
              <w:t xml:space="preserve"> (0.</w:t>
            </w:r>
            <w:r w:rsidR="007254FC">
              <w:rPr>
                <w:rFonts w:cs="Times New Roman"/>
                <w:sz w:val="20"/>
                <w:szCs w:val="20"/>
              </w:rPr>
              <w:t>85</w:t>
            </w:r>
            <w:r w:rsidRPr="00A0643C">
              <w:rPr>
                <w:rFonts w:cs="Times New Roman"/>
                <w:sz w:val="20"/>
                <w:szCs w:val="20"/>
              </w:rPr>
              <w:t>, 0.</w:t>
            </w:r>
            <w:r w:rsidR="007254FC">
              <w:rPr>
                <w:rFonts w:cs="Times New Roman"/>
                <w:sz w:val="20"/>
                <w:szCs w:val="20"/>
              </w:rPr>
              <w:t>88</w:t>
            </w:r>
            <w:r w:rsidRPr="00A0643C">
              <w:rPr>
                <w:rFonts w:cs="Times New Roman"/>
                <w:sz w:val="20"/>
                <w:szCs w:val="20"/>
              </w:rPr>
              <w:t>)</w:t>
            </w:r>
          </w:p>
        </w:tc>
        <w:tc>
          <w:tcPr>
            <w:tcW w:w="2025" w:type="dxa"/>
            <w:tcBorders>
              <w:top w:val="nil"/>
              <w:left w:val="nil"/>
              <w:bottom w:val="nil"/>
              <w:right w:val="nil"/>
            </w:tcBorders>
          </w:tcPr>
          <w:p w14:paraId="484DC118" w14:textId="4D500524"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7254FC">
              <w:rPr>
                <w:rFonts w:cs="Times New Roman"/>
                <w:sz w:val="20"/>
                <w:szCs w:val="20"/>
              </w:rPr>
              <w:t>85</w:t>
            </w:r>
            <w:r w:rsidRPr="00A0643C">
              <w:rPr>
                <w:rFonts w:cs="Times New Roman"/>
                <w:sz w:val="20"/>
                <w:szCs w:val="20"/>
              </w:rPr>
              <w:t xml:space="preserve"> (0.</w:t>
            </w:r>
            <w:r w:rsidR="007254FC">
              <w:rPr>
                <w:rFonts w:cs="Times New Roman"/>
                <w:sz w:val="20"/>
                <w:szCs w:val="20"/>
              </w:rPr>
              <w:t>83</w:t>
            </w:r>
            <w:r w:rsidRPr="00A0643C">
              <w:rPr>
                <w:rFonts w:cs="Times New Roman"/>
                <w:sz w:val="20"/>
                <w:szCs w:val="20"/>
              </w:rPr>
              <w:t>, 0.</w:t>
            </w:r>
            <w:r w:rsidR="007254FC">
              <w:rPr>
                <w:rFonts w:cs="Times New Roman"/>
                <w:sz w:val="20"/>
                <w:szCs w:val="20"/>
              </w:rPr>
              <w:t>87</w:t>
            </w:r>
            <w:r w:rsidRPr="00A0643C">
              <w:rPr>
                <w:rFonts w:cs="Times New Roman"/>
                <w:sz w:val="20"/>
                <w:szCs w:val="20"/>
              </w:rPr>
              <w:t>)</w:t>
            </w:r>
          </w:p>
        </w:tc>
        <w:tc>
          <w:tcPr>
            <w:tcW w:w="2025" w:type="dxa"/>
            <w:tcBorders>
              <w:top w:val="nil"/>
              <w:left w:val="nil"/>
              <w:bottom w:val="nil"/>
              <w:right w:val="nil"/>
            </w:tcBorders>
          </w:tcPr>
          <w:p w14:paraId="69F59DF2" w14:textId="0674021B"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6F2BB1">
              <w:rPr>
                <w:rFonts w:cs="Times New Roman"/>
                <w:sz w:val="20"/>
                <w:szCs w:val="20"/>
              </w:rPr>
              <w:t>85</w:t>
            </w:r>
            <w:r w:rsidRPr="00A0643C">
              <w:rPr>
                <w:rFonts w:cs="Times New Roman"/>
                <w:sz w:val="20"/>
                <w:szCs w:val="20"/>
              </w:rPr>
              <w:t xml:space="preserve"> (0.</w:t>
            </w:r>
            <w:r w:rsidR="006F2BB1">
              <w:rPr>
                <w:rFonts w:cs="Times New Roman"/>
                <w:sz w:val="20"/>
                <w:szCs w:val="20"/>
              </w:rPr>
              <w:t>84</w:t>
            </w:r>
            <w:r w:rsidRPr="00A0643C">
              <w:rPr>
                <w:rFonts w:cs="Times New Roman"/>
                <w:sz w:val="20"/>
                <w:szCs w:val="20"/>
              </w:rPr>
              <w:t>, 0.</w:t>
            </w:r>
            <w:r w:rsidR="006F2BB1">
              <w:rPr>
                <w:rFonts w:cs="Times New Roman"/>
                <w:sz w:val="20"/>
                <w:szCs w:val="20"/>
              </w:rPr>
              <w:t>87</w:t>
            </w:r>
            <w:r w:rsidRPr="00A0643C">
              <w:rPr>
                <w:rFonts w:cs="Times New Roman"/>
                <w:sz w:val="20"/>
                <w:szCs w:val="20"/>
              </w:rPr>
              <w:t>)</w:t>
            </w:r>
          </w:p>
        </w:tc>
        <w:tc>
          <w:tcPr>
            <w:tcW w:w="2025" w:type="dxa"/>
            <w:tcBorders>
              <w:top w:val="nil"/>
              <w:left w:val="nil"/>
              <w:bottom w:val="nil"/>
              <w:right w:val="nil"/>
            </w:tcBorders>
            <w:shd w:val="clear" w:color="auto" w:fill="auto"/>
          </w:tcPr>
          <w:p w14:paraId="0EB930CC" w14:textId="34E9A8BC"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6F2BB1">
              <w:rPr>
                <w:rFonts w:cs="Times New Roman"/>
                <w:sz w:val="20"/>
                <w:szCs w:val="20"/>
              </w:rPr>
              <w:t>85</w:t>
            </w:r>
            <w:r w:rsidRPr="00A0643C">
              <w:rPr>
                <w:rFonts w:cs="Times New Roman"/>
                <w:sz w:val="20"/>
                <w:szCs w:val="20"/>
              </w:rPr>
              <w:t xml:space="preserve"> (0.</w:t>
            </w:r>
            <w:r w:rsidR="006F2BB1">
              <w:rPr>
                <w:rFonts w:cs="Times New Roman"/>
                <w:sz w:val="20"/>
                <w:szCs w:val="20"/>
              </w:rPr>
              <w:t>83</w:t>
            </w:r>
            <w:r w:rsidRPr="00A0643C">
              <w:rPr>
                <w:rFonts w:cs="Times New Roman"/>
                <w:sz w:val="20"/>
                <w:szCs w:val="20"/>
              </w:rPr>
              <w:t>, 0.</w:t>
            </w:r>
            <w:r w:rsidR="006F2BB1">
              <w:rPr>
                <w:rFonts w:cs="Times New Roman"/>
                <w:sz w:val="20"/>
                <w:szCs w:val="20"/>
              </w:rPr>
              <w:t>86</w:t>
            </w:r>
            <w:r w:rsidRPr="00A0643C">
              <w:rPr>
                <w:rFonts w:cs="Times New Roman"/>
                <w:sz w:val="20"/>
                <w:szCs w:val="20"/>
              </w:rPr>
              <w:t>)</w:t>
            </w:r>
          </w:p>
        </w:tc>
      </w:tr>
      <w:tr w:rsidR="005B6A35" w:rsidRPr="00A0643C" w14:paraId="3E00DF44" w14:textId="77777777" w:rsidTr="001B7103">
        <w:tc>
          <w:tcPr>
            <w:tcW w:w="4860" w:type="dxa"/>
            <w:tcBorders>
              <w:top w:val="nil"/>
              <w:left w:val="nil"/>
              <w:bottom w:val="nil"/>
              <w:right w:val="nil"/>
            </w:tcBorders>
          </w:tcPr>
          <w:p w14:paraId="7EAAE4C1" w14:textId="77777777" w:rsidR="005B6A35" w:rsidRPr="00A0643C" w:rsidRDefault="005B6A35" w:rsidP="005B6A35">
            <w:pPr>
              <w:spacing w:line="240" w:lineRule="auto"/>
              <w:rPr>
                <w:rFonts w:cs="Times New Roman"/>
                <w:sz w:val="20"/>
                <w:szCs w:val="20"/>
              </w:rPr>
            </w:pPr>
            <w:r w:rsidRPr="00A0643C">
              <w:rPr>
                <w:rFonts w:cs="Times New Roman"/>
                <w:sz w:val="20"/>
                <w:szCs w:val="20"/>
              </w:rPr>
              <w:t xml:space="preserve">  Income quintile 2 vs. 5</w:t>
            </w:r>
          </w:p>
        </w:tc>
        <w:tc>
          <w:tcPr>
            <w:tcW w:w="2025" w:type="dxa"/>
            <w:tcBorders>
              <w:top w:val="nil"/>
              <w:left w:val="nil"/>
              <w:bottom w:val="nil"/>
              <w:right w:val="nil"/>
            </w:tcBorders>
          </w:tcPr>
          <w:p w14:paraId="7D16C09D" w14:textId="5B2872D5"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7254FC">
              <w:rPr>
                <w:rFonts w:cs="Times New Roman"/>
                <w:sz w:val="20"/>
                <w:szCs w:val="20"/>
              </w:rPr>
              <w:t>3</w:t>
            </w:r>
            <w:r w:rsidRPr="00A0643C">
              <w:rPr>
                <w:rFonts w:cs="Times New Roman"/>
                <w:sz w:val="20"/>
                <w:szCs w:val="20"/>
              </w:rPr>
              <w:t xml:space="preserve"> (0.9</w:t>
            </w:r>
            <w:r w:rsidR="007254FC">
              <w:rPr>
                <w:rFonts w:cs="Times New Roman"/>
                <w:sz w:val="20"/>
                <w:szCs w:val="20"/>
              </w:rPr>
              <w:t>1</w:t>
            </w:r>
            <w:r w:rsidRPr="00A0643C">
              <w:rPr>
                <w:rFonts w:cs="Times New Roman"/>
                <w:sz w:val="20"/>
                <w:szCs w:val="20"/>
              </w:rPr>
              <w:t>, 0</w:t>
            </w:r>
            <w:r w:rsidR="007254FC">
              <w:rPr>
                <w:rFonts w:cs="Times New Roman"/>
                <w:sz w:val="20"/>
                <w:szCs w:val="20"/>
              </w:rPr>
              <w:t>.94</w:t>
            </w:r>
            <w:r w:rsidRPr="00A0643C">
              <w:rPr>
                <w:rFonts w:cs="Times New Roman"/>
                <w:sz w:val="20"/>
                <w:szCs w:val="20"/>
              </w:rPr>
              <w:t>)</w:t>
            </w:r>
          </w:p>
        </w:tc>
        <w:tc>
          <w:tcPr>
            <w:tcW w:w="2025" w:type="dxa"/>
            <w:tcBorders>
              <w:top w:val="nil"/>
              <w:left w:val="nil"/>
              <w:bottom w:val="nil"/>
              <w:right w:val="nil"/>
            </w:tcBorders>
          </w:tcPr>
          <w:p w14:paraId="6CE834A7" w14:textId="0D8FD858"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7254FC">
              <w:rPr>
                <w:rFonts w:cs="Times New Roman"/>
                <w:sz w:val="20"/>
                <w:szCs w:val="20"/>
              </w:rPr>
              <w:t>2</w:t>
            </w:r>
            <w:r w:rsidRPr="00A0643C">
              <w:rPr>
                <w:rFonts w:cs="Times New Roman"/>
                <w:sz w:val="20"/>
                <w:szCs w:val="20"/>
              </w:rPr>
              <w:t xml:space="preserve"> (0.9</w:t>
            </w:r>
            <w:r w:rsidR="007254FC">
              <w:rPr>
                <w:rFonts w:cs="Times New Roman"/>
                <w:sz w:val="20"/>
                <w:szCs w:val="20"/>
              </w:rPr>
              <w:t>0</w:t>
            </w:r>
            <w:r w:rsidRPr="00A0643C">
              <w:rPr>
                <w:rFonts w:cs="Times New Roman"/>
                <w:sz w:val="20"/>
                <w:szCs w:val="20"/>
              </w:rPr>
              <w:t>, 0.9</w:t>
            </w:r>
            <w:r w:rsidR="007254FC">
              <w:rPr>
                <w:rFonts w:cs="Times New Roman"/>
                <w:sz w:val="20"/>
                <w:szCs w:val="20"/>
              </w:rPr>
              <w:t>3</w:t>
            </w:r>
            <w:r w:rsidRPr="00A0643C">
              <w:rPr>
                <w:rFonts w:cs="Times New Roman"/>
                <w:sz w:val="20"/>
                <w:szCs w:val="20"/>
              </w:rPr>
              <w:t>)</w:t>
            </w:r>
          </w:p>
        </w:tc>
        <w:tc>
          <w:tcPr>
            <w:tcW w:w="2025" w:type="dxa"/>
            <w:tcBorders>
              <w:top w:val="nil"/>
              <w:left w:val="nil"/>
              <w:bottom w:val="nil"/>
              <w:right w:val="nil"/>
            </w:tcBorders>
          </w:tcPr>
          <w:p w14:paraId="2338E0FB" w14:textId="294A70C2"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6F2BB1">
              <w:rPr>
                <w:rFonts w:cs="Times New Roman"/>
                <w:sz w:val="20"/>
                <w:szCs w:val="20"/>
              </w:rPr>
              <w:t>2</w:t>
            </w:r>
            <w:r w:rsidRPr="00A0643C">
              <w:rPr>
                <w:rFonts w:cs="Times New Roman"/>
                <w:sz w:val="20"/>
                <w:szCs w:val="20"/>
              </w:rPr>
              <w:t xml:space="preserve"> (0.9</w:t>
            </w:r>
            <w:r w:rsidR="006F2BB1">
              <w:rPr>
                <w:rFonts w:cs="Times New Roman"/>
                <w:sz w:val="20"/>
                <w:szCs w:val="20"/>
              </w:rPr>
              <w:t>0</w:t>
            </w:r>
            <w:r w:rsidRPr="00A0643C">
              <w:rPr>
                <w:rFonts w:cs="Times New Roman"/>
                <w:sz w:val="20"/>
                <w:szCs w:val="20"/>
              </w:rPr>
              <w:t>, 0.9</w:t>
            </w:r>
            <w:r w:rsidR="006F2BB1">
              <w:rPr>
                <w:rFonts w:cs="Times New Roman"/>
                <w:sz w:val="20"/>
                <w:szCs w:val="20"/>
              </w:rPr>
              <w:t>4</w:t>
            </w:r>
            <w:r w:rsidRPr="00A0643C">
              <w:rPr>
                <w:rFonts w:cs="Times New Roman"/>
                <w:sz w:val="20"/>
                <w:szCs w:val="20"/>
              </w:rPr>
              <w:t>)</w:t>
            </w:r>
          </w:p>
        </w:tc>
        <w:tc>
          <w:tcPr>
            <w:tcW w:w="2025" w:type="dxa"/>
            <w:tcBorders>
              <w:top w:val="nil"/>
              <w:left w:val="nil"/>
              <w:bottom w:val="nil"/>
              <w:right w:val="nil"/>
            </w:tcBorders>
            <w:shd w:val="clear" w:color="auto" w:fill="auto"/>
          </w:tcPr>
          <w:p w14:paraId="581BCFD4" w14:textId="34F99B4D"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6F2BB1">
              <w:rPr>
                <w:rFonts w:cs="Times New Roman"/>
                <w:sz w:val="20"/>
                <w:szCs w:val="20"/>
              </w:rPr>
              <w:t>2</w:t>
            </w:r>
            <w:r w:rsidRPr="00A0643C">
              <w:rPr>
                <w:rFonts w:cs="Times New Roman"/>
                <w:sz w:val="20"/>
                <w:szCs w:val="20"/>
              </w:rPr>
              <w:t xml:space="preserve"> (0.9</w:t>
            </w:r>
            <w:r w:rsidR="006F2BB1">
              <w:rPr>
                <w:rFonts w:cs="Times New Roman"/>
                <w:sz w:val="20"/>
                <w:szCs w:val="20"/>
              </w:rPr>
              <w:t>0</w:t>
            </w:r>
            <w:r w:rsidRPr="00A0643C">
              <w:rPr>
                <w:rFonts w:cs="Times New Roman"/>
                <w:sz w:val="20"/>
                <w:szCs w:val="20"/>
              </w:rPr>
              <w:t>, 0.9</w:t>
            </w:r>
            <w:r w:rsidR="006F2BB1">
              <w:rPr>
                <w:rFonts w:cs="Times New Roman"/>
                <w:sz w:val="20"/>
                <w:szCs w:val="20"/>
              </w:rPr>
              <w:t>3</w:t>
            </w:r>
            <w:r w:rsidRPr="00A0643C">
              <w:rPr>
                <w:rFonts w:cs="Times New Roman"/>
                <w:sz w:val="20"/>
                <w:szCs w:val="20"/>
              </w:rPr>
              <w:t>)</w:t>
            </w:r>
          </w:p>
        </w:tc>
      </w:tr>
      <w:tr w:rsidR="005B6A35" w:rsidRPr="00A0643C" w14:paraId="7EB2D247" w14:textId="77777777" w:rsidTr="001B7103">
        <w:tc>
          <w:tcPr>
            <w:tcW w:w="4860" w:type="dxa"/>
            <w:tcBorders>
              <w:top w:val="nil"/>
              <w:left w:val="nil"/>
              <w:bottom w:val="nil"/>
              <w:right w:val="nil"/>
            </w:tcBorders>
          </w:tcPr>
          <w:p w14:paraId="42821915" w14:textId="77777777" w:rsidR="005B6A35" w:rsidRPr="00A0643C" w:rsidRDefault="005B6A35" w:rsidP="005B6A35">
            <w:pPr>
              <w:spacing w:line="240" w:lineRule="auto"/>
              <w:rPr>
                <w:rFonts w:cs="Times New Roman"/>
                <w:sz w:val="20"/>
                <w:szCs w:val="20"/>
              </w:rPr>
            </w:pPr>
            <w:r w:rsidRPr="00A0643C">
              <w:rPr>
                <w:rFonts w:cs="Times New Roman"/>
                <w:sz w:val="20"/>
                <w:szCs w:val="20"/>
              </w:rPr>
              <w:t xml:space="preserve">  Income quintile 3 vs. 5</w:t>
            </w:r>
          </w:p>
        </w:tc>
        <w:tc>
          <w:tcPr>
            <w:tcW w:w="2025" w:type="dxa"/>
            <w:tcBorders>
              <w:top w:val="nil"/>
              <w:left w:val="nil"/>
              <w:bottom w:val="nil"/>
              <w:right w:val="nil"/>
            </w:tcBorders>
          </w:tcPr>
          <w:p w14:paraId="14090B41" w14:textId="18F95ABF"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7254FC">
              <w:rPr>
                <w:rFonts w:cs="Times New Roman"/>
                <w:sz w:val="20"/>
                <w:szCs w:val="20"/>
              </w:rPr>
              <w:t>.97</w:t>
            </w:r>
            <w:r w:rsidRPr="00A0643C">
              <w:rPr>
                <w:rFonts w:cs="Times New Roman"/>
                <w:sz w:val="20"/>
                <w:szCs w:val="20"/>
              </w:rPr>
              <w:t xml:space="preserve"> (0.9</w:t>
            </w:r>
            <w:r w:rsidR="007254FC">
              <w:rPr>
                <w:rFonts w:cs="Times New Roman"/>
                <w:sz w:val="20"/>
                <w:szCs w:val="20"/>
              </w:rPr>
              <w:t>6</w:t>
            </w:r>
            <w:r w:rsidRPr="00A0643C">
              <w:rPr>
                <w:rFonts w:cs="Times New Roman"/>
                <w:sz w:val="20"/>
                <w:szCs w:val="20"/>
              </w:rPr>
              <w:t>, 0</w:t>
            </w:r>
            <w:r w:rsidR="007254FC">
              <w:rPr>
                <w:rFonts w:cs="Times New Roman"/>
                <w:sz w:val="20"/>
                <w:szCs w:val="20"/>
              </w:rPr>
              <w:t>.99</w:t>
            </w:r>
            <w:r w:rsidRPr="00A0643C">
              <w:rPr>
                <w:rFonts w:cs="Times New Roman"/>
                <w:sz w:val="20"/>
                <w:szCs w:val="20"/>
              </w:rPr>
              <w:t>)</w:t>
            </w:r>
          </w:p>
        </w:tc>
        <w:tc>
          <w:tcPr>
            <w:tcW w:w="2025" w:type="dxa"/>
            <w:tcBorders>
              <w:top w:val="nil"/>
              <w:left w:val="nil"/>
              <w:bottom w:val="nil"/>
              <w:right w:val="nil"/>
            </w:tcBorders>
          </w:tcPr>
          <w:p w14:paraId="3A01812C" w14:textId="0311801B"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7254FC">
              <w:rPr>
                <w:rFonts w:cs="Times New Roman"/>
                <w:sz w:val="20"/>
                <w:szCs w:val="20"/>
              </w:rPr>
              <w:t>6</w:t>
            </w:r>
            <w:r w:rsidRPr="00A0643C">
              <w:rPr>
                <w:rFonts w:cs="Times New Roman"/>
                <w:sz w:val="20"/>
                <w:szCs w:val="20"/>
              </w:rPr>
              <w:t xml:space="preserve"> (0.9</w:t>
            </w:r>
            <w:r w:rsidR="007254FC">
              <w:rPr>
                <w:rFonts w:cs="Times New Roman"/>
                <w:sz w:val="20"/>
                <w:szCs w:val="20"/>
              </w:rPr>
              <w:t>5</w:t>
            </w:r>
            <w:r w:rsidRPr="00A0643C">
              <w:rPr>
                <w:rFonts w:cs="Times New Roman"/>
                <w:sz w:val="20"/>
                <w:szCs w:val="20"/>
              </w:rPr>
              <w:t xml:space="preserve">, </w:t>
            </w:r>
            <w:r w:rsidR="007254FC">
              <w:rPr>
                <w:rFonts w:cs="Times New Roman"/>
                <w:sz w:val="20"/>
                <w:szCs w:val="20"/>
              </w:rPr>
              <w:t>0</w:t>
            </w:r>
            <w:r w:rsidRPr="00A0643C">
              <w:rPr>
                <w:rFonts w:cs="Times New Roman"/>
                <w:sz w:val="20"/>
                <w:szCs w:val="20"/>
              </w:rPr>
              <w:t>.</w:t>
            </w:r>
            <w:r w:rsidR="007254FC">
              <w:rPr>
                <w:rFonts w:cs="Times New Roman"/>
                <w:sz w:val="20"/>
                <w:szCs w:val="20"/>
              </w:rPr>
              <w:t>98</w:t>
            </w:r>
            <w:r w:rsidRPr="00A0643C">
              <w:rPr>
                <w:rFonts w:cs="Times New Roman"/>
                <w:sz w:val="20"/>
                <w:szCs w:val="20"/>
              </w:rPr>
              <w:t>)</w:t>
            </w:r>
          </w:p>
        </w:tc>
        <w:tc>
          <w:tcPr>
            <w:tcW w:w="2025" w:type="dxa"/>
            <w:tcBorders>
              <w:top w:val="nil"/>
              <w:left w:val="nil"/>
              <w:bottom w:val="nil"/>
              <w:right w:val="nil"/>
            </w:tcBorders>
          </w:tcPr>
          <w:p w14:paraId="66C5568A" w14:textId="4F3F131B"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6F2BB1">
              <w:rPr>
                <w:rFonts w:cs="Times New Roman"/>
                <w:sz w:val="20"/>
                <w:szCs w:val="20"/>
              </w:rPr>
              <w:t>6</w:t>
            </w:r>
            <w:r w:rsidRPr="00A0643C">
              <w:rPr>
                <w:rFonts w:cs="Times New Roman"/>
                <w:sz w:val="20"/>
                <w:szCs w:val="20"/>
              </w:rPr>
              <w:t xml:space="preserve"> (0.9</w:t>
            </w:r>
            <w:r w:rsidR="006F2BB1">
              <w:rPr>
                <w:rFonts w:cs="Times New Roman"/>
                <w:sz w:val="20"/>
                <w:szCs w:val="20"/>
              </w:rPr>
              <w:t>5</w:t>
            </w:r>
            <w:r w:rsidRPr="00A0643C">
              <w:rPr>
                <w:rFonts w:cs="Times New Roman"/>
                <w:sz w:val="20"/>
                <w:szCs w:val="20"/>
              </w:rPr>
              <w:t>, 0</w:t>
            </w:r>
            <w:r w:rsidR="006F2BB1">
              <w:rPr>
                <w:rFonts w:cs="Times New Roman"/>
                <w:sz w:val="20"/>
                <w:szCs w:val="20"/>
              </w:rPr>
              <w:t>.98</w:t>
            </w:r>
            <w:r w:rsidRPr="00A0643C">
              <w:rPr>
                <w:rFonts w:cs="Times New Roman"/>
                <w:sz w:val="20"/>
                <w:szCs w:val="20"/>
              </w:rPr>
              <w:t>)</w:t>
            </w:r>
          </w:p>
        </w:tc>
        <w:tc>
          <w:tcPr>
            <w:tcW w:w="2025" w:type="dxa"/>
            <w:tcBorders>
              <w:top w:val="nil"/>
              <w:left w:val="nil"/>
              <w:bottom w:val="nil"/>
              <w:right w:val="nil"/>
            </w:tcBorders>
            <w:shd w:val="clear" w:color="auto" w:fill="auto"/>
          </w:tcPr>
          <w:p w14:paraId="3B95D901" w14:textId="7566A871"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6F2BB1">
              <w:rPr>
                <w:rFonts w:cs="Times New Roman"/>
                <w:sz w:val="20"/>
                <w:szCs w:val="20"/>
              </w:rPr>
              <w:t>6</w:t>
            </w:r>
            <w:r w:rsidRPr="00A0643C">
              <w:rPr>
                <w:rFonts w:cs="Times New Roman"/>
                <w:sz w:val="20"/>
                <w:szCs w:val="20"/>
              </w:rPr>
              <w:t xml:space="preserve"> (0.9</w:t>
            </w:r>
            <w:r w:rsidR="006F2BB1">
              <w:rPr>
                <w:rFonts w:cs="Times New Roman"/>
                <w:sz w:val="20"/>
                <w:szCs w:val="20"/>
              </w:rPr>
              <w:t>5</w:t>
            </w:r>
            <w:r w:rsidRPr="00A0643C">
              <w:rPr>
                <w:rFonts w:cs="Times New Roman"/>
                <w:sz w:val="20"/>
                <w:szCs w:val="20"/>
              </w:rPr>
              <w:t>, 0</w:t>
            </w:r>
            <w:r w:rsidR="006F2BB1">
              <w:rPr>
                <w:rFonts w:cs="Times New Roman"/>
                <w:sz w:val="20"/>
                <w:szCs w:val="20"/>
              </w:rPr>
              <w:t>.</w:t>
            </w:r>
            <w:r w:rsidR="00B32DBF">
              <w:rPr>
                <w:rFonts w:cs="Times New Roman"/>
                <w:sz w:val="20"/>
                <w:szCs w:val="20"/>
              </w:rPr>
              <w:t>98</w:t>
            </w:r>
            <w:r w:rsidRPr="00A0643C">
              <w:rPr>
                <w:rFonts w:cs="Times New Roman"/>
                <w:sz w:val="20"/>
                <w:szCs w:val="20"/>
              </w:rPr>
              <w:t>)</w:t>
            </w:r>
          </w:p>
        </w:tc>
      </w:tr>
      <w:tr w:rsidR="005B6A35" w:rsidRPr="00A0643C" w14:paraId="52FFABAB" w14:textId="77777777" w:rsidTr="001B7103">
        <w:tc>
          <w:tcPr>
            <w:tcW w:w="4860" w:type="dxa"/>
            <w:tcBorders>
              <w:top w:val="nil"/>
              <w:left w:val="nil"/>
              <w:bottom w:val="nil"/>
              <w:right w:val="nil"/>
            </w:tcBorders>
          </w:tcPr>
          <w:p w14:paraId="2D39E29C" w14:textId="77777777" w:rsidR="005B6A35" w:rsidRPr="00A0643C" w:rsidRDefault="005B6A35" w:rsidP="005B6A35">
            <w:pPr>
              <w:spacing w:line="240" w:lineRule="auto"/>
              <w:rPr>
                <w:rFonts w:cs="Times New Roman"/>
                <w:sz w:val="20"/>
                <w:szCs w:val="20"/>
              </w:rPr>
            </w:pPr>
            <w:r w:rsidRPr="00A0643C">
              <w:rPr>
                <w:rFonts w:cs="Times New Roman"/>
                <w:sz w:val="20"/>
                <w:szCs w:val="20"/>
              </w:rPr>
              <w:t xml:space="preserve">  Income quintile 4 vs. 5</w:t>
            </w:r>
          </w:p>
        </w:tc>
        <w:tc>
          <w:tcPr>
            <w:tcW w:w="2025" w:type="dxa"/>
            <w:tcBorders>
              <w:top w:val="nil"/>
              <w:left w:val="nil"/>
              <w:bottom w:val="nil"/>
              <w:right w:val="nil"/>
            </w:tcBorders>
          </w:tcPr>
          <w:p w14:paraId="20B7350B" w14:textId="191E198F"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7254FC">
              <w:rPr>
                <w:rFonts w:cs="Times New Roman"/>
                <w:sz w:val="20"/>
                <w:szCs w:val="20"/>
              </w:rPr>
              <w:t>.99</w:t>
            </w:r>
            <w:r w:rsidRPr="00A0643C">
              <w:rPr>
                <w:rFonts w:cs="Times New Roman"/>
                <w:sz w:val="20"/>
                <w:szCs w:val="20"/>
              </w:rPr>
              <w:t xml:space="preserve"> (0.9</w:t>
            </w:r>
            <w:r w:rsidR="007254FC">
              <w:rPr>
                <w:rFonts w:cs="Times New Roman"/>
                <w:sz w:val="20"/>
                <w:szCs w:val="20"/>
              </w:rPr>
              <w:t>7</w:t>
            </w:r>
            <w:r w:rsidRPr="00A0643C">
              <w:rPr>
                <w:rFonts w:cs="Times New Roman"/>
                <w:sz w:val="20"/>
                <w:szCs w:val="20"/>
              </w:rPr>
              <w:t>, 1.0</w:t>
            </w:r>
            <w:r w:rsidR="007254FC">
              <w:rPr>
                <w:rFonts w:cs="Times New Roman"/>
                <w:sz w:val="20"/>
                <w:szCs w:val="20"/>
              </w:rPr>
              <w:t>1</w:t>
            </w:r>
            <w:r w:rsidRPr="00A0643C">
              <w:rPr>
                <w:rFonts w:cs="Times New Roman"/>
                <w:sz w:val="20"/>
                <w:szCs w:val="20"/>
              </w:rPr>
              <w:t>)</w:t>
            </w:r>
          </w:p>
        </w:tc>
        <w:tc>
          <w:tcPr>
            <w:tcW w:w="2025" w:type="dxa"/>
            <w:tcBorders>
              <w:top w:val="nil"/>
              <w:left w:val="nil"/>
              <w:bottom w:val="nil"/>
              <w:right w:val="nil"/>
            </w:tcBorders>
          </w:tcPr>
          <w:p w14:paraId="2F7AAD94" w14:textId="11BE3CBA" w:rsidR="005B6A35" w:rsidRPr="00A0643C" w:rsidRDefault="007254FC" w:rsidP="005B6A35">
            <w:pPr>
              <w:spacing w:line="240" w:lineRule="auto"/>
              <w:jc w:val="center"/>
              <w:rPr>
                <w:rFonts w:cs="Times New Roman"/>
                <w:sz w:val="20"/>
                <w:szCs w:val="20"/>
              </w:rPr>
            </w:pPr>
            <w:r>
              <w:rPr>
                <w:rFonts w:cs="Times New Roman"/>
                <w:sz w:val="20"/>
                <w:szCs w:val="20"/>
              </w:rPr>
              <w:t>0</w:t>
            </w:r>
            <w:r w:rsidR="005B6A35" w:rsidRPr="00A0643C">
              <w:rPr>
                <w:rFonts w:cs="Times New Roman"/>
                <w:sz w:val="20"/>
                <w:szCs w:val="20"/>
              </w:rPr>
              <w:t>.</w:t>
            </w:r>
            <w:r w:rsidR="00BE351F">
              <w:rPr>
                <w:rFonts w:cs="Times New Roman"/>
                <w:sz w:val="20"/>
                <w:szCs w:val="20"/>
              </w:rPr>
              <w:t>99</w:t>
            </w:r>
            <w:r w:rsidR="005B6A35" w:rsidRPr="00A0643C">
              <w:rPr>
                <w:rFonts w:cs="Times New Roman"/>
                <w:sz w:val="20"/>
                <w:szCs w:val="20"/>
              </w:rPr>
              <w:t xml:space="preserve"> (0.9</w:t>
            </w:r>
            <w:r w:rsidR="00BE351F">
              <w:rPr>
                <w:rFonts w:cs="Times New Roman"/>
                <w:sz w:val="20"/>
                <w:szCs w:val="20"/>
              </w:rPr>
              <w:t>7</w:t>
            </w:r>
            <w:r w:rsidR="005B6A35" w:rsidRPr="00A0643C">
              <w:rPr>
                <w:rFonts w:cs="Times New Roman"/>
                <w:sz w:val="20"/>
                <w:szCs w:val="20"/>
              </w:rPr>
              <w:t>, 1.0</w:t>
            </w:r>
            <w:r w:rsidR="00BE351F">
              <w:rPr>
                <w:rFonts w:cs="Times New Roman"/>
                <w:sz w:val="20"/>
                <w:szCs w:val="20"/>
              </w:rPr>
              <w:t>1</w:t>
            </w:r>
            <w:r w:rsidR="005B6A35" w:rsidRPr="00A0643C">
              <w:rPr>
                <w:rFonts w:cs="Times New Roman"/>
                <w:sz w:val="20"/>
                <w:szCs w:val="20"/>
              </w:rPr>
              <w:t>)</w:t>
            </w:r>
          </w:p>
        </w:tc>
        <w:tc>
          <w:tcPr>
            <w:tcW w:w="2025" w:type="dxa"/>
            <w:tcBorders>
              <w:top w:val="nil"/>
              <w:left w:val="nil"/>
              <w:bottom w:val="nil"/>
              <w:right w:val="nil"/>
            </w:tcBorders>
          </w:tcPr>
          <w:p w14:paraId="1061E4A7" w14:textId="379E73AA"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6F2BB1">
              <w:rPr>
                <w:rFonts w:cs="Times New Roman"/>
                <w:sz w:val="20"/>
                <w:szCs w:val="20"/>
              </w:rPr>
              <w:t>.99</w:t>
            </w:r>
            <w:r w:rsidRPr="00A0643C">
              <w:rPr>
                <w:rFonts w:cs="Times New Roman"/>
                <w:sz w:val="20"/>
                <w:szCs w:val="20"/>
              </w:rPr>
              <w:t xml:space="preserve"> (0.9</w:t>
            </w:r>
            <w:r w:rsidR="006F2BB1">
              <w:rPr>
                <w:rFonts w:cs="Times New Roman"/>
                <w:sz w:val="20"/>
                <w:szCs w:val="20"/>
              </w:rPr>
              <w:t>7</w:t>
            </w:r>
            <w:r w:rsidRPr="00A0643C">
              <w:rPr>
                <w:rFonts w:cs="Times New Roman"/>
                <w:sz w:val="20"/>
                <w:szCs w:val="20"/>
              </w:rPr>
              <w:t>, 1.0</w:t>
            </w:r>
            <w:r w:rsidR="006F2BB1">
              <w:rPr>
                <w:rFonts w:cs="Times New Roman"/>
                <w:sz w:val="20"/>
                <w:szCs w:val="20"/>
              </w:rPr>
              <w:t>1</w:t>
            </w:r>
            <w:r w:rsidRPr="00A0643C">
              <w:rPr>
                <w:rFonts w:cs="Times New Roman"/>
                <w:sz w:val="20"/>
                <w:szCs w:val="20"/>
              </w:rPr>
              <w:t>)</w:t>
            </w:r>
          </w:p>
        </w:tc>
        <w:tc>
          <w:tcPr>
            <w:tcW w:w="2025" w:type="dxa"/>
            <w:tcBorders>
              <w:top w:val="nil"/>
              <w:left w:val="nil"/>
              <w:bottom w:val="nil"/>
              <w:right w:val="nil"/>
            </w:tcBorders>
            <w:shd w:val="clear" w:color="auto" w:fill="auto"/>
          </w:tcPr>
          <w:p w14:paraId="168DA500" w14:textId="24EF3EC2"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B32DBF">
              <w:rPr>
                <w:rFonts w:cs="Times New Roman"/>
                <w:sz w:val="20"/>
                <w:szCs w:val="20"/>
              </w:rPr>
              <w:t>.99</w:t>
            </w:r>
            <w:r w:rsidRPr="00A0643C">
              <w:rPr>
                <w:rFonts w:cs="Times New Roman"/>
                <w:sz w:val="20"/>
                <w:szCs w:val="20"/>
              </w:rPr>
              <w:t xml:space="preserve"> (0.9</w:t>
            </w:r>
            <w:r w:rsidR="00B32DBF">
              <w:rPr>
                <w:rFonts w:cs="Times New Roman"/>
                <w:sz w:val="20"/>
                <w:szCs w:val="20"/>
              </w:rPr>
              <w:t>7</w:t>
            </w:r>
            <w:r w:rsidRPr="00A0643C">
              <w:rPr>
                <w:rFonts w:cs="Times New Roman"/>
                <w:sz w:val="20"/>
                <w:szCs w:val="20"/>
              </w:rPr>
              <w:t>, 1.0</w:t>
            </w:r>
            <w:r w:rsidR="00B32DBF">
              <w:rPr>
                <w:rFonts w:cs="Times New Roman"/>
                <w:sz w:val="20"/>
                <w:szCs w:val="20"/>
              </w:rPr>
              <w:t>1</w:t>
            </w:r>
            <w:r w:rsidRPr="00A0643C">
              <w:rPr>
                <w:rFonts w:cs="Times New Roman"/>
                <w:sz w:val="20"/>
                <w:szCs w:val="20"/>
              </w:rPr>
              <w:t>)</w:t>
            </w:r>
          </w:p>
        </w:tc>
      </w:tr>
      <w:tr w:rsidR="005B6A35" w:rsidRPr="00A0643C" w14:paraId="4F974723" w14:textId="77777777" w:rsidTr="001B7103">
        <w:tc>
          <w:tcPr>
            <w:tcW w:w="4860" w:type="dxa"/>
            <w:tcBorders>
              <w:top w:val="nil"/>
              <w:left w:val="nil"/>
              <w:bottom w:val="nil"/>
              <w:right w:val="nil"/>
            </w:tcBorders>
          </w:tcPr>
          <w:p w14:paraId="3569A194" w14:textId="77777777" w:rsidR="005B6A35" w:rsidRPr="00A0643C" w:rsidRDefault="005B6A35" w:rsidP="005B6A35">
            <w:pPr>
              <w:spacing w:line="240" w:lineRule="auto"/>
              <w:rPr>
                <w:rFonts w:cs="Times New Roman"/>
                <w:sz w:val="20"/>
                <w:szCs w:val="20"/>
              </w:rPr>
            </w:pPr>
            <w:r w:rsidRPr="00A0643C">
              <w:rPr>
                <w:rFonts w:cs="Times New Roman"/>
                <w:sz w:val="20"/>
                <w:szCs w:val="20"/>
              </w:rPr>
              <w:t xml:space="preserve">  Rostered to a PCP</w:t>
            </w:r>
          </w:p>
        </w:tc>
        <w:tc>
          <w:tcPr>
            <w:tcW w:w="2025" w:type="dxa"/>
            <w:tcBorders>
              <w:top w:val="nil"/>
              <w:left w:val="nil"/>
              <w:bottom w:val="nil"/>
              <w:right w:val="nil"/>
            </w:tcBorders>
          </w:tcPr>
          <w:p w14:paraId="3068782B" w14:textId="4E4F7C28" w:rsidR="005B6A35" w:rsidRPr="00A0643C" w:rsidRDefault="005B6A35" w:rsidP="005B6A35">
            <w:pPr>
              <w:spacing w:line="240" w:lineRule="auto"/>
              <w:jc w:val="center"/>
              <w:rPr>
                <w:rFonts w:cs="Times New Roman"/>
                <w:sz w:val="20"/>
                <w:szCs w:val="20"/>
              </w:rPr>
            </w:pPr>
            <w:r w:rsidRPr="00A0643C">
              <w:rPr>
                <w:rFonts w:cs="Times New Roman"/>
                <w:sz w:val="20"/>
                <w:szCs w:val="20"/>
              </w:rPr>
              <w:t>1.</w:t>
            </w:r>
            <w:r w:rsidR="00BE351F">
              <w:rPr>
                <w:rFonts w:cs="Times New Roman"/>
                <w:sz w:val="20"/>
                <w:szCs w:val="20"/>
              </w:rPr>
              <w:t>11</w:t>
            </w:r>
            <w:r w:rsidRPr="00A0643C">
              <w:rPr>
                <w:rFonts w:cs="Times New Roman"/>
                <w:sz w:val="20"/>
                <w:szCs w:val="20"/>
              </w:rPr>
              <w:t xml:space="preserve"> (1.0</w:t>
            </w:r>
            <w:r w:rsidR="00BE351F">
              <w:rPr>
                <w:rFonts w:cs="Times New Roman"/>
                <w:sz w:val="20"/>
                <w:szCs w:val="20"/>
              </w:rPr>
              <w:t>7</w:t>
            </w:r>
            <w:r w:rsidRPr="00A0643C">
              <w:rPr>
                <w:rFonts w:cs="Times New Roman"/>
                <w:sz w:val="20"/>
                <w:szCs w:val="20"/>
              </w:rPr>
              <w:t>, 1.</w:t>
            </w:r>
            <w:r w:rsidR="00BE351F">
              <w:rPr>
                <w:rFonts w:cs="Times New Roman"/>
                <w:sz w:val="20"/>
                <w:szCs w:val="20"/>
              </w:rPr>
              <w:t>15</w:t>
            </w:r>
            <w:r w:rsidRPr="00A0643C">
              <w:rPr>
                <w:rFonts w:cs="Times New Roman"/>
                <w:sz w:val="20"/>
                <w:szCs w:val="20"/>
              </w:rPr>
              <w:t>)</w:t>
            </w:r>
          </w:p>
        </w:tc>
        <w:tc>
          <w:tcPr>
            <w:tcW w:w="2025" w:type="dxa"/>
            <w:tcBorders>
              <w:top w:val="nil"/>
              <w:left w:val="nil"/>
              <w:bottom w:val="nil"/>
              <w:right w:val="nil"/>
            </w:tcBorders>
          </w:tcPr>
          <w:p w14:paraId="32D6D573" w14:textId="6DF0ACF1" w:rsidR="005B6A35" w:rsidRPr="00A0643C" w:rsidRDefault="005B6A35" w:rsidP="005B6A35">
            <w:pPr>
              <w:spacing w:line="240" w:lineRule="auto"/>
              <w:jc w:val="center"/>
              <w:rPr>
                <w:rFonts w:cs="Times New Roman"/>
                <w:sz w:val="20"/>
                <w:szCs w:val="20"/>
              </w:rPr>
            </w:pPr>
            <w:r w:rsidRPr="00A0643C">
              <w:rPr>
                <w:rFonts w:cs="Times New Roman"/>
                <w:sz w:val="20"/>
                <w:szCs w:val="20"/>
              </w:rPr>
              <w:t>1.</w:t>
            </w:r>
            <w:r w:rsidR="00BE351F">
              <w:rPr>
                <w:rFonts w:cs="Times New Roman"/>
                <w:sz w:val="20"/>
                <w:szCs w:val="20"/>
              </w:rPr>
              <w:t>16</w:t>
            </w:r>
            <w:r w:rsidRPr="00A0643C">
              <w:rPr>
                <w:rFonts w:cs="Times New Roman"/>
                <w:sz w:val="20"/>
                <w:szCs w:val="20"/>
              </w:rPr>
              <w:t xml:space="preserve"> (1.</w:t>
            </w:r>
            <w:r w:rsidR="00BE351F">
              <w:rPr>
                <w:rFonts w:cs="Times New Roman"/>
                <w:sz w:val="20"/>
                <w:szCs w:val="20"/>
              </w:rPr>
              <w:t>12</w:t>
            </w:r>
            <w:r w:rsidRPr="00A0643C">
              <w:rPr>
                <w:rFonts w:cs="Times New Roman"/>
                <w:sz w:val="20"/>
                <w:szCs w:val="20"/>
              </w:rPr>
              <w:t>, 1.</w:t>
            </w:r>
            <w:r w:rsidR="00BE351F">
              <w:rPr>
                <w:rFonts w:cs="Times New Roman"/>
                <w:sz w:val="20"/>
                <w:szCs w:val="20"/>
              </w:rPr>
              <w:t>2</w:t>
            </w:r>
            <w:r w:rsidRPr="00A0643C">
              <w:rPr>
                <w:rFonts w:cs="Times New Roman"/>
                <w:sz w:val="20"/>
                <w:szCs w:val="20"/>
              </w:rPr>
              <w:t>1)</w:t>
            </w:r>
          </w:p>
        </w:tc>
        <w:tc>
          <w:tcPr>
            <w:tcW w:w="2025" w:type="dxa"/>
            <w:tcBorders>
              <w:top w:val="nil"/>
              <w:left w:val="nil"/>
              <w:bottom w:val="nil"/>
              <w:right w:val="nil"/>
            </w:tcBorders>
          </w:tcPr>
          <w:p w14:paraId="76C76FB8" w14:textId="64ECFF74" w:rsidR="005B6A35" w:rsidRPr="00A0643C" w:rsidRDefault="005B6A35" w:rsidP="005B6A35">
            <w:pPr>
              <w:spacing w:line="240" w:lineRule="auto"/>
              <w:jc w:val="center"/>
              <w:rPr>
                <w:rFonts w:cs="Times New Roman"/>
                <w:sz w:val="20"/>
                <w:szCs w:val="20"/>
              </w:rPr>
            </w:pPr>
            <w:r w:rsidRPr="00A0643C">
              <w:rPr>
                <w:rFonts w:cs="Times New Roman"/>
                <w:sz w:val="20"/>
                <w:szCs w:val="20"/>
              </w:rPr>
              <w:t>1.</w:t>
            </w:r>
            <w:r w:rsidR="006F2BB1">
              <w:rPr>
                <w:rFonts w:cs="Times New Roman"/>
                <w:sz w:val="20"/>
                <w:szCs w:val="20"/>
              </w:rPr>
              <w:t>1</w:t>
            </w:r>
            <w:r w:rsidRPr="00A0643C">
              <w:rPr>
                <w:rFonts w:cs="Times New Roman"/>
                <w:sz w:val="20"/>
                <w:szCs w:val="20"/>
              </w:rPr>
              <w:t>7 (1.</w:t>
            </w:r>
            <w:r w:rsidR="006F2BB1">
              <w:rPr>
                <w:rFonts w:cs="Times New Roman"/>
                <w:sz w:val="20"/>
                <w:szCs w:val="20"/>
              </w:rPr>
              <w:t>12</w:t>
            </w:r>
            <w:r w:rsidRPr="00A0643C">
              <w:rPr>
                <w:rFonts w:cs="Times New Roman"/>
                <w:sz w:val="20"/>
                <w:szCs w:val="20"/>
              </w:rPr>
              <w:t>, 1.</w:t>
            </w:r>
            <w:r w:rsidR="006F2BB1">
              <w:rPr>
                <w:rFonts w:cs="Times New Roman"/>
                <w:sz w:val="20"/>
                <w:szCs w:val="20"/>
              </w:rPr>
              <w:t>2</w:t>
            </w:r>
            <w:r w:rsidRPr="00A0643C">
              <w:rPr>
                <w:rFonts w:cs="Times New Roman"/>
                <w:sz w:val="20"/>
                <w:szCs w:val="20"/>
              </w:rPr>
              <w:t>1)</w:t>
            </w:r>
          </w:p>
        </w:tc>
        <w:tc>
          <w:tcPr>
            <w:tcW w:w="2025" w:type="dxa"/>
            <w:tcBorders>
              <w:top w:val="nil"/>
              <w:left w:val="nil"/>
              <w:bottom w:val="nil"/>
              <w:right w:val="nil"/>
            </w:tcBorders>
            <w:shd w:val="clear" w:color="auto" w:fill="auto"/>
          </w:tcPr>
          <w:p w14:paraId="5C15E8F8" w14:textId="58ED03DC" w:rsidR="005B6A35" w:rsidRPr="00A0643C" w:rsidRDefault="005B6A35" w:rsidP="005B6A35">
            <w:pPr>
              <w:spacing w:line="240" w:lineRule="auto"/>
              <w:jc w:val="center"/>
              <w:rPr>
                <w:rFonts w:cs="Times New Roman"/>
                <w:sz w:val="20"/>
                <w:szCs w:val="20"/>
              </w:rPr>
            </w:pPr>
            <w:r w:rsidRPr="00A0643C">
              <w:rPr>
                <w:rFonts w:cs="Times New Roman"/>
                <w:sz w:val="20"/>
                <w:szCs w:val="20"/>
              </w:rPr>
              <w:t>1.</w:t>
            </w:r>
            <w:r w:rsidR="00B32DBF">
              <w:rPr>
                <w:rFonts w:cs="Times New Roman"/>
                <w:sz w:val="20"/>
                <w:szCs w:val="20"/>
              </w:rPr>
              <w:t>16</w:t>
            </w:r>
            <w:r w:rsidRPr="00A0643C">
              <w:rPr>
                <w:rFonts w:cs="Times New Roman"/>
                <w:sz w:val="20"/>
                <w:szCs w:val="20"/>
              </w:rPr>
              <w:t xml:space="preserve"> (1.</w:t>
            </w:r>
            <w:r w:rsidR="00B32DBF">
              <w:rPr>
                <w:rFonts w:cs="Times New Roman"/>
                <w:sz w:val="20"/>
                <w:szCs w:val="20"/>
              </w:rPr>
              <w:t>12</w:t>
            </w:r>
            <w:r w:rsidRPr="00A0643C">
              <w:rPr>
                <w:rFonts w:cs="Times New Roman"/>
                <w:sz w:val="20"/>
                <w:szCs w:val="20"/>
              </w:rPr>
              <w:t>, 1.</w:t>
            </w:r>
            <w:r w:rsidR="00B32DBF">
              <w:rPr>
                <w:rFonts w:cs="Times New Roman"/>
                <w:sz w:val="20"/>
                <w:szCs w:val="20"/>
              </w:rPr>
              <w:t>2</w:t>
            </w:r>
            <w:r w:rsidRPr="00A0643C">
              <w:rPr>
                <w:rFonts w:cs="Times New Roman"/>
                <w:sz w:val="20"/>
                <w:szCs w:val="20"/>
              </w:rPr>
              <w:t>1)</w:t>
            </w:r>
          </w:p>
        </w:tc>
      </w:tr>
      <w:tr w:rsidR="005B6A35" w:rsidRPr="00A0643C" w14:paraId="0492E8E8" w14:textId="77777777" w:rsidTr="001B7103">
        <w:tc>
          <w:tcPr>
            <w:tcW w:w="4860" w:type="dxa"/>
            <w:tcBorders>
              <w:top w:val="nil"/>
              <w:left w:val="nil"/>
              <w:bottom w:val="nil"/>
              <w:right w:val="nil"/>
            </w:tcBorders>
          </w:tcPr>
          <w:p w14:paraId="7990E9C5" w14:textId="4078BD3B" w:rsidR="005B6A35" w:rsidRPr="00A0643C" w:rsidRDefault="005B6A35" w:rsidP="005B6A35">
            <w:pPr>
              <w:spacing w:line="240" w:lineRule="auto"/>
              <w:rPr>
                <w:rFonts w:cs="Times New Roman"/>
                <w:sz w:val="20"/>
                <w:szCs w:val="20"/>
              </w:rPr>
            </w:pPr>
            <w:r w:rsidRPr="00A0643C">
              <w:rPr>
                <w:rFonts w:cs="Times New Roman"/>
                <w:sz w:val="20"/>
                <w:szCs w:val="20"/>
              </w:rPr>
              <w:t xml:space="preserve">  History of non-CRC cancer: ≤5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47652586" w14:textId="06BB325C"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BE351F">
              <w:rPr>
                <w:rFonts w:cs="Times New Roman"/>
                <w:sz w:val="20"/>
                <w:szCs w:val="20"/>
              </w:rPr>
              <w:t>91</w:t>
            </w:r>
            <w:r w:rsidRPr="00A0643C">
              <w:rPr>
                <w:rFonts w:cs="Times New Roman"/>
                <w:sz w:val="20"/>
                <w:szCs w:val="20"/>
              </w:rPr>
              <w:t xml:space="preserve"> (0.8</w:t>
            </w:r>
            <w:r w:rsidR="00BE351F">
              <w:rPr>
                <w:rFonts w:cs="Times New Roman"/>
                <w:sz w:val="20"/>
                <w:szCs w:val="20"/>
              </w:rPr>
              <w:t>8</w:t>
            </w:r>
            <w:r w:rsidRPr="00A0643C">
              <w:rPr>
                <w:rFonts w:cs="Times New Roman"/>
                <w:sz w:val="20"/>
                <w:szCs w:val="20"/>
              </w:rPr>
              <w:t>, 0.9</w:t>
            </w:r>
            <w:r w:rsidR="00BE351F">
              <w:rPr>
                <w:rFonts w:cs="Times New Roman"/>
                <w:sz w:val="20"/>
                <w:szCs w:val="20"/>
              </w:rPr>
              <w:t>4</w:t>
            </w:r>
            <w:r w:rsidRPr="00A0643C">
              <w:rPr>
                <w:rFonts w:cs="Times New Roman"/>
                <w:sz w:val="20"/>
                <w:szCs w:val="20"/>
              </w:rPr>
              <w:t>)</w:t>
            </w:r>
          </w:p>
        </w:tc>
        <w:tc>
          <w:tcPr>
            <w:tcW w:w="2025" w:type="dxa"/>
            <w:tcBorders>
              <w:top w:val="nil"/>
              <w:left w:val="nil"/>
              <w:bottom w:val="nil"/>
              <w:right w:val="nil"/>
            </w:tcBorders>
          </w:tcPr>
          <w:p w14:paraId="0E5D625F" w14:textId="5C87EB49"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BE351F">
              <w:rPr>
                <w:rFonts w:cs="Times New Roman"/>
                <w:sz w:val="20"/>
                <w:szCs w:val="20"/>
              </w:rPr>
              <w:t>6</w:t>
            </w:r>
            <w:r w:rsidRPr="00A0643C">
              <w:rPr>
                <w:rFonts w:cs="Times New Roman"/>
                <w:sz w:val="20"/>
                <w:szCs w:val="20"/>
              </w:rPr>
              <w:t xml:space="preserve"> (0.</w:t>
            </w:r>
            <w:r w:rsidR="00BE351F">
              <w:rPr>
                <w:rFonts w:cs="Times New Roman"/>
                <w:sz w:val="20"/>
                <w:szCs w:val="20"/>
              </w:rPr>
              <w:t>93</w:t>
            </w:r>
            <w:r w:rsidRPr="00A0643C">
              <w:rPr>
                <w:rFonts w:cs="Times New Roman"/>
                <w:sz w:val="20"/>
                <w:szCs w:val="20"/>
              </w:rPr>
              <w:t>, 0.9</w:t>
            </w:r>
            <w:r w:rsidR="00BE351F">
              <w:rPr>
                <w:rFonts w:cs="Times New Roman"/>
                <w:sz w:val="20"/>
                <w:szCs w:val="20"/>
              </w:rPr>
              <w:t>9</w:t>
            </w:r>
            <w:r w:rsidRPr="00A0643C">
              <w:rPr>
                <w:rFonts w:cs="Times New Roman"/>
                <w:sz w:val="20"/>
                <w:szCs w:val="20"/>
              </w:rPr>
              <w:t>)</w:t>
            </w:r>
          </w:p>
        </w:tc>
        <w:tc>
          <w:tcPr>
            <w:tcW w:w="2025" w:type="dxa"/>
            <w:tcBorders>
              <w:top w:val="nil"/>
              <w:left w:val="nil"/>
              <w:bottom w:val="nil"/>
              <w:right w:val="nil"/>
            </w:tcBorders>
          </w:tcPr>
          <w:p w14:paraId="2F937E13" w14:textId="07DB3A36"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6F2BB1">
              <w:rPr>
                <w:rFonts w:cs="Times New Roman"/>
                <w:sz w:val="20"/>
                <w:szCs w:val="20"/>
              </w:rPr>
              <w:t>6</w:t>
            </w:r>
            <w:r w:rsidRPr="00A0643C">
              <w:rPr>
                <w:rFonts w:cs="Times New Roman"/>
                <w:sz w:val="20"/>
                <w:szCs w:val="20"/>
              </w:rPr>
              <w:t xml:space="preserve"> (0.</w:t>
            </w:r>
            <w:r w:rsidR="006F2BB1">
              <w:rPr>
                <w:rFonts w:cs="Times New Roman"/>
                <w:sz w:val="20"/>
                <w:szCs w:val="20"/>
              </w:rPr>
              <w:t>93</w:t>
            </w:r>
            <w:r w:rsidRPr="00A0643C">
              <w:rPr>
                <w:rFonts w:cs="Times New Roman"/>
                <w:sz w:val="20"/>
                <w:szCs w:val="20"/>
              </w:rPr>
              <w:t>, 0.9</w:t>
            </w:r>
            <w:r w:rsidR="006F2BB1">
              <w:rPr>
                <w:rFonts w:cs="Times New Roman"/>
                <w:sz w:val="20"/>
                <w:szCs w:val="20"/>
              </w:rPr>
              <w:t>9</w:t>
            </w:r>
            <w:r w:rsidRPr="00A0643C">
              <w:rPr>
                <w:rFonts w:cs="Times New Roman"/>
                <w:sz w:val="20"/>
                <w:szCs w:val="20"/>
              </w:rPr>
              <w:t>)</w:t>
            </w:r>
          </w:p>
        </w:tc>
        <w:tc>
          <w:tcPr>
            <w:tcW w:w="2025" w:type="dxa"/>
            <w:tcBorders>
              <w:top w:val="nil"/>
              <w:left w:val="nil"/>
              <w:bottom w:val="nil"/>
              <w:right w:val="nil"/>
            </w:tcBorders>
            <w:shd w:val="clear" w:color="auto" w:fill="auto"/>
          </w:tcPr>
          <w:p w14:paraId="48587525" w14:textId="596F6026"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B32DBF">
              <w:rPr>
                <w:rFonts w:cs="Times New Roman"/>
                <w:sz w:val="20"/>
                <w:szCs w:val="20"/>
              </w:rPr>
              <w:t>6</w:t>
            </w:r>
            <w:r w:rsidRPr="00A0643C">
              <w:rPr>
                <w:rFonts w:cs="Times New Roman"/>
                <w:sz w:val="20"/>
                <w:szCs w:val="20"/>
              </w:rPr>
              <w:t xml:space="preserve"> (0.</w:t>
            </w:r>
            <w:r w:rsidR="00B32DBF">
              <w:rPr>
                <w:rFonts w:cs="Times New Roman"/>
                <w:sz w:val="20"/>
                <w:szCs w:val="20"/>
              </w:rPr>
              <w:t>93</w:t>
            </w:r>
            <w:r w:rsidRPr="00A0643C">
              <w:rPr>
                <w:rFonts w:cs="Times New Roman"/>
                <w:sz w:val="20"/>
                <w:szCs w:val="20"/>
              </w:rPr>
              <w:t>, 0.9</w:t>
            </w:r>
            <w:r w:rsidR="00B32DBF">
              <w:rPr>
                <w:rFonts w:cs="Times New Roman"/>
                <w:sz w:val="20"/>
                <w:szCs w:val="20"/>
              </w:rPr>
              <w:t>9</w:t>
            </w:r>
            <w:r w:rsidRPr="00A0643C">
              <w:rPr>
                <w:rFonts w:cs="Times New Roman"/>
                <w:sz w:val="20"/>
                <w:szCs w:val="20"/>
              </w:rPr>
              <w:t>)</w:t>
            </w:r>
          </w:p>
        </w:tc>
      </w:tr>
      <w:tr w:rsidR="005B6A35" w:rsidRPr="00A0643C" w14:paraId="50844AAF" w14:textId="77777777" w:rsidTr="001B7103">
        <w:tc>
          <w:tcPr>
            <w:tcW w:w="4860" w:type="dxa"/>
            <w:tcBorders>
              <w:top w:val="nil"/>
              <w:left w:val="nil"/>
              <w:bottom w:val="nil"/>
              <w:right w:val="nil"/>
            </w:tcBorders>
          </w:tcPr>
          <w:p w14:paraId="12FDC54E" w14:textId="6F63234C" w:rsidR="005B6A35" w:rsidRPr="00A0643C" w:rsidRDefault="005B6A35" w:rsidP="005B6A35">
            <w:pPr>
              <w:spacing w:line="240" w:lineRule="auto"/>
              <w:rPr>
                <w:rFonts w:cs="Times New Roman"/>
                <w:sz w:val="20"/>
                <w:szCs w:val="20"/>
              </w:rPr>
            </w:pPr>
            <w:r w:rsidRPr="00A0643C">
              <w:rPr>
                <w:rFonts w:cs="Times New Roman"/>
                <w:sz w:val="20"/>
                <w:szCs w:val="20"/>
              </w:rPr>
              <w:t xml:space="preserve">  History of non-CRC cancer: 6-10 vs. &gt;10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2C86FD94" w14:textId="4A7B317F" w:rsidR="005B6A35" w:rsidRPr="00A0643C" w:rsidRDefault="005B6A35" w:rsidP="005B6A35">
            <w:pPr>
              <w:spacing w:line="240" w:lineRule="auto"/>
              <w:jc w:val="center"/>
              <w:rPr>
                <w:rFonts w:cs="Times New Roman"/>
                <w:sz w:val="20"/>
                <w:szCs w:val="20"/>
              </w:rPr>
            </w:pPr>
            <w:r w:rsidRPr="00A0643C">
              <w:rPr>
                <w:rFonts w:cs="Times New Roman"/>
                <w:sz w:val="20"/>
                <w:szCs w:val="20"/>
              </w:rPr>
              <w:t>0.9</w:t>
            </w:r>
            <w:r w:rsidR="00BE351F">
              <w:rPr>
                <w:rFonts w:cs="Times New Roman"/>
                <w:sz w:val="20"/>
                <w:szCs w:val="20"/>
              </w:rPr>
              <w:t>9</w:t>
            </w:r>
            <w:r w:rsidRPr="00A0643C">
              <w:rPr>
                <w:rFonts w:cs="Times New Roman"/>
                <w:sz w:val="20"/>
                <w:szCs w:val="20"/>
              </w:rPr>
              <w:t xml:space="preserve"> (0.9</w:t>
            </w:r>
            <w:r w:rsidR="00BE351F">
              <w:rPr>
                <w:rFonts w:cs="Times New Roman"/>
                <w:sz w:val="20"/>
                <w:szCs w:val="20"/>
              </w:rPr>
              <w:t>5</w:t>
            </w:r>
            <w:r w:rsidRPr="00A0643C">
              <w:rPr>
                <w:rFonts w:cs="Times New Roman"/>
                <w:sz w:val="20"/>
                <w:szCs w:val="20"/>
              </w:rPr>
              <w:t xml:space="preserve">, </w:t>
            </w:r>
            <w:r w:rsidR="00BE351F">
              <w:rPr>
                <w:rFonts w:cs="Times New Roman"/>
                <w:sz w:val="20"/>
                <w:szCs w:val="20"/>
              </w:rPr>
              <w:t>1.</w:t>
            </w:r>
            <w:r w:rsidRPr="00A0643C">
              <w:rPr>
                <w:rFonts w:cs="Times New Roman"/>
                <w:sz w:val="20"/>
                <w:szCs w:val="20"/>
              </w:rPr>
              <w:t>0</w:t>
            </w:r>
            <w:r w:rsidR="00BE351F">
              <w:rPr>
                <w:rFonts w:cs="Times New Roman"/>
                <w:sz w:val="20"/>
                <w:szCs w:val="20"/>
              </w:rPr>
              <w:t>3</w:t>
            </w:r>
            <w:r w:rsidRPr="00A0643C">
              <w:rPr>
                <w:rFonts w:cs="Times New Roman"/>
                <w:sz w:val="20"/>
                <w:szCs w:val="20"/>
              </w:rPr>
              <w:t>)</w:t>
            </w:r>
          </w:p>
        </w:tc>
        <w:tc>
          <w:tcPr>
            <w:tcW w:w="2025" w:type="dxa"/>
            <w:tcBorders>
              <w:top w:val="nil"/>
              <w:left w:val="nil"/>
              <w:bottom w:val="nil"/>
              <w:right w:val="nil"/>
            </w:tcBorders>
          </w:tcPr>
          <w:p w14:paraId="51BAF21A" w14:textId="702E5F80" w:rsidR="005B6A35" w:rsidRPr="00A0643C" w:rsidRDefault="00BE351F" w:rsidP="005B6A35">
            <w:pPr>
              <w:spacing w:line="240" w:lineRule="auto"/>
              <w:jc w:val="center"/>
              <w:rPr>
                <w:rFonts w:cs="Times New Roman"/>
                <w:sz w:val="20"/>
                <w:szCs w:val="20"/>
              </w:rPr>
            </w:pPr>
            <w:r>
              <w:rPr>
                <w:rFonts w:cs="Times New Roman"/>
                <w:sz w:val="20"/>
                <w:szCs w:val="20"/>
              </w:rPr>
              <w:t>1.03</w:t>
            </w:r>
            <w:r w:rsidR="005B6A35" w:rsidRPr="00A0643C">
              <w:rPr>
                <w:rFonts w:cs="Times New Roman"/>
                <w:sz w:val="20"/>
                <w:szCs w:val="20"/>
              </w:rPr>
              <w:t xml:space="preserve"> (0.9</w:t>
            </w:r>
            <w:r>
              <w:rPr>
                <w:rFonts w:cs="Times New Roman"/>
                <w:sz w:val="20"/>
                <w:szCs w:val="20"/>
              </w:rPr>
              <w:t>9</w:t>
            </w:r>
            <w:r w:rsidR="005B6A35" w:rsidRPr="00A0643C">
              <w:rPr>
                <w:rFonts w:cs="Times New Roman"/>
                <w:sz w:val="20"/>
                <w:szCs w:val="20"/>
              </w:rPr>
              <w:t>, 1.0</w:t>
            </w:r>
            <w:r>
              <w:rPr>
                <w:rFonts w:cs="Times New Roman"/>
                <w:sz w:val="20"/>
                <w:szCs w:val="20"/>
              </w:rPr>
              <w:t>7</w:t>
            </w:r>
            <w:r w:rsidR="005B6A35" w:rsidRPr="00A0643C">
              <w:rPr>
                <w:rFonts w:cs="Times New Roman"/>
                <w:sz w:val="20"/>
                <w:szCs w:val="20"/>
              </w:rPr>
              <w:t>)</w:t>
            </w:r>
          </w:p>
        </w:tc>
        <w:tc>
          <w:tcPr>
            <w:tcW w:w="2025" w:type="dxa"/>
            <w:tcBorders>
              <w:top w:val="nil"/>
              <w:left w:val="nil"/>
              <w:bottom w:val="nil"/>
              <w:right w:val="nil"/>
            </w:tcBorders>
          </w:tcPr>
          <w:p w14:paraId="0BE6B966" w14:textId="4455690B" w:rsidR="005B6A35" w:rsidRPr="00A0643C" w:rsidRDefault="006F2BB1" w:rsidP="005B6A35">
            <w:pPr>
              <w:spacing w:line="240" w:lineRule="auto"/>
              <w:jc w:val="center"/>
              <w:rPr>
                <w:rFonts w:cs="Times New Roman"/>
                <w:sz w:val="20"/>
                <w:szCs w:val="20"/>
              </w:rPr>
            </w:pPr>
            <w:r>
              <w:rPr>
                <w:rFonts w:cs="Times New Roman"/>
                <w:sz w:val="20"/>
                <w:szCs w:val="20"/>
              </w:rPr>
              <w:t>1.</w:t>
            </w:r>
            <w:r w:rsidR="005B6A35" w:rsidRPr="00A0643C">
              <w:rPr>
                <w:rFonts w:cs="Times New Roman"/>
                <w:sz w:val="20"/>
                <w:szCs w:val="20"/>
              </w:rPr>
              <w:t>0</w:t>
            </w:r>
            <w:r>
              <w:rPr>
                <w:rFonts w:cs="Times New Roman"/>
                <w:sz w:val="20"/>
                <w:szCs w:val="20"/>
              </w:rPr>
              <w:t>3</w:t>
            </w:r>
            <w:r w:rsidR="005B6A35" w:rsidRPr="00A0643C">
              <w:rPr>
                <w:rFonts w:cs="Times New Roman"/>
                <w:sz w:val="20"/>
                <w:szCs w:val="20"/>
              </w:rPr>
              <w:t xml:space="preserve"> (0.9</w:t>
            </w:r>
            <w:r>
              <w:rPr>
                <w:rFonts w:cs="Times New Roman"/>
                <w:sz w:val="20"/>
                <w:szCs w:val="20"/>
              </w:rPr>
              <w:t>9</w:t>
            </w:r>
            <w:r w:rsidR="005B6A35" w:rsidRPr="00A0643C">
              <w:rPr>
                <w:rFonts w:cs="Times New Roman"/>
                <w:sz w:val="20"/>
                <w:szCs w:val="20"/>
              </w:rPr>
              <w:t>, 1.0</w:t>
            </w:r>
            <w:r>
              <w:rPr>
                <w:rFonts w:cs="Times New Roman"/>
                <w:sz w:val="20"/>
                <w:szCs w:val="20"/>
              </w:rPr>
              <w:t>7</w:t>
            </w:r>
            <w:r w:rsidR="005B6A35" w:rsidRPr="00A0643C">
              <w:rPr>
                <w:rFonts w:cs="Times New Roman"/>
                <w:sz w:val="20"/>
                <w:szCs w:val="20"/>
              </w:rPr>
              <w:t>)</w:t>
            </w:r>
          </w:p>
        </w:tc>
        <w:tc>
          <w:tcPr>
            <w:tcW w:w="2025" w:type="dxa"/>
            <w:tcBorders>
              <w:top w:val="nil"/>
              <w:left w:val="nil"/>
              <w:bottom w:val="nil"/>
              <w:right w:val="nil"/>
            </w:tcBorders>
            <w:shd w:val="clear" w:color="auto" w:fill="auto"/>
          </w:tcPr>
          <w:p w14:paraId="2D632B63" w14:textId="46A80036" w:rsidR="005B6A35" w:rsidRPr="00A0643C" w:rsidRDefault="00B32DBF" w:rsidP="005B6A35">
            <w:pPr>
              <w:spacing w:line="240" w:lineRule="auto"/>
              <w:jc w:val="center"/>
              <w:rPr>
                <w:rFonts w:cs="Times New Roman"/>
                <w:sz w:val="20"/>
                <w:szCs w:val="20"/>
              </w:rPr>
            </w:pPr>
            <w:r>
              <w:rPr>
                <w:rFonts w:cs="Times New Roman"/>
                <w:sz w:val="20"/>
                <w:szCs w:val="20"/>
              </w:rPr>
              <w:t>1.</w:t>
            </w:r>
            <w:r w:rsidR="005B6A35" w:rsidRPr="00A0643C">
              <w:rPr>
                <w:rFonts w:cs="Times New Roman"/>
                <w:sz w:val="20"/>
                <w:szCs w:val="20"/>
              </w:rPr>
              <w:t>0</w:t>
            </w:r>
            <w:r>
              <w:rPr>
                <w:rFonts w:cs="Times New Roman"/>
                <w:sz w:val="20"/>
                <w:szCs w:val="20"/>
              </w:rPr>
              <w:t>3</w:t>
            </w:r>
            <w:r w:rsidR="005B6A35" w:rsidRPr="00A0643C">
              <w:rPr>
                <w:rFonts w:cs="Times New Roman"/>
                <w:sz w:val="20"/>
                <w:szCs w:val="20"/>
              </w:rPr>
              <w:t xml:space="preserve"> (0.9</w:t>
            </w:r>
            <w:r>
              <w:rPr>
                <w:rFonts w:cs="Times New Roman"/>
                <w:sz w:val="20"/>
                <w:szCs w:val="20"/>
              </w:rPr>
              <w:t>9</w:t>
            </w:r>
            <w:r w:rsidR="005B6A35" w:rsidRPr="00A0643C">
              <w:rPr>
                <w:rFonts w:cs="Times New Roman"/>
                <w:sz w:val="20"/>
                <w:szCs w:val="20"/>
              </w:rPr>
              <w:t>, 1.0</w:t>
            </w:r>
            <w:r>
              <w:rPr>
                <w:rFonts w:cs="Times New Roman"/>
                <w:sz w:val="20"/>
                <w:szCs w:val="20"/>
              </w:rPr>
              <w:t>7</w:t>
            </w:r>
            <w:r w:rsidR="005B6A35" w:rsidRPr="00A0643C">
              <w:rPr>
                <w:rFonts w:cs="Times New Roman"/>
                <w:sz w:val="20"/>
                <w:szCs w:val="20"/>
              </w:rPr>
              <w:t>)</w:t>
            </w:r>
          </w:p>
        </w:tc>
      </w:tr>
      <w:tr w:rsidR="005B6A35" w:rsidRPr="00A0643C" w14:paraId="36EF7246" w14:textId="77777777" w:rsidTr="001B7103">
        <w:tc>
          <w:tcPr>
            <w:tcW w:w="4860" w:type="dxa"/>
            <w:tcBorders>
              <w:top w:val="nil"/>
              <w:left w:val="nil"/>
              <w:bottom w:val="nil"/>
              <w:right w:val="nil"/>
            </w:tcBorders>
          </w:tcPr>
          <w:p w14:paraId="7E31ED9E" w14:textId="494E13C5" w:rsidR="005B6A35" w:rsidRPr="00A0643C" w:rsidRDefault="005B6A35" w:rsidP="005B6A35">
            <w:pPr>
              <w:spacing w:line="240" w:lineRule="auto"/>
              <w:rPr>
                <w:rFonts w:cs="Times New Roman"/>
                <w:sz w:val="20"/>
                <w:szCs w:val="20"/>
              </w:rPr>
            </w:pPr>
            <w:r w:rsidRPr="00A0643C">
              <w:rPr>
                <w:rFonts w:cs="Times New Roman"/>
                <w:sz w:val="20"/>
                <w:szCs w:val="20"/>
              </w:rPr>
              <w:t xml:space="preserve">  Prior colonoscopy: ≤2 vs. &gt;10 years </w:t>
            </w:r>
            <w:r w:rsidR="003D2972">
              <w:rPr>
                <w:rFonts w:cs="Times New Roman"/>
                <w:sz w:val="20"/>
                <w:szCs w:val="20"/>
              </w:rPr>
              <w:t>or none</w:t>
            </w:r>
          </w:p>
        </w:tc>
        <w:tc>
          <w:tcPr>
            <w:tcW w:w="2025" w:type="dxa"/>
            <w:tcBorders>
              <w:top w:val="nil"/>
              <w:left w:val="nil"/>
              <w:bottom w:val="nil"/>
              <w:right w:val="nil"/>
            </w:tcBorders>
          </w:tcPr>
          <w:p w14:paraId="5C75C2A1" w14:textId="02F99440"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BE351F">
              <w:rPr>
                <w:rFonts w:cs="Times New Roman"/>
                <w:sz w:val="20"/>
                <w:szCs w:val="20"/>
              </w:rPr>
              <w:t>3</w:t>
            </w:r>
            <w:r w:rsidRPr="00A0643C">
              <w:rPr>
                <w:rFonts w:cs="Times New Roman"/>
                <w:sz w:val="20"/>
                <w:szCs w:val="20"/>
              </w:rPr>
              <w:t>7 (0.3</w:t>
            </w:r>
            <w:r w:rsidR="00BE351F">
              <w:rPr>
                <w:rFonts w:cs="Times New Roman"/>
                <w:sz w:val="20"/>
                <w:szCs w:val="20"/>
              </w:rPr>
              <w:t>6</w:t>
            </w:r>
            <w:r w:rsidRPr="00A0643C">
              <w:rPr>
                <w:rFonts w:cs="Times New Roman"/>
                <w:sz w:val="20"/>
                <w:szCs w:val="20"/>
              </w:rPr>
              <w:t>, 0.</w:t>
            </w:r>
            <w:r w:rsidR="00BE351F">
              <w:rPr>
                <w:rFonts w:cs="Times New Roman"/>
                <w:sz w:val="20"/>
                <w:szCs w:val="20"/>
              </w:rPr>
              <w:t>3</w:t>
            </w:r>
            <w:r w:rsidRPr="00A0643C">
              <w:rPr>
                <w:rFonts w:cs="Times New Roman"/>
                <w:sz w:val="20"/>
                <w:szCs w:val="20"/>
              </w:rPr>
              <w:t>8)</w:t>
            </w:r>
          </w:p>
        </w:tc>
        <w:tc>
          <w:tcPr>
            <w:tcW w:w="2025" w:type="dxa"/>
            <w:tcBorders>
              <w:top w:val="nil"/>
              <w:left w:val="nil"/>
              <w:bottom w:val="nil"/>
              <w:right w:val="nil"/>
            </w:tcBorders>
          </w:tcPr>
          <w:p w14:paraId="2CB87A9F" w14:textId="3C1D5071"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BE351F">
              <w:rPr>
                <w:rFonts w:cs="Times New Roman"/>
                <w:sz w:val="20"/>
                <w:szCs w:val="20"/>
              </w:rPr>
              <w:t>39</w:t>
            </w:r>
            <w:r w:rsidRPr="00A0643C">
              <w:rPr>
                <w:rFonts w:cs="Times New Roman"/>
                <w:sz w:val="20"/>
                <w:szCs w:val="20"/>
              </w:rPr>
              <w:t xml:space="preserve"> (0.</w:t>
            </w:r>
            <w:r w:rsidR="00BE351F">
              <w:rPr>
                <w:rFonts w:cs="Times New Roman"/>
                <w:sz w:val="20"/>
                <w:szCs w:val="20"/>
              </w:rPr>
              <w:t>38</w:t>
            </w:r>
            <w:r w:rsidRPr="00A0643C">
              <w:rPr>
                <w:rFonts w:cs="Times New Roman"/>
                <w:sz w:val="20"/>
                <w:szCs w:val="20"/>
              </w:rPr>
              <w:t>, 0.</w:t>
            </w:r>
            <w:r w:rsidR="006C03F3">
              <w:rPr>
                <w:rFonts w:cs="Times New Roman"/>
                <w:sz w:val="20"/>
                <w:szCs w:val="20"/>
              </w:rPr>
              <w:t>40</w:t>
            </w:r>
            <w:r w:rsidRPr="00A0643C">
              <w:rPr>
                <w:rFonts w:cs="Times New Roman"/>
                <w:sz w:val="20"/>
                <w:szCs w:val="20"/>
              </w:rPr>
              <w:t>)</w:t>
            </w:r>
          </w:p>
        </w:tc>
        <w:tc>
          <w:tcPr>
            <w:tcW w:w="2025" w:type="dxa"/>
            <w:tcBorders>
              <w:top w:val="nil"/>
              <w:left w:val="nil"/>
              <w:bottom w:val="nil"/>
              <w:right w:val="nil"/>
            </w:tcBorders>
          </w:tcPr>
          <w:p w14:paraId="3C450153" w14:textId="7D2586B8"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6F2BB1">
              <w:rPr>
                <w:rFonts w:cs="Times New Roman"/>
                <w:sz w:val="20"/>
                <w:szCs w:val="20"/>
              </w:rPr>
              <w:t>39</w:t>
            </w:r>
            <w:r w:rsidRPr="00A0643C">
              <w:rPr>
                <w:rFonts w:cs="Times New Roman"/>
                <w:sz w:val="20"/>
                <w:szCs w:val="20"/>
              </w:rPr>
              <w:t xml:space="preserve"> (0.</w:t>
            </w:r>
            <w:r w:rsidR="006F2BB1">
              <w:rPr>
                <w:rFonts w:cs="Times New Roman"/>
                <w:sz w:val="20"/>
                <w:szCs w:val="20"/>
              </w:rPr>
              <w:t>38</w:t>
            </w:r>
            <w:r w:rsidRPr="00A0643C">
              <w:rPr>
                <w:rFonts w:cs="Times New Roman"/>
                <w:sz w:val="20"/>
                <w:szCs w:val="20"/>
              </w:rPr>
              <w:t>, 0.</w:t>
            </w:r>
            <w:r w:rsidR="006F2BB1">
              <w:rPr>
                <w:rFonts w:cs="Times New Roman"/>
                <w:sz w:val="20"/>
                <w:szCs w:val="20"/>
              </w:rPr>
              <w:t>40</w:t>
            </w:r>
            <w:r w:rsidRPr="00A0643C">
              <w:rPr>
                <w:rFonts w:cs="Times New Roman"/>
                <w:sz w:val="20"/>
                <w:szCs w:val="20"/>
              </w:rPr>
              <w:t>)</w:t>
            </w:r>
          </w:p>
        </w:tc>
        <w:tc>
          <w:tcPr>
            <w:tcW w:w="2025" w:type="dxa"/>
            <w:tcBorders>
              <w:top w:val="nil"/>
              <w:left w:val="nil"/>
              <w:bottom w:val="nil"/>
              <w:right w:val="nil"/>
            </w:tcBorders>
            <w:shd w:val="clear" w:color="auto" w:fill="auto"/>
          </w:tcPr>
          <w:p w14:paraId="3E50A5A5" w14:textId="45AB3C35" w:rsidR="005B6A35" w:rsidRPr="00A0643C" w:rsidRDefault="005B6A35" w:rsidP="005B6A35">
            <w:pPr>
              <w:spacing w:line="240" w:lineRule="auto"/>
              <w:jc w:val="center"/>
              <w:rPr>
                <w:rFonts w:cs="Times New Roman"/>
                <w:sz w:val="20"/>
                <w:szCs w:val="20"/>
              </w:rPr>
            </w:pPr>
            <w:r w:rsidRPr="00A0643C">
              <w:rPr>
                <w:rFonts w:cs="Times New Roman"/>
                <w:sz w:val="20"/>
                <w:szCs w:val="20"/>
              </w:rPr>
              <w:t>0.</w:t>
            </w:r>
            <w:r w:rsidR="00B32DBF">
              <w:rPr>
                <w:rFonts w:cs="Times New Roman"/>
                <w:sz w:val="20"/>
                <w:szCs w:val="20"/>
              </w:rPr>
              <w:t>3</w:t>
            </w:r>
            <w:r w:rsidRPr="00A0643C">
              <w:rPr>
                <w:rFonts w:cs="Times New Roman"/>
                <w:sz w:val="20"/>
                <w:szCs w:val="20"/>
              </w:rPr>
              <w:t>9 (0.</w:t>
            </w:r>
            <w:r w:rsidR="00B32DBF">
              <w:rPr>
                <w:rFonts w:cs="Times New Roman"/>
                <w:sz w:val="20"/>
                <w:szCs w:val="20"/>
              </w:rPr>
              <w:t>38</w:t>
            </w:r>
            <w:r w:rsidRPr="00A0643C">
              <w:rPr>
                <w:rFonts w:cs="Times New Roman"/>
                <w:sz w:val="20"/>
                <w:szCs w:val="20"/>
              </w:rPr>
              <w:t>, 0.</w:t>
            </w:r>
            <w:r w:rsidR="00B32DBF">
              <w:rPr>
                <w:rFonts w:cs="Times New Roman"/>
                <w:sz w:val="20"/>
                <w:szCs w:val="20"/>
              </w:rPr>
              <w:t>40</w:t>
            </w:r>
            <w:r w:rsidRPr="00A0643C">
              <w:rPr>
                <w:rFonts w:cs="Times New Roman"/>
                <w:sz w:val="20"/>
                <w:szCs w:val="20"/>
              </w:rPr>
              <w:t>)</w:t>
            </w:r>
          </w:p>
        </w:tc>
      </w:tr>
      <w:tr w:rsidR="005B6A35" w:rsidRPr="00A0643C" w14:paraId="3FFC19A0" w14:textId="77777777" w:rsidTr="001B7103">
        <w:tc>
          <w:tcPr>
            <w:tcW w:w="4860" w:type="dxa"/>
            <w:tcBorders>
              <w:top w:val="nil"/>
              <w:left w:val="nil"/>
              <w:bottom w:val="nil"/>
              <w:right w:val="nil"/>
            </w:tcBorders>
          </w:tcPr>
          <w:p w14:paraId="1AFFBE46" w14:textId="214B2856" w:rsidR="005B6A35" w:rsidRPr="00A0643C" w:rsidRDefault="005B6A35" w:rsidP="005B6A35">
            <w:pPr>
              <w:spacing w:line="240" w:lineRule="auto"/>
              <w:rPr>
                <w:rFonts w:cs="Times New Roman"/>
                <w:sz w:val="20"/>
                <w:szCs w:val="20"/>
              </w:rPr>
            </w:pPr>
            <w:r w:rsidRPr="00A0643C">
              <w:rPr>
                <w:rFonts w:cs="Times New Roman"/>
                <w:sz w:val="20"/>
                <w:szCs w:val="20"/>
              </w:rPr>
              <w:t xml:space="preserve">  Prior colonoscopy: 3-5 vs. </w:t>
            </w:r>
            <w:r>
              <w:rPr>
                <w:rFonts w:cs="Times New Roman"/>
                <w:sz w:val="20"/>
                <w:szCs w:val="20"/>
              </w:rPr>
              <w:t>&gt;</w:t>
            </w:r>
            <w:r w:rsidRPr="00A0643C">
              <w:rPr>
                <w:rFonts w:cs="Times New Roman"/>
                <w:sz w:val="20"/>
                <w:szCs w:val="20"/>
              </w:rPr>
              <w: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60334AE9" w14:textId="55D3EB58" w:rsidR="005B6A35" w:rsidRPr="00A0643C" w:rsidRDefault="005B6A35" w:rsidP="005B6A35">
            <w:pPr>
              <w:spacing w:line="240" w:lineRule="auto"/>
              <w:jc w:val="center"/>
              <w:rPr>
                <w:rFonts w:cs="Times New Roman"/>
                <w:sz w:val="20"/>
                <w:szCs w:val="20"/>
              </w:rPr>
            </w:pPr>
            <w:r w:rsidRPr="00A0643C">
              <w:rPr>
                <w:rFonts w:cs="Times New Roman"/>
                <w:sz w:val="20"/>
                <w:szCs w:val="20"/>
              </w:rPr>
              <w:t>0.8</w:t>
            </w:r>
            <w:r w:rsidR="00BE351F">
              <w:rPr>
                <w:rFonts w:cs="Times New Roman"/>
                <w:sz w:val="20"/>
                <w:szCs w:val="20"/>
              </w:rPr>
              <w:t>2</w:t>
            </w:r>
            <w:r w:rsidRPr="00A0643C">
              <w:rPr>
                <w:rFonts w:cs="Times New Roman"/>
                <w:sz w:val="20"/>
                <w:szCs w:val="20"/>
              </w:rPr>
              <w:t xml:space="preserve"> (0.8</w:t>
            </w:r>
            <w:r w:rsidR="00BE351F">
              <w:rPr>
                <w:rFonts w:cs="Times New Roman"/>
                <w:sz w:val="20"/>
                <w:szCs w:val="20"/>
              </w:rPr>
              <w:t>1</w:t>
            </w:r>
            <w:r w:rsidRPr="00A0643C">
              <w:rPr>
                <w:rFonts w:cs="Times New Roman"/>
                <w:sz w:val="20"/>
                <w:szCs w:val="20"/>
              </w:rPr>
              <w:t>, 0.8</w:t>
            </w:r>
            <w:r w:rsidR="00BE351F">
              <w:rPr>
                <w:rFonts w:cs="Times New Roman"/>
                <w:sz w:val="20"/>
                <w:szCs w:val="20"/>
              </w:rPr>
              <w:t>4</w:t>
            </w:r>
            <w:r w:rsidRPr="00A0643C">
              <w:rPr>
                <w:rFonts w:cs="Times New Roman"/>
                <w:sz w:val="20"/>
                <w:szCs w:val="20"/>
              </w:rPr>
              <w:t>)</w:t>
            </w:r>
          </w:p>
        </w:tc>
        <w:tc>
          <w:tcPr>
            <w:tcW w:w="2025" w:type="dxa"/>
            <w:tcBorders>
              <w:top w:val="nil"/>
              <w:left w:val="nil"/>
              <w:bottom w:val="nil"/>
              <w:right w:val="nil"/>
            </w:tcBorders>
          </w:tcPr>
          <w:p w14:paraId="2ACDB16D" w14:textId="495C0E62" w:rsidR="005B6A35" w:rsidRPr="00A0643C" w:rsidRDefault="005B6A35" w:rsidP="005B6A35">
            <w:pPr>
              <w:spacing w:line="240" w:lineRule="auto"/>
              <w:jc w:val="center"/>
              <w:rPr>
                <w:rFonts w:cs="Times New Roman"/>
                <w:sz w:val="20"/>
                <w:szCs w:val="20"/>
              </w:rPr>
            </w:pPr>
            <w:r w:rsidRPr="00A0643C">
              <w:rPr>
                <w:rFonts w:cs="Times New Roman"/>
                <w:sz w:val="20"/>
                <w:szCs w:val="20"/>
              </w:rPr>
              <w:t>0.8</w:t>
            </w:r>
            <w:r w:rsidR="006C03F3">
              <w:rPr>
                <w:rFonts w:cs="Times New Roman"/>
                <w:sz w:val="20"/>
                <w:szCs w:val="20"/>
              </w:rPr>
              <w:t>4</w:t>
            </w:r>
            <w:r w:rsidRPr="00A0643C">
              <w:rPr>
                <w:rFonts w:cs="Times New Roman"/>
                <w:sz w:val="20"/>
                <w:szCs w:val="20"/>
              </w:rPr>
              <w:t xml:space="preserve"> (0.8</w:t>
            </w:r>
            <w:r w:rsidR="006C03F3">
              <w:rPr>
                <w:rFonts w:cs="Times New Roman"/>
                <w:sz w:val="20"/>
                <w:szCs w:val="20"/>
              </w:rPr>
              <w:t>3</w:t>
            </w:r>
            <w:r w:rsidRPr="00A0643C">
              <w:rPr>
                <w:rFonts w:cs="Times New Roman"/>
                <w:sz w:val="20"/>
                <w:szCs w:val="20"/>
              </w:rPr>
              <w:t>, 0.</w:t>
            </w:r>
            <w:r w:rsidR="006C03F3">
              <w:rPr>
                <w:rFonts w:cs="Times New Roman"/>
                <w:sz w:val="20"/>
                <w:szCs w:val="20"/>
              </w:rPr>
              <w:t>86</w:t>
            </w:r>
            <w:r w:rsidRPr="00A0643C">
              <w:rPr>
                <w:rFonts w:cs="Times New Roman"/>
                <w:sz w:val="20"/>
                <w:szCs w:val="20"/>
              </w:rPr>
              <w:t>)</w:t>
            </w:r>
          </w:p>
        </w:tc>
        <w:tc>
          <w:tcPr>
            <w:tcW w:w="2025" w:type="dxa"/>
            <w:tcBorders>
              <w:top w:val="nil"/>
              <w:left w:val="nil"/>
              <w:bottom w:val="nil"/>
              <w:right w:val="nil"/>
            </w:tcBorders>
          </w:tcPr>
          <w:p w14:paraId="301C61D7" w14:textId="7AA520B1" w:rsidR="005B6A35" w:rsidRPr="00A0643C" w:rsidRDefault="005B6A35" w:rsidP="005B6A35">
            <w:pPr>
              <w:spacing w:line="240" w:lineRule="auto"/>
              <w:jc w:val="center"/>
              <w:rPr>
                <w:rFonts w:cs="Times New Roman"/>
                <w:sz w:val="20"/>
                <w:szCs w:val="20"/>
              </w:rPr>
            </w:pPr>
            <w:r w:rsidRPr="00A0643C">
              <w:rPr>
                <w:rFonts w:cs="Times New Roman"/>
                <w:sz w:val="20"/>
                <w:szCs w:val="20"/>
              </w:rPr>
              <w:t>0.8</w:t>
            </w:r>
            <w:r w:rsidR="006F2BB1">
              <w:rPr>
                <w:rFonts w:cs="Times New Roman"/>
                <w:sz w:val="20"/>
                <w:szCs w:val="20"/>
              </w:rPr>
              <w:t>4</w:t>
            </w:r>
            <w:r w:rsidRPr="00A0643C">
              <w:rPr>
                <w:rFonts w:cs="Times New Roman"/>
                <w:sz w:val="20"/>
                <w:szCs w:val="20"/>
              </w:rPr>
              <w:t xml:space="preserve"> (0.8</w:t>
            </w:r>
            <w:r w:rsidR="006F2BB1">
              <w:rPr>
                <w:rFonts w:cs="Times New Roman"/>
                <w:sz w:val="20"/>
                <w:szCs w:val="20"/>
              </w:rPr>
              <w:t>3</w:t>
            </w:r>
            <w:r w:rsidRPr="00A0643C">
              <w:rPr>
                <w:rFonts w:cs="Times New Roman"/>
                <w:sz w:val="20"/>
                <w:szCs w:val="20"/>
              </w:rPr>
              <w:t>, 0.</w:t>
            </w:r>
            <w:r w:rsidR="006F2BB1">
              <w:rPr>
                <w:rFonts w:cs="Times New Roman"/>
                <w:sz w:val="20"/>
                <w:szCs w:val="20"/>
              </w:rPr>
              <w:t>86</w:t>
            </w:r>
            <w:r w:rsidRPr="00A0643C">
              <w:rPr>
                <w:rFonts w:cs="Times New Roman"/>
                <w:sz w:val="20"/>
                <w:szCs w:val="20"/>
              </w:rPr>
              <w:t>)</w:t>
            </w:r>
          </w:p>
        </w:tc>
        <w:tc>
          <w:tcPr>
            <w:tcW w:w="2025" w:type="dxa"/>
            <w:tcBorders>
              <w:top w:val="nil"/>
              <w:left w:val="nil"/>
              <w:bottom w:val="nil"/>
              <w:right w:val="nil"/>
            </w:tcBorders>
            <w:shd w:val="clear" w:color="auto" w:fill="auto"/>
          </w:tcPr>
          <w:p w14:paraId="4BE23445" w14:textId="4862E6A3" w:rsidR="005B6A35" w:rsidRPr="00A0643C" w:rsidRDefault="005B6A35" w:rsidP="005B6A35">
            <w:pPr>
              <w:spacing w:line="240" w:lineRule="auto"/>
              <w:jc w:val="center"/>
              <w:rPr>
                <w:rFonts w:cs="Times New Roman"/>
                <w:sz w:val="20"/>
                <w:szCs w:val="20"/>
              </w:rPr>
            </w:pPr>
            <w:r w:rsidRPr="00A0643C">
              <w:rPr>
                <w:rFonts w:cs="Times New Roman"/>
                <w:sz w:val="20"/>
                <w:szCs w:val="20"/>
              </w:rPr>
              <w:t>0.8</w:t>
            </w:r>
            <w:r w:rsidR="00B32DBF">
              <w:rPr>
                <w:rFonts w:cs="Times New Roman"/>
                <w:sz w:val="20"/>
                <w:szCs w:val="20"/>
              </w:rPr>
              <w:t>4</w:t>
            </w:r>
            <w:r w:rsidRPr="00A0643C">
              <w:rPr>
                <w:rFonts w:cs="Times New Roman"/>
                <w:sz w:val="20"/>
                <w:szCs w:val="20"/>
              </w:rPr>
              <w:t xml:space="preserve"> (0.8</w:t>
            </w:r>
            <w:r w:rsidR="00B32DBF">
              <w:rPr>
                <w:rFonts w:cs="Times New Roman"/>
                <w:sz w:val="20"/>
                <w:szCs w:val="20"/>
              </w:rPr>
              <w:t>3</w:t>
            </w:r>
            <w:r w:rsidRPr="00A0643C">
              <w:rPr>
                <w:rFonts w:cs="Times New Roman"/>
                <w:sz w:val="20"/>
                <w:szCs w:val="20"/>
              </w:rPr>
              <w:t>, 0.</w:t>
            </w:r>
            <w:r w:rsidR="00B32DBF">
              <w:rPr>
                <w:rFonts w:cs="Times New Roman"/>
                <w:sz w:val="20"/>
                <w:szCs w:val="20"/>
              </w:rPr>
              <w:t>86</w:t>
            </w:r>
            <w:r w:rsidRPr="00A0643C">
              <w:rPr>
                <w:rFonts w:cs="Times New Roman"/>
                <w:sz w:val="20"/>
                <w:szCs w:val="20"/>
              </w:rPr>
              <w:t>)</w:t>
            </w:r>
          </w:p>
        </w:tc>
      </w:tr>
      <w:tr w:rsidR="005B6A35" w:rsidRPr="00A0643C" w14:paraId="315A2665" w14:textId="77777777" w:rsidTr="001B7103">
        <w:tc>
          <w:tcPr>
            <w:tcW w:w="4860" w:type="dxa"/>
            <w:tcBorders>
              <w:top w:val="nil"/>
              <w:left w:val="nil"/>
              <w:bottom w:val="nil"/>
              <w:right w:val="nil"/>
            </w:tcBorders>
          </w:tcPr>
          <w:p w14:paraId="456FF1CE" w14:textId="3C1F1E07" w:rsidR="005B6A35" w:rsidRPr="00A0643C" w:rsidRDefault="005B6A35" w:rsidP="005B6A35">
            <w:pPr>
              <w:spacing w:line="240" w:lineRule="auto"/>
              <w:rPr>
                <w:rFonts w:cs="Times New Roman"/>
                <w:sz w:val="20"/>
                <w:szCs w:val="20"/>
              </w:rPr>
            </w:pPr>
            <w:r w:rsidRPr="00A0643C">
              <w:rPr>
                <w:rFonts w:cs="Times New Roman"/>
                <w:sz w:val="20"/>
                <w:szCs w:val="20"/>
              </w:rPr>
              <w:t xml:space="preserve">  Prior colonoscopy: 6-10 vs. </w:t>
            </w:r>
            <w:r>
              <w:rPr>
                <w:rFonts w:cs="Times New Roman"/>
                <w:sz w:val="20"/>
                <w:szCs w:val="20"/>
              </w:rPr>
              <w:t>&gt;</w:t>
            </w:r>
            <w:r w:rsidRPr="00A0643C">
              <w:rPr>
                <w:rFonts w:cs="Times New Roman"/>
                <w:sz w:val="20"/>
                <w:szCs w:val="20"/>
              </w:rPr>
              <w:t>10 years</w:t>
            </w:r>
            <w:r w:rsidR="003D2972">
              <w:rPr>
                <w:rFonts w:cs="Times New Roman"/>
                <w:sz w:val="20"/>
                <w:szCs w:val="20"/>
              </w:rPr>
              <w:t xml:space="preserve"> </w:t>
            </w:r>
            <w:r w:rsidR="003D2972">
              <w:rPr>
                <w:rFonts w:cs="Times New Roman"/>
                <w:sz w:val="20"/>
                <w:szCs w:val="20"/>
              </w:rPr>
              <w:t>or none</w:t>
            </w:r>
          </w:p>
        </w:tc>
        <w:tc>
          <w:tcPr>
            <w:tcW w:w="2025" w:type="dxa"/>
            <w:tcBorders>
              <w:top w:val="nil"/>
              <w:left w:val="nil"/>
              <w:bottom w:val="nil"/>
              <w:right w:val="nil"/>
            </w:tcBorders>
          </w:tcPr>
          <w:p w14:paraId="729C4E24" w14:textId="69EB0A4C" w:rsidR="005B6A35" w:rsidRPr="00A0643C" w:rsidRDefault="00BE351F" w:rsidP="005B6A35">
            <w:pPr>
              <w:spacing w:line="240" w:lineRule="auto"/>
              <w:jc w:val="center"/>
              <w:rPr>
                <w:rFonts w:cs="Times New Roman"/>
                <w:sz w:val="20"/>
                <w:szCs w:val="20"/>
              </w:rPr>
            </w:pPr>
            <w:r>
              <w:rPr>
                <w:rFonts w:cs="Times New Roman"/>
                <w:sz w:val="20"/>
                <w:szCs w:val="20"/>
              </w:rPr>
              <w:t>1.1</w:t>
            </w:r>
            <w:r w:rsidR="005B6A35" w:rsidRPr="00A0643C">
              <w:rPr>
                <w:rFonts w:cs="Times New Roman"/>
                <w:sz w:val="20"/>
                <w:szCs w:val="20"/>
              </w:rPr>
              <w:t>0 (</w:t>
            </w:r>
            <w:r>
              <w:rPr>
                <w:rFonts w:cs="Times New Roman"/>
                <w:sz w:val="20"/>
                <w:szCs w:val="20"/>
              </w:rPr>
              <w:t>1.</w:t>
            </w:r>
            <w:r w:rsidR="005B6A35" w:rsidRPr="00A0643C">
              <w:rPr>
                <w:rFonts w:cs="Times New Roman"/>
                <w:sz w:val="20"/>
                <w:szCs w:val="20"/>
              </w:rPr>
              <w:t>0</w:t>
            </w:r>
            <w:r>
              <w:rPr>
                <w:rFonts w:cs="Times New Roman"/>
                <w:sz w:val="20"/>
                <w:szCs w:val="20"/>
              </w:rPr>
              <w:t>7</w:t>
            </w:r>
            <w:r w:rsidR="005B6A35" w:rsidRPr="00A0643C">
              <w:rPr>
                <w:rFonts w:cs="Times New Roman"/>
                <w:sz w:val="20"/>
                <w:szCs w:val="20"/>
              </w:rPr>
              <w:t>, 1.</w:t>
            </w:r>
            <w:r>
              <w:rPr>
                <w:rFonts w:cs="Times New Roman"/>
                <w:sz w:val="20"/>
                <w:szCs w:val="20"/>
              </w:rPr>
              <w:t>11</w:t>
            </w:r>
            <w:r w:rsidR="005B6A35" w:rsidRPr="00A0643C">
              <w:rPr>
                <w:rFonts w:cs="Times New Roman"/>
                <w:sz w:val="20"/>
                <w:szCs w:val="20"/>
              </w:rPr>
              <w:t>)</w:t>
            </w:r>
          </w:p>
        </w:tc>
        <w:tc>
          <w:tcPr>
            <w:tcW w:w="2025" w:type="dxa"/>
            <w:tcBorders>
              <w:top w:val="nil"/>
              <w:left w:val="nil"/>
              <w:bottom w:val="nil"/>
              <w:right w:val="nil"/>
            </w:tcBorders>
          </w:tcPr>
          <w:p w14:paraId="716EA0E7" w14:textId="56361F38" w:rsidR="005B6A35" w:rsidRPr="00A0643C" w:rsidRDefault="006C03F3" w:rsidP="005B6A35">
            <w:pPr>
              <w:spacing w:line="240" w:lineRule="auto"/>
              <w:jc w:val="center"/>
              <w:rPr>
                <w:rFonts w:cs="Times New Roman"/>
                <w:sz w:val="20"/>
                <w:szCs w:val="20"/>
              </w:rPr>
            </w:pPr>
            <w:r>
              <w:rPr>
                <w:rFonts w:cs="Times New Roman"/>
                <w:sz w:val="20"/>
                <w:szCs w:val="20"/>
              </w:rPr>
              <w:t>1.</w:t>
            </w:r>
            <w:r w:rsidR="005B6A35" w:rsidRPr="00A0643C">
              <w:rPr>
                <w:rFonts w:cs="Times New Roman"/>
                <w:sz w:val="20"/>
                <w:szCs w:val="20"/>
              </w:rPr>
              <w:t>0</w:t>
            </w:r>
            <w:r>
              <w:rPr>
                <w:rFonts w:cs="Times New Roman"/>
                <w:sz w:val="20"/>
                <w:szCs w:val="20"/>
              </w:rPr>
              <w:t>8</w:t>
            </w:r>
            <w:r w:rsidR="005B6A35" w:rsidRPr="00A0643C">
              <w:rPr>
                <w:rFonts w:cs="Times New Roman"/>
                <w:sz w:val="20"/>
                <w:szCs w:val="20"/>
              </w:rPr>
              <w:t xml:space="preserve"> (</w:t>
            </w:r>
            <w:r>
              <w:rPr>
                <w:rFonts w:cs="Times New Roman"/>
                <w:sz w:val="20"/>
                <w:szCs w:val="20"/>
              </w:rPr>
              <w:t>1.</w:t>
            </w:r>
            <w:r w:rsidR="005B6A35" w:rsidRPr="00A0643C">
              <w:rPr>
                <w:rFonts w:cs="Times New Roman"/>
                <w:sz w:val="20"/>
                <w:szCs w:val="20"/>
              </w:rPr>
              <w:t>0</w:t>
            </w:r>
            <w:r>
              <w:rPr>
                <w:rFonts w:cs="Times New Roman"/>
                <w:sz w:val="20"/>
                <w:szCs w:val="20"/>
              </w:rPr>
              <w:t>6</w:t>
            </w:r>
            <w:r w:rsidR="005B6A35" w:rsidRPr="00A0643C">
              <w:rPr>
                <w:rFonts w:cs="Times New Roman"/>
                <w:sz w:val="20"/>
                <w:szCs w:val="20"/>
              </w:rPr>
              <w:t xml:space="preserve">, </w:t>
            </w:r>
            <w:r>
              <w:rPr>
                <w:rFonts w:cs="Times New Roman"/>
                <w:sz w:val="20"/>
                <w:szCs w:val="20"/>
              </w:rPr>
              <w:t>1.1</w:t>
            </w:r>
            <w:r w:rsidR="005B6A35" w:rsidRPr="00A0643C">
              <w:rPr>
                <w:rFonts w:cs="Times New Roman"/>
                <w:sz w:val="20"/>
                <w:szCs w:val="20"/>
              </w:rPr>
              <w:t>0)</w:t>
            </w:r>
          </w:p>
        </w:tc>
        <w:tc>
          <w:tcPr>
            <w:tcW w:w="2025" w:type="dxa"/>
            <w:tcBorders>
              <w:top w:val="nil"/>
              <w:left w:val="nil"/>
              <w:bottom w:val="nil"/>
              <w:right w:val="nil"/>
            </w:tcBorders>
          </w:tcPr>
          <w:p w14:paraId="3C1FB86D" w14:textId="5EA5E227" w:rsidR="005B6A35" w:rsidRPr="00A0643C" w:rsidRDefault="006F2BB1" w:rsidP="005B6A35">
            <w:pPr>
              <w:spacing w:line="240" w:lineRule="auto"/>
              <w:jc w:val="center"/>
              <w:rPr>
                <w:rFonts w:cs="Times New Roman"/>
                <w:sz w:val="20"/>
                <w:szCs w:val="20"/>
              </w:rPr>
            </w:pPr>
            <w:r>
              <w:rPr>
                <w:rFonts w:cs="Times New Roman"/>
                <w:sz w:val="20"/>
                <w:szCs w:val="20"/>
              </w:rPr>
              <w:t>1.</w:t>
            </w:r>
            <w:r w:rsidR="005B6A35" w:rsidRPr="00A0643C">
              <w:rPr>
                <w:rFonts w:cs="Times New Roman"/>
                <w:sz w:val="20"/>
                <w:szCs w:val="20"/>
              </w:rPr>
              <w:t>0</w:t>
            </w:r>
            <w:r>
              <w:rPr>
                <w:rFonts w:cs="Times New Roman"/>
                <w:sz w:val="20"/>
                <w:szCs w:val="20"/>
              </w:rPr>
              <w:t>8</w:t>
            </w:r>
            <w:r w:rsidR="005B6A35" w:rsidRPr="00A0643C">
              <w:rPr>
                <w:rFonts w:cs="Times New Roman"/>
                <w:sz w:val="20"/>
                <w:szCs w:val="20"/>
              </w:rPr>
              <w:t xml:space="preserve"> (0.95, </w:t>
            </w:r>
            <w:r>
              <w:rPr>
                <w:rFonts w:cs="Times New Roman"/>
                <w:sz w:val="20"/>
                <w:szCs w:val="20"/>
              </w:rPr>
              <w:t>1.1</w:t>
            </w:r>
            <w:r w:rsidR="005B6A35" w:rsidRPr="00A0643C">
              <w:rPr>
                <w:rFonts w:cs="Times New Roman"/>
                <w:sz w:val="20"/>
                <w:szCs w:val="20"/>
              </w:rPr>
              <w:t>0)</w:t>
            </w:r>
          </w:p>
        </w:tc>
        <w:tc>
          <w:tcPr>
            <w:tcW w:w="2025" w:type="dxa"/>
            <w:tcBorders>
              <w:top w:val="nil"/>
              <w:left w:val="nil"/>
              <w:bottom w:val="nil"/>
              <w:right w:val="nil"/>
            </w:tcBorders>
            <w:shd w:val="clear" w:color="auto" w:fill="auto"/>
          </w:tcPr>
          <w:p w14:paraId="27F306D7" w14:textId="6E5F69F9" w:rsidR="005B6A35" w:rsidRPr="00A0643C" w:rsidRDefault="00B32DBF" w:rsidP="005B6A35">
            <w:pPr>
              <w:spacing w:line="240" w:lineRule="auto"/>
              <w:jc w:val="center"/>
              <w:rPr>
                <w:rFonts w:cs="Times New Roman"/>
                <w:sz w:val="20"/>
                <w:szCs w:val="20"/>
              </w:rPr>
            </w:pPr>
            <w:r>
              <w:rPr>
                <w:rFonts w:cs="Times New Roman"/>
                <w:sz w:val="20"/>
                <w:szCs w:val="20"/>
              </w:rPr>
              <w:t>1.</w:t>
            </w:r>
            <w:r w:rsidR="005B6A35" w:rsidRPr="00A0643C">
              <w:rPr>
                <w:rFonts w:cs="Times New Roman"/>
                <w:sz w:val="20"/>
                <w:szCs w:val="20"/>
              </w:rPr>
              <w:t>0</w:t>
            </w:r>
            <w:r>
              <w:rPr>
                <w:rFonts w:cs="Times New Roman"/>
                <w:sz w:val="20"/>
                <w:szCs w:val="20"/>
              </w:rPr>
              <w:t>8</w:t>
            </w:r>
            <w:r w:rsidR="005B6A35" w:rsidRPr="00A0643C">
              <w:rPr>
                <w:rFonts w:cs="Times New Roman"/>
                <w:sz w:val="20"/>
                <w:szCs w:val="20"/>
              </w:rPr>
              <w:t xml:space="preserve"> (</w:t>
            </w:r>
            <w:r>
              <w:rPr>
                <w:rFonts w:cs="Times New Roman"/>
                <w:sz w:val="20"/>
                <w:szCs w:val="20"/>
              </w:rPr>
              <w:t>1.</w:t>
            </w:r>
            <w:r w:rsidR="005B6A35" w:rsidRPr="00A0643C">
              <w:rPr>
                <w:rFonts w:cs="Times New Roman"/>
                <w:sz w:val="20"/>
                <w:szCs w:val="20"/>
              </w:rPr>
              <w:t>0</w:t>
            </w:r>
            <w:r>
              <w:rPr>
                <w:rFonts w:cs="Times New Roman"/>
                <w:sz w:val="20"/>
                <w:szCs w:val="20"/>
              </w:rPr>
              <w:t>6</w:t>
            </w:r>
            <w:r w:rsidR="005B6A35" w:rsidRPr="00A0643C">
              <w:rPr>
                <w:rFonts w:cs="Times New Roman"/>
                <w:sz w:val="20"/>
                <w:szCs w:val="20"/>
              </w:rPr>
              <w:t xml:space="preserve">, </w:t>
            </w:r>
            <w:r>
              <w:rPr>
                <w:rFonts w:cs="Times New Roman"/>
                <w:sz w:val="20"/>
                <w:szCs w:val="20"/>
              </w:rPr>
              <w:t>1.1</w:t>
            </w:r>
            <w:r w:rsidR="005B6A35" w:rsidRPr="00A0643C">
              <w:rPr>
                <w:rFonts w:cs="Times New Roman"/>
                <w:sz w:val="20"/>
                <w:szCs w:val="20"/>
              </w:rPr>
              <w:t>0)</w:t>
            </w:r>
          </w:p>
        </w:tc>
      </w:tr>
      <w:tr w:rsidR="005B6A35" w:rsidRPr="00A0643C" w14:paraId="6FB3B1F3" w14:textId="77777777" w:rsidTr="001B7103">
        <w:tc>
          <w:tcPr>
            <w:tcW w:w="4860" w:type="dxa"/>
            <w:tcBorders>
              <w:top w:val="nil"/>
              <w:left w:val="nil"/>
              <w:bottom w:val="single" w:sz="4" w:space="0" w:color="auto"/>
              <w:right w:val="nil"/>
            </w:tcBorders>
          </w:tcPr>
          <w:p w14:paraId="6A7FC4AF" w14:textId="71E0BA80" w:rsidR="005B6A35" w:rsidRPr="00A0643C" w:rsidRDefault="005B6A35" w:rsidP="005B6A35">
            <w:pPr>
              <w:spacing w:line="240" w:lineRule="auto"/>
              <w:rPr>
                <w:rFonts w:cs="Times New Roman"/>
                <w:sz w:val="20"/>
                <w:szCs w:val="20"/>
              </w:rPr>
            </w:pPr>
            <w:r w:rsidRPr="00A0643C">
              <w:rPr>
                <w:rFonts w:cs="Times New Roman"/>
                <w:sz w:val="20"/>
                <w:szCs w:val="20"/>
              </w:rPr>
              <w:t xml:space="preserve">  Index year</w:t>
            </w:r>
            <w:r>
              <w:rPr>
                <w:rFonts w:cs="Times New Roman"/>
                <w:sz w:val="20"/>
                <w:szCs w:val="20"/>
              </w:rPr>
              <w:t xml:space="preserve"> (year of positive FOBT, per 1-unit increase)</w:t>
            </w:r>
          </w:p>
        </w:tc>
        <w:tc>
          <w:tcPr>
            <w:tcW w:w="2025" w:type="dxa"/>
            <w:tcBorders>
              <w:top w:val="nil"/>
              <w:left w:val="nil"/>
              <w:bottom w:val="single" w:sz="4" w:space="0" w:color="auto"/>
              <w:right w:val="nil"/>
            </w:tcBorders>
          </w:tcPr>
          <w:p w14:paraId="42A95F2A" w14:textId="220161E9" w:rsidR="005B6A35" w:rsidRPr="00C728F4" w:rsidRDefault="005B6A35" w:rsidP="005B6A35">
            <w:pPr>
              <w:spacing w:line="240" w:lineRule="auto"/>
              <w:jc w:val="center"/>
              <w:rPr>
                <w:rFonts w:cs="Times New Roman"/>
                <w:sz w:val="20"/>
                <w:szCs w:val="20"/>
              </w:rPr>
            </w:pPr>
            <w:r w:rsidRPr="00C728F4">
              <w:rPr>
                <w:rFonts w:cs="Times New Roman"/>
                <w:sz w:val="20"/>
                <w:szCs w:val="20"/>
              </w:rPr>
              <w:t>1.0</w:t>
            </w:r>
            <w:r w:rsidR="00BE351F">
              <w:rPr>
                <w:rFonts w:cs="Times New Roman"/>
                <w:sz w:val="20"/>
                <w:szCs w:val="20"/>
              </w:rPr>
              <w:t>6</w:t>
            </w:r>
            <w:r w:rsidRPr="00C728F4">
              <w:rPr>
                <w:rFonts w:cs="Times New Roman"/>
                <w:sz w:val="20"/>
                <w:szCs w:val="20"/>
              </w:rPr>
              <w:t xml:space="preserve"> (1.0</w:t>
            </w:r>
            <w:r w:rsidR="00BE351F">
              <w:rPr>
                <w:rFonts w:cs="Times New Roman"/>
                <w:sz w:val="20"/>
                <w:szCs w:val="20"/>
              </w:rPr>
              <w:t>5</w:t>
            </w:r>
            <w:r w:rsidRPr="00C728F4">
              <w:rPr>
                <w:rFonts w:cs="Times New Roman"/>
                <w:sz w:val="20"/>
                <w:szCs w:val="20"/>
              </w:rPr>
              <w:t>, 1.0</w:t>
            </w:r>
            <w:r w:rsidR="00BE351F">
              <w:rPr>
                <w:rFonts w:cs="Times New Roman"/>
                <w:sz w:val="20"/>
                <w:szCs w:val="20"/>
              </w:rPr>
              <w:t>6</w:t>
            </w:r>
            <w:r w:rsidRPr="00C728F4">
              <w:rPr>
                <w:rFonts w:cs="Times New Roman"/>
                <w:sz w:val="20"/>
                <w:szCs w:val="20"/>
              </w:rPr>
              <w:t>)</w:t>
            </w:r>
          </w:p>
        </w:tc>
        <w:tc>
          <w:tcPr>
            <w:tcW w:w="2025" w:type="dxa"/>
            <w:tcBorders>
              <w:top w:val="nil"/>
              <w:left w:val="nil"/>
              <w:bottom w:val="single" w:sz="4" w:space="0" w:color="auto"/>
              <w:right w:val="nil"/>
            </w:tcBorders>
          </w:tcPr>
          <w:p w14:paraId="76B4B62E" w14:textId="7F0CDF3F" w:rsidR="005B6A35" w:rsidRPr="00C728F4" w:rsidRDefault="005B6A35" w:rsidP="005B6A35">
            <w:pPr>
              <w:spacing w:line="240" w:lineRule="auto"/>
              <w:jc w:val="center"/>
              <w:rPr>
                <w:rFonts w:cs="Times New Roman"/>
                <w:sz w:val="20"/>
                <w:szCs w:val="20"/>
              </w:rPr>
            </w:pPr>
            <w:r w:rsidRPr="00C728F4">
              <w:rPr>
                <w:rFonts w:cs="Times New Roman"/>
                <w:sz w:val="20"/>
                <w:szCs w:val="20"/>
              </w:rPr>
              <w:t>1.0</w:t>
            </w:r>
            <w:r w:rsidR="006C03F3">
              <w:rPr>
                <w:rFonts w:cs="Times New Roman"/>
                <w:sz w:val="20"/>
                <w:szCs w:val="20"/>
              </w:rPr>
              <w:t>6</w:t>
            </w:r>
            <w:r w:rsidRPr="00C728F4">
              <w:rPr>
                <w:rFonts w:cs="Times New Roman"/>
                <w:sz w:val="20"/>
                <w:szCs w:val="20"/>
              </w:rPr>
              <w:t xml:space="preserve"> (1.0</w:t>
            </w:r>
            <w:r w:rsidR="006C03F3">
              <w:rPr>
                <w:rFonts w:cs="Times New Roman"/>
                <w:sz w:val="20"/>
                <w:szCs w:val="20"/>
              </w:rPr>
              <w:t>5</w:t>
            </w:r>
            <w:r w:rsidRPr="00C728F4">
              <w:rPr>
                <w:rFonts w:cs="Times New Roman"/>
                <w:sz w:val="20"/>
                <w:szCs w:val="20"/>
              </w:rPr>
              <w:t>, 1.0</w:t>
            </w:r>
            <w:r w:rsidR="006C03F3">
              <w:rPr>
                <w:rFonts w:cs="Times New Roman"/>
                <w:sz w:val="20"/>
                <w:szCs w:val="20"/>
              </w:rPr>
              <w:t>6</w:t>
            </w:r>
            <w:r w:rsidRPr="00C728F4">
              <w:rPr>
                <w:rFonts w:cs="Times New Roman"/>
                <w:sz w:val="20"/>
                <w:szCs w:val="20"/>
              </w:rPr>
              <w:t>)</w:t>
            </w:r>
          </w:p>
        </w:tc>
        <w:tc>
          <w:tcPr>
            <w:tcW w:w="2025" w:type="dxa"/>
            <w:tcBorders>
              <w:top w:val="nil"/>
              <w:left w:val="nil"/>
              <w:bottom w:val="single" w:sz="4" w:space="0" w:color="auto"/>
              <w:right w:val="nil"/>
            </w:tcBorders>
          </w:tcPr>
          <w:p w14:paraId="0DBE0072" w14:textId="78EC7CC8" w:rsidR="005B6A35" w:rsidRPr="006D3EAE" w:rsidRDefault="005B6A35" w:rsidP="005B6A35">
            <w:pPr>
              <w:spacing w:line="240" w:lineRule="auto"/>
              <w:jc w:val="center"/>
              <w:rPr>
                <w:rFonts w:cs="Times New Roman"/>
                <w:sz w:val="20"/>
                <w:szCs w:val="20"/>
                <w:highlight w:val="yellow"/>
              </w:rPr>
            </w:pPr>
            <w:r w:rsidRPr="009A737D">
              <w:rPr>
                <w:rFonts w:cs="Times New Roman"/>
                <w:sz w:val="20"/>
                <w:szCs w:val="20"/>
              </w:rPr>
              <w:t>1.0</w:t>
            </w:r>
            <w:r w:rsidR="006F2BB1">
              <w:rPr>
                <w:rFonts w:cs="Times New Roman"/>
                <w:sz w:val="20"/>
                <w:szCs w:val="20"/>
              </w:rPr>
              <w:t>6</w:t>
            </w:r>
            <w:r w:rsidRPr="009A737D">
              <w:rPr>
                <w:rFonts w:cs="Times New Roman"/>
                <w:sz w:val="20"/>
                <w:szCs w:val="20"/>
              </w:rPr>
              <w:t xml:space="preserve"> (1.0</w:t>
            </w:r>
            <w:r w:rsidR="006F2BB1">
              <w:rPr>
                <w:rFonts w:cs="Times New Roman"/>
                <w:sz w:val="20"/>
                <w:szCs w:val="20"/>
              </w:rPr>
              <w:t>5</w:t>
            </w:r>
            <w:r w:rsidRPr="009A737D">
              <w:rPr>
                <w:rFonts w:cs="Times New Roman"/>
                <w:sz w:val="20"/>
                <w:szCs w:val="20"/>
              </w:rPr>
              <w:t>, 1.0</w:t>
            </w:r>
            <w:r w:rsidR="006F2BB1">
              <w:rPr>
                <w:rFonts w:cs="Times New Roman"/>
                <w:sz w:val="20"/>
                <w:szCs w:val="20"/>
              </w:rPr>
              <w:t>6</w:t>
            </w:r>
            <w:r w:rsidRPr="009A737D">
              <w:rPr>
                <w:rFonts w:cs="Times New Roman"/>
                <w:sz w:val="20"/>
                <w:szCs w:val="20"/>
              </w:rPr>
              <w:t>)</w:t>
            </w:r>
          </w:p>
        </w:tc>
        <w:tc>
          <w:tcPr>
            <w:tcW w:w="2025" w:type="dxa"/>
            <w:tcBorders>
              <w:top w:val="nil"/>
              <w:left w:val="nil"/>
              <w:bottom w:val="single" w:sz="4" w:space="0" w:color="auto"/>
              <w:right w:val="nil"/>
            </w:tcBorders>
            <w:shd w:val="clear" w:color="auto" w:fill="auto"/>
          </w:tcPr>
          <w:p w14:paraId="4D23C119" w14:textId="37B25803" w:rsidR="005B6A35" w:rsidRPr="006D3EAE" w:rsidRDefault="005B6A35" w:rsidP="005B6A35">
            <w:pPr>
              <w:spacing w:line="240" w:lineRule="auto"/>
              <w:jc w:val="center"/>
              <w:rPr>
                <w:rFonts w:cs="Times New Roman"/>
                <w:sz w:val="20"/>
                <w:szCs w:val="20"/>
                <w:highlight w:val="yellow"/>
              </w:rPr>
            </w:pPr>
            <w:r w:rsidRPr="00512CFD">
              <w:rPr>
                <w:rFonts w:cs="Times New Roman"/>
                <w:sz w:val="20"/>
                <w:szCs w:val="20"/>
              </w:rPr>
              <w:t>1.0</w:t>
            </w:r>
            <w:r w:rsidR="00B32DBF">
              <w:rPr>
                <w:rFonts w:cs="Times New Roman"/>
                <w:sz w:val="20"/>
                <w:szCs w:val="20"/>
              </w:rPr>
              <w:t>6</w:t>
            </w:r>
            <w:r w:rsidRPr="00512CFD">
              <w:rPr>
                <w:rFonts w:cs="Times New Roman"/>
                <w:sz w:val="20"/>
                <w:szCs w:val="20"/>
              </w:rPr>
              <w:t xml:space="preserve"> (1.0</w:t>
            </w:r>
            <w:r w:rsidR="00B32DBF">
              <w:rPr>
                <w:rFonts w:cs="Times New Roman"/>
                <w:sz w:val="20"/>
                <w:szCs w:val="20"/>
              </w:rPr>
              <w:t>5</w:t>
            </w:r>
            <w:r w:rsidRPr="00512CFD">
              <w:rPr>
                <w:rFonts w:cs="Times New Roman"/>
                <w:sz w:val="20"/>
                <w:szCs w:val="20"/>
              </w:rPr>
              <w:t>, 1.0</w:t>
            </w:r>
            <w:r w:rsidR="00B32DBF">
              <w:rPr>
                <w:rFonts w:cs="Times New Roman"/>
                <w:sz w:val="20"/>
                <w:szCs w:val="20"/>
              </w:rPr>
              <w:t>6</w:t>
            </w:r>
            <w:r w:rsidRPr="00512CFD">
              <w:rPr>
                <w:rFonts w:cs="Times New Roman"/>
                <w:sz w:val="20"/>
                <w:szCs w:val="20"/>
              </w:rPr>
              <w:t>)</w:t>
            </w:r>
          </w:p>
        </w:tc>
      </w:tr>
    </w:tbl>
    <w:p w14:paraId="5BBE9742" w14:textId="77777777" w:rsidR="00F37B70" w:rsidRDefault="00F37B70" w:rsidP="00F37B70">
      <w:pPr>
        <w:spacing w:line="240" w:lineRule="auto"/>
        <w:rPr>
          <w:rFonts w:ascii="Cambria" w:hAnsi="Cambria"/>
          <w:szCs w:val="24"/>
        </w:rPr>
      </w:pPr>
    </w:p>
    <w:p w14:paraId="39BDB30B" w14:textId="77777777" w:rsidR="00F37B70" w:rsidRPr="000A25D2" w:rsidRDefault="00F37B70" w:rsidP="00F37B70">
      <w:pPr>
        <w:spacing w:line="240" w:lineRule="auto"/>
        <w:rPr>
          <w:rFonts w:cs="Times New Roman"/>
          <w:szCs w:val="24"/>
        </w:rPr>
      </w:pPr>
      <w:r w:rsidRPr="000A25D2">
        <w:rPr>
          <w:rFonts w:cs="Times New Roman"/>
          <w:szCs w:val="24"/>
          <w:vertAlign w:val="superscript"/>
        </w:rPr>
        <w:lastRenderedPageBreak/>
        <w:t>a</w:t>
      </w:r>
      <w:r w:rsidRPr="000A25D2">
        <w:rPr>
          <w:rFonts w:cs="Times New Roman"/>
          <w:szCs w:val="24"/>
        </w:rPr>
        <w:t xml:space="preserve"> Includes diabetes, ESRD, COPD, CHF, and CVD</w:t>
      </w:r>
    </w:p>
    <w:p w14:paraId="3D8A6E56" w14:textId="3FDD26CC" w:rsidR="00F37B70" w:rsidRPr="000A25D2" w:rsidRDefault="00F37B70" w:rsidP="00F37B70">
      <w:pPr>
        <w:spacing w:line="240" w:lineRule="auto"/>
        <w:rPr>
          <w:rFonts w:cs="Times New Roman"/>
        </w:rPr>
      </w:pPr>
      <w:r w:rsidRPr="000A25D2">
        <w:rPr>
          <w:rFonts w:cs="Times New Roman"/>
          <w:szCs w:val="24"/>
        </w:rPr>
        <w:t xml:space="preserve">Abbreviations: hazard ratio, HR; confidence interval, CI; end-stage renal disease, ESRD; cardiovascular disease, CVD; chronic obstructive pulmonary disease, COPD; colorectal cancer, CRC; congestive heart failure, CHF; primary care </w:t>
      </w:r>
      <w:r w:rsidR="00046555">
        <w:rPr>
          <w:rFonts w:cs="Times New Roman"/>
          <w:szCs w:val="24"/>
        </w:rPr>
        <w:t>provider</w:t>
      </w:r>
      <w:r w:rsidRPr="000A25D2">
        <w:rPr>
          <w:rFonts w:cs="Times New Roman"/>
          <w:szCs w:val="24"/>
        </w:rPr>
        <w:t>, PCP</w:t>
      </w:r>
    </w:p>
    <w:p w14:paraId="754EBB03" w14:textId="77777777" w:rsidR="00F37B70" w:rsidRDefault="00F37B70" w:rsidP="007D1642">
      <w:pPr>
        <w:rPr>
          <w:rFonts w:cs="Times New Roman"/>
          <w:szCs w:val="24"/>
        </w:rPr>
      </w:pPr>
    </w:p>
    <w:p w14:paraId="2BADC2DC" w14:textId="77777777" w:rsidR="007C2CDE" w:rsidRPr="007C2CDE" w:rsidRDefault="007C2CDE" w:rsidP="007C2CDE"/>
    <w:p w14:paraId="177F8068" w14:textId="77777777" w:rsidR="007C2CDE" w:rsidRPr="007C2CDE" w:rsidRDefault="007C2CDE" w:rsidP="007C2CDE"/>
    <w:p w14:paraId="3BD19A85" w14:textId="77777777" w:rsidR="007C2CDE" w:rsidRPr="007C2CDE" w:rsidRDefault="007C2CDE" w:rsidP="007C2CDE"/>
    <w:p w14:paraId="6F400A17" w14:textId="77777777" w:rsidR="007C2CDE" w:rsidRPr="007C2CDE" w:rsidRDefault="007C2CDE" w:rsidP="007C2CDE"/>
    <w:p w14:paraId="7510E1F5" w14:textId="77777777" w:rsidR="007C2CDE" w:rsidRPr="007C2CDE" w:rsidRDefault="007C2CDE" w:rsidP="007C2CDE"/>
    <w:p w14:paraId="18AF74D7" w14:textId="77777777" w:rsidR="007C2CDE" w:rsidRPr="007C2CDE" w:rsidRDefault="007C2CDE" w:rsidP="007C2CDE"/>
    <w:p w14:paraId="1C71B0A8" w14:textId="252AAD9A" w:rsidR="007C2CDE" w:rsidRDefault="007C2CDE" w:rsidP="007C2CDE"/>
    <w:p w14:paraId="7152BEFD" w14:textId="0E75EC25" w:rsidR="007C2CDE" w:rsidRDefault="007C2CDE" w:rsidP="007C2CDE"/>
    <w:p w14:paraId="5CF10136" w14:textId="24C8502E" w:rsidR="007C2CDE" w:rsidRDefault="007C2CDE" w:rsidP="007C2CDE"/>
    <w:p w14:paraId="33B8CD34" w14:textId="53A50B39" w:rsidR="007C2CDE" w:rsidRDefault="007C2CDE" w:rsidP="007C2CDE"/>
    <w:p w14:paraId="7DAC608C" w14:textId="5900C8B4" w:rsidR="007C2CDE" w:rsidRDefault="007C2CDE" w:rsidP="007C2CDE"/>
    <w:p w14:paraId="0E208653" w14:textId="10CDC4F8" w:rsidR="007C2CDE" w:rsidRDefault="007C2CDE" w:rsidP="007C2CDE"/>
    <w:p w14:paraId="410A1504" w14:textId="3AD519C3" w:rsidR="007C2CDE" w:rsidRDefault="007C2CDE" w:rsidP="007C2CDE"/>
    <w:p w14:paraId="1C4A297B" w14:textId="64260CC7" w:rsidR="007C2CDE" w:rsidRDefault="007C2CDE" w:rsidP="007C2CDE"/>
    <w:p w14:paraId="22C517DE" w14:textId="7E3176DD" w:rsidR="007C2CDE" w:rsidRDefault="007C2CDE" w:rsidP="007C2CDE"/>
    <w:p w14:paraId="4AA9E69C" w14:textId="7300BEEB" w:rsidR="007C2CDE" w:rsidRDefault="007C2CDE" w:rsidP="007C2CDE"/>
    <w:p w14:paraId="7EA92BD0" w14:textId="3B02C0E0" w:rsidR="007C2CDE" w:rsidRDefault="007C2CDE" w:rsidP="007C2CDE"/>
    <w:p w14:paraId="73AE2405" w14:textId="7AA8BB10" w:rsidR="007C2CDE" w:rsidRDefault="007C2CDE" w:rsidP="007C2CDE"/>
    <w:p w14:paraId="2858FF4A" w14:textId="79467346" w:rsidR="007C2CDE" w:rsidRDefault="007C2CDE" w:rsidP="007C2CDE"/>
    <w:p w14:paraId="783C038B" w14:textId="7D4F4832" w:rsidR="007C2CDE" w:rsidRDefault="007C2CDE" w:rsidP="007C2CDE">
      <w:pPr>
        <w:tabs>
          <w:tab w:val="left" w:pos="6060"/>
        </w:tabs>
        <w:spacing w:line="240" w:lineRule="auto"/>
        <w:rPr>
          <w:rFonts w:cs="Times New Roman"/>
          <w:szCs w:val="24"/>
        </w:rPr>
      </w:pPr>
      <w:r>
        <w:rPr>
          <w:rFonts w:cs="Times New Roman"/>
          <w:b/>
          <w:bCs/>
          <w:szCs w:val="24"/>
          <w:lang w:val="en-GB"/>
        </w:rPr>
        <w:lastRenderedPageBreak/>
        <w:t>S</w:t>
      </w:r>
      <w:r w:rsidRPr="008C4ECB">
        <w:rPr>
          <w:rFonts w:cs="Times New Roman"/>
          <w:b/>
          <w:bCs/>
          <w:szCs w:val="24"/>
          <w:lang w:val="en-GB"/>
        </w:rPr>
        <w:t xml:space="preserve">upplementary </w:t>
      </w:r>
      <w:r w:rsidR="006B62F3">
        <w:rPr>
          <w:rFonts w:cs="Times New Roman"/>
          <w:b/>
          <w:bCs/>
          <w:szCs w:val="24"/>
          <w:lang w:val="en-GB"/>
        </w:rPr>
        <w:t>Figures 1.a-g</w:t>
      </w:r>
      <w:r w:rsidRPr="008C4ECB">
        <w:rPr>
          <w:rFonts w:cs="Times New Roman"/>
          <w:b/>
          <w:bCs/>
          <w:szCs w:val="24"/>
          <w:lang w:val="en-GB"/>
        </w:rPr>
        <w:t>.</w:t>
      </w:r>
      <w:r w:rsidRPr="008C4ECB">
        <w:t xml:space="preserve"> </w:t>
      </w:r>
      <w:r w:rsidRPr="008C4ECB">
        <w:rPr>
          <w:rFonts w:cs="Times New Roman"/>
          <w:szCs w:val="24"/>
          <w:lang w:val="en-GB"/>
        </w:rPr>
        <w:t>Cumulative incidence function plots for the associations between exposures and first follow-up colonoscopy</w:t>
      </w:r>
    </w:p>
    <w:p w14:paraId="3160DE4A" w14:textId="77777777" w:rsidR="007C2CDE" w:rsidRPr="008C4ECB" w:rsidRDefault="007C2CDE" w:rsidP="007C2CDE">
      <w:pPr>
        <w:tabs>
          <w:tab w:val="left" w:pos="4463"/>
        </w:tabs>
        <w:rPr>
          <w:rFonts w:cs="Times New Roman"/>
          <w:b/>
          <w:bCs/>
          <w:szCs w:val="24"/>
        </w:rPr>
      </w:pPr>
    </w:p>
    <w:p w14:paraId="6741B8FC" w14:textId="0F34DDA9" w:rsidR="007C2CDE" w:rsidRPr="008C4ECB" w:rsidRDefault="007C2CDE" w:rsidP="007C2CDE">
      <w:pPr>
        <w:tabs>
          <w:tab w:val="left" w:pos="4463"/>
        </w:tabs>
        <w:rPr>
          <w:rFonts w:cs="Times New Roman"/>
          <w:szCs w:val="24"/>
        </w:rPr>
      </w:pPr>
      <w:r w:rsidRPr="008C4ECB">
        <w:rPr>
          <w:rFonts w:cs="Times New Roman"/>
          <w:i/>
          <w:iCs/>
          <w:szCs w:val="24"/>
        </w:rPr>
        <w:t xml:space="preserve">Supplementary </w:t>
      </w:r>
      <w:r w:rsidR="006B62F3">
        <w:rPr>
          <w:rFonts w:cs="Times New Roman"/>
          <w:i/>
          <w:iCs/>
          <w:szCs w:val="24"/>
        </w:rPr>
        <w:t>Figure 1</w:t>
      </w:r>
      <w:r w:rsidRPr="008C4ECB">
        <w:rPr>
          <w:rFonts w:cs="Times New Roman"/>
          <w:i/>
          <w:iCs/>
          <w:szCs w:val="24"/>
        </w:rPr>
        <w:t>.</w:t>
      </w:r>
      <w:r>
        <w:rPr>
          <w:rFonts w:cs="Times New Roman"/>
          <w:i/>
          <w:iCs/>
          <w:szCs w:val="24"/>
        </w:rPr>
        <w:t>a</w:t>
      </w:r>
      <w:r w:rsidRPr="008C4ECB">
        <w:rPr>
          <w:rFonts w:cs="Times New Roman"/>
          <w:i/>
          <w:iCs/>
          <w:szCs w:val="24"/>
        </w:rPr>
        <w:t>.</w:t>
      </w:r>
      <w:r w:rsidRPr="008C4ECB">
        <w:rPr>
          <w:rFonts w:cs="Times New Roman"/>
          <w:szCs w:val="24"/>
        </w:rPr>
        <w:t xml:space="preserve"> Cumulative incidence </w:t>
      </w:r>
      <w:r>
        <w:rPr>
          <w:rFonts w:cs="Times New Roman"/>
          <w:szCs w:val="24"/>
        </w:rPr>
        <w:t xml:space="preserve">of follow-up colonoscopy </w:t>
      </w:r>
      <w:r w:rsidRPr="008C4ECB">
        <w:rPr>
          <w:rFonts w:cs="Times New Roman"/>
          <w:szCs w:val="24"/>
        </w:rPr>
        <w:t>by medical and mental illness category</w:t>
      </w:r>
    </w:p>
    <w:p w14:paraId="5F6299F3" w14:textId="77777777" w:rsidR="007C2CDE" w:rsidRPr="008C4ECB" w:rsidRDefault="007C2CDE" w:rsidP="007C2CDE">
      <w:pPr>
        <w:tabs>
          <w:tab w:val="left" w:pos="4463"/>
        </w:tabs>
        <w:jc w:val="center"/>
        <w:rPr>
          <w:rFonts w:cs="Times New Roman"/>
          <w:szCs w:val="24"/>
        </w:rPr>
      </w:pPr>
      <w:r>
        <w:rPr>
          <w:rFonts w:cs="Times New Roman"/>
          <w:noProof/>
          <w:szCs w:val="24"/>
        </w:rPr>
        <w:drawing>
          <wp:inline distT="0" distB="0" distL="0" distR="0" wp14:anchorId="5A131623" wp14:editId="6E09F625">
            <wp:extent cx="8257332" cy="4422775"/>
            <wp:effectExtent l="0" t="0" r="0" b="0"/>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5329" cy="4432414"/>
                    </a:xfrm>
                    <a:prstGeom prst="rect">
                      <a:avLst/>
                    </a:prstGeom>
                    <a:noFill/>
                  </pic:spPr>
                </pic:pic>
              </a:graphicData>
            </a:graphic>
          </wp:inline>
        </w:drawing>
      </w:r>
    </w:p>
    <w:p w14:paraId="64B8E986" w14:textId="77777777" w:rsidR="007C2CDE" w:rsidRDefault="007C2CDE" w:rsidP="007C2CDE">
      <w:pPr>
        <w:rPr>
          <w:rFonts w:cs="Times New Roman"/>
          <w:noProof/>
          <w:szCs w:val="24"/>
        </w:rPr>
      </w:pPr>
      <w:r w:rsidRPr="001640EB">
        <w:rPr>
          <w:rFonts w:cs="Times New Roman"/>
          <w:noProof/>
          <w:szCs w:val="24"/>
        </w:rPr>
        <w:t>Abbreviation: fecal occult blood test, FOBT</w:t>
      </w:r>
    </w:p>
    <w:p w14:paraId="24E3A940" w14:textId="77777777" w:rsidR="007C2CDE" w:rsidRPr="00ED34A6" w:rsidRDefault="007C2CDE" w:rsidP="007C2CDE">
      <w:pPr>
        <w:tabs>
          <w:tab w:val="left" w:pos="4463"/>
        </w:tabs>
        <w:rPr>
          <w:rFonts w:cs="Times New Roman"/>
          <w:szCs w:val="24"/>
        </w:rPr>
      </w:pPr>
      <w:r>
        <w:rPr>
          <w:rFonts w:cs="Times New Roman"/>
          <w:noProof/>
          <w:szCs w:val="24"/>
        </w:rPr>
        <w:t xml:space="preserve">Gray’s test for equality of cumulative incidence functions </w:t>
      </w:r>
      <w:r w:rsidRPr="00AA766D">
        <w:rPr>
          <w:rFonts w:cs="Times New Roman"/>
          <w:noProof/>
          <w:szCs w:val="24"/>
        </w:rPr>
        <w:t>p&lt;.0001</w:t>
      </w:r>
      <w:r>
        <w:rPr>
          <w:rFonts w:cs="Times New Roman"/>
          <w:noProof/>
          <w:szCs w:val="24"/>
        </w:rPr>
        <w:t>. Note: dashed lines represent 95% confidence intervals.</w:t>
      </w:r>
    </w:p>
    <w:p w14:paraId="4CE0C17C" w14:textId="2BF0ACD6" w:rsidR="007C2CDE" w:rsidRPr="008C4ECB" w:rsidRDefault="007C2CDE" w:rsidP="007C2CDE">
      <w:pPr>
        <w:tabs>
          <w:tab w:val="left" w:pos="4463"/>
        </w:tabs>
        <w:rPr>
          <w:rFonts w:cs="Times New Roman"/>
          <w:szCs w:val="24"/>
        </w:rPr>
      </w:pPr>
      <w:r w:rsidRPr="008C4ECB">
        <w:rPr>
          <w:rFonts w:cs="Times New Roman"/>
          <w:i/>
          <w:iCs/>
          <w:szCs w:val="24"/>
        </w:rPr>
        <w:lastRenderedPageBreak/>
        <w:t>Supplementar</w:t>
      </w:r>
      <w:r w:rsidR="006B62F3">
        <w:rPr>
          <w:rFonts w:cs="Times New Roman"/>
          <w:i/>
          <w:iCs/>
          <w:szCs w:val="24"/>
        </w:rPr>
        <w:t>y Figure 1</w:t>
      </w:r>
      <w:r w:rsidRPr="008C4ECB">
        <w:rPr>
          <w:rFonts w:cs="Times New Roman"/>
          <w:i/>
          <w:iCs/>
          <w:szCs w:val="24"/>
        </w:rPr>
        <w:t>.</w:t>
      </w:r>
      <w:r>
        <w:rPr>
          <w:rFonts w:cs="Times New Roman"/>
          <w:i/>
          <w:iCs/>
          <w:szCs w:val="24"/>
        </w:rPr>
        <w:t>b</w:t>
      </w:r>
      <w:r w:rsidRPr="008C4ECB">
        <w:rPr>
          <w:rFonts w:cs="Times New Roman"/>
          <w:i/>
          <w:iCs/>
          <w:szCs w:val="24"/>
        </w:rPr>
        <w:t>.</w:t>
      </w:r>
      <w:r w:rsidRPr="008C4ECB">
        <w:rPr>
          <w:rFonts w:cs="Times New Roman"/>
          <w:szCs w:val="24"/>
        </w:rPr>
        <w:t xml:space="preserve"> Cumulative incidence</w:t>
      </w:r>
      <w:r>
        <w:rPr>
          <w:rFonts w:cs="Times New Roman"/>
          <w:szCs w:val="24"/>
        </w:rPr>
        <w:t xml:space="preserve"> of follow-up colonoscopy</w:t>
      </w:r>
      <w:r w:rsidRPr="008C4ECB">
        <w:rPr>
          <w:rFonts w:cs="Times New Roman"/>
          <w:szCs w:val="24"/>
        </w:rPr>
        <w:t xml:space="preserve"> by diabetes status</w:t>
      </w:r>
    </w:p>
    <w:p w14:paraId="656B8597" w14:textId="77777777" w:rsidR="007C2CDE" w:rsidRPr="008C4ECB" w:rsidRDefault="007C2CDE" w:rsidP="007C2CDE">
      <w:pPr>
        <w:tabs>
          <w:tab w:val="left" w:pos="4463"/>
        </w:tabs>
        <w:jc w:val="center"/>
        <w:rPr>
          <w:rFonts w:cs="Times New Roman"/>
          <w:szCs w:val="24"/>
        </w:rPr>
      </w:pPr>
      <w:r>
        <w:rPr>
          <w:rFonts w:cs="Times New Roman"/>
          <w:noProof/>
          <w:szCs w:val="24"/>
        </w:rPr>
        <w:drawing>
          <wp:inline distT="0" distB="0" distL="0" distR="0" wp14:anchorId="59CCDF46" wp14:editId="239E7326">
            <wp:extent cx="8480081" cy="4699591"/>
            <wp:effectExtent l="0" t="0" r="0" b="6350"/>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10803" cy="4716617"/>
                    </a:xfrm>
                    <a:prstGeom prst="rect">
                      <a:avLst/>
                    </a:prstGeom>
                    <a:noFill/>
                  </pic:spPr>
                </pic:pic>
              </a:graphicData>
            </a:graphic>
          </wp:inline>
        </w:drawing>
      </w:r>
    </w:p>
    <w:p w14:paraId="68F0DFFF" w14:textId="77777777" w:rsidR="007C2CDE" w:rsidRDefault="007C2CDE" w:rsidP="007C2CDE">
      <w:pPr>
        <w:rPr>
          <w:rFonts w:cs="Times New Roman"/>
          <w:noProof/>
          <w:szCs w:val="24"/>
        </w:rPr>
      </w:pPr>
      <w:r w:rsidRPr="001640EB">
        <w:rPr>
          <w:rFonts w:cs="Times New Roman"/>
          <w:noProof/>
          <w:szCs w:val="24"/>
        </w:rPr>
        <w:t>Abbreviation: fecal occult blood test, FOBT</w:t>
      </w:r>
    </w:p>
    <w:p w14:paraId="7BCE3A49" w14:textId="77777777" w:rsidR="007C2CDE" w:rsidRPr="008C4ECB" w:rsidRDefault="007C2CDE" w:rsidP="007C2CDE">
      <w:pPr>
        <w:tabs>
          <w:tab w:val="left" w:pos="4463"/>
        </w:tabs>
        <w:rPr>
          <w:rFonts w:cs="Times New Roman"/>
          <w:i/>
          <w:iCs/>
          <w:szCs w:val="24"/>
        </w:rPr>
      </w:pPr>
      <w:r>
        <w:rPr>
          <w:rFonts w:cs="Times New Roman"/>
          <w:noProof/>
          <w:szCs w:val="24"/>
        </w:rPr>
        <w:t>Gray’s test for equality of cumulative incidence functions p&lt;.0001. Note: dashed lines represent 95% confidence intervals.</w:t>
      </w:r>
    </w:p>
    <w:p w14:paraId="319EFE01" w14:textId="77777777" w:rsidR="007C2CDE" w:rsidRDefault="007C2CDE" w:rsidP="007C2CDE">
      <w:pPr>
        <w:tabs>
          <w:tab w:val="left" w:pos="4463"/>
        </w:tabs>
        <w:rPr>
          <w:rFonts w:cs="Times New Roman"/>
          <w:i/>
          <w:iCs/>
          <w:szCs w:val="24"/>
        </w:rPr>
      </w:pPr>
    </w:p>
    <w:p w14:paraId="3B832D07" w14:textId="0673CE98" w:rsidR="007C2CDE" w:rsidRDefault="007C2CDE" w:rsidP="007C2CDE">
      <w:pPr>
        <w:tabs>
          <w:tab w:val="left" w:pos="4463"/>
        </w:tabs>
        <w:rPr>
          <w:rFonts w:cs="Times New Roman"/>
          <w:szCs w:val="24"/>
        </w:rPr>
      </w:pPr>
      <w:r w:rsidRPr="008C4ECB">
        <w:rPr>
          <w:rFonts w:cs="Times New Roman"/>
          <w:i/>
          <w:iCs/>
          <w:szCs w:val="24"/>
        </w:rPr>
        <w:lastRenderedPageBreak/>
        <w:t xml:space="preserve">Supplementary </w:t>
      </w:r>
      <w:r w:rsidR="006B62F3">
        <w:rPr>
          <w:rFonts w:cs="Times New Roman"/>
          <w:i/>
          <w:iCs/>
          <w:szCs w:val="24"/>
        </w:rPr>
        <w:t>Figure 1</w:t>
      </w:r>
      <w:r>
        <w:rPr>
          <w:rFonts w:cs="Times New Roman"/>
          <w:i/>
          <w:iCs/>
          <w:szCs w:val="24"/>
        </w:rPr>
        <w:t>.c</w:t>
      </w:r>
      <w:r w:rsidRPr="008C4ECB">
        <w:rPr>
          <w:rFonts w:cs="Times New Roman"/>
          <w:i/>
          <w:iCs/>
          <w:szCs w:val="24"/>
        </w:rPr>
        <w:t>.</w:t>
      </w:r>
      <w:r w:rsidRPr="008C4ECB">
        <w:rPr>
          <w:rFonts w:cs="Times New Roman"/>
          <w:szCs w:val="24"/>
        </w:rPr>
        <w:t xml:space="preserve"> Cumulative incidence </w:t>
      </w:r>
      <w:r>
        <w:rPr>
          <w:rFonts w:cs="Times New Roman"/>
          <w:szCs w:val="24"/>
        </w:rPr>
        <w:t xml:space="preserve">of follow-up colonoscopy </w:t>
      </w:r>
      <w:r w:rsidRPr="008C4ECB">
        <w:rPr>
          <w:rFonts w:cs="Times New Roman"/>
          <w:szCs w:val="24"/>
        </w:rPr>
        <w:t>by ESRD status</w:t>
      </w:r>
    </w:p>
    <w:p w14:paraId="32633604" w14:textId="77777777" w:rsidR="007C2CDE" w:rsidRPr="008C4ECB" w:rsidRDefault="007C2CDE" w:rsidP="007C2CDE">
      <w:pPr>
        <w:tabs>
          <w:tab w:val="left" w:pos="4463"/>
        </w:tabs>
        <w:jc w:val="center"/>
        <w:rPr>
          <w:rFonts w:cs="Times New Roman"/>
          <w:i/>
          <w:iCs/>
          <w:szCs w:val="24"/>
        </w:rPr>
      </w:pPr>
      <w:r>
        <w:rPr>
          <w:rFonts w:cs="Times New Roman"/>
          <w:i/>
          <w:iCs/>
          <w:noProof/>
          <w:szCs w:val="24"/>
        </w:rPr>
        <w:drawing>
          <wp:inline distT="0" distB="0" distL="0" distR="0" wp14:anchorId="10B42FCE" wp14:editId="6B9AB1BF">
            <wp:extent cx="8541791" cy="4465674"/>
            <wp:effectExtent l="0" t="0" r="0" b="0"/>
            <wp:docPr id="19" name="Picture 19" descr="A picture containing text, map,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map, documen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0028" cy="4480436"/>
                    </a:xfrm>
                    <a:prstGeom prst="rect">
                      <a:avLst/>
                    </a:prstGeom>
                    <a:noFill/>
                  </pic:spPr>
                </pic:pic>
              </a:graphicData>
            </a:graphic>
          </wp:inline>
        </w:drawing>
      </w:r>
    </w:p>
    <w:p w14:paraId="231C1471" w14:textId="77777777" w:rsidR="007C2CDE" w:rsidRPr="008C4ECB" w:rsidRDefault="007C2CDE" w:rsidP="007C2CDE">
      <w:pPr>
        <w:tabs>
          <w:tab w:val="left" w:pos="4463"/>
        </w:tabs>
        <w:rPr>
          <w:rFonts w:cs="Times New Roman"/>
          <w:i/>
          <w:iCs/>
          <w:szCs w:val="24"/>
        </w:rPr>
      </w:pPr>
    </w:p>
    <w:p w14:paraId="0748F67D" w14:textId="019F9D58" w:rsidR="007C2CDE" w:rsidRDefault="007C2CDE" w:rsidP="007C2CDE">
      <w:pPr>
        <w:rPr>
          <w:rFonts w:cs="Times New Roman"/>
          <w:noProof/>
          <w:szCs w:val="24"/>
        </w:rPr>
      </w:pPr>
      <w:r w:rsidRPr="001640EB">
        <w:rPr>
          <w:rFonts w:cs="Times New Roman"/>
          <w:noProof/>
          <w:szCs w:val="24"/>
        </w:rPr>
        <w:t>Abbreviation</w:t>
      </w:r>
      <w:r w:rsidR="00F176EC">
        <w:rPr>
          <w:rFonts w:cs="Times New Roman"/>
          <w:noProof/>
          <w:szCs w:val="24"/>
        </w:rPr>
        <w:t>s</w:t>
      </w:r>
      <w:r w:rsidRPr="001640EB">
        <w:rPr>
          <w:rFonts w:cs="Times New Roman"/>
          <w:noProof/>
          <w:szCs w:val="24"/>
        </w:rPr>
        <w:t xml:space="preserve">: </w:t>
      </w:r>
      <w:r w:rsidR="00F176EC">
        <w:rPr>
          <w:rFonts w:cs="Times New Roman"/>
          <w:noProof/>
          <w:szCs w:val="24"/>
        </w:rPr>
        <w:t xml:space="preserve">end-stage renal disease, ESRD; </w:t>
      </w:r>
      <w:r w:rsidRPr="001640EB">
        <w:rPr>
          <w:rFonts w:cs="Times New Roman"/>
          <w:noProof/>
          <w:szCs w:val="24"/>
        </w:rPr>
        <w:t>fecal occult blood test, FOBT</w:t>
      </w:r>
    </w:p>
    <w:p w14:paraId="1524DF2C" w14:textId="77777777" w:rsidR="007C2CDE" w:rsidRDefault="007C2CDE" w:rsidP="007C2CDE">
      <w:pPr>
        <w:tabs>
          <w:tab w:val="left" w:pos="4463"/>
        </w:tabs>
        <w:rPr>
          <w:rFonts w:cs="Times New Roman"/>
          <w:i/>
          <w:iCs/>
          <w:szCs w:val="24"/>
        </w:rPr>
      </w:pPr>
      <w:r>
        <w:rPr>
          <w:rFonts w:cs="Times New Roman"/>
          <w:noProof/>
          <w:szCs w:val="24"/>
        </w:rPr>
        <w:t>Gray’s test for equality of cumulative incidence functions p&lt;.0001. Note: dashed lines represent 95% confidence intervals.</w:t>
      </w:r>
    </w:p>
    <w:p w14:paraId="42925295" w14:textId="77777777" w:rsidR="007C2CDE" w:rsidRDefault="007C2CDE" w:rsidP="007C2CDE">
      <w:pPr>
        <w:tabs>
          <w:tab w:val="left" w:pos="4463"/>
        </w:tabs>
        <w:rPr>
          <w:rFonts w:cs="Times New Roman"/>
          <w:i/>
          <w:iCs/>
          <w:szCs w:val="24"/>
        </w:rPr>
      </w:pPr>
    </w:p>
    <w:p w14:paraId="0276EF6E" w14:textId="7F0E89DF" w:rsidR="007C2CDE" w:rsidRPr="008C4ECB" w:rsidRDefault="007C2CDE" w:rsidP="007C2CDE">
      <w:pPr>
        <w:tabs>
          <w:tab w:val="left" w:pos="4463"/>
        </w:tabs>
        <w:rPr>
          <w:rFonts w:cs="Times New Roman"/>
          <w:szCs w:val="24"/>
        </w:rPr>
      </w:pPr>
      <w:r w:rsidRPr="008C4ECB">
        <w:rPr>
          <w:rFonts w:cs="Times New Roman"/>
          <w:i/>
          <w:iCs/>
          <w:szCs w:val="24"/>
        </w:rPr>
        <w:lastRenderedPageBreak/>
        <w:t xml:space="preserve">Supplementary </w:t>
      </w:r>
      <w:r w:rsidR="006B62F3">
        <w:rPr>
          <w:rFonts w:cs="Times New Roman"/>
          <w:i/>
          <w:iCs/>
          <w:szCs w:val="24"/>
        </w:rPr>
        <w:t>Figure 1</w:t>
      </w:r>
      <w:r w:rsidRPr="008C4ECB">
        <w:rPr>
          <w:rFonts w:cs="Times New Roman"/>
          <w:i/>
          <w:iCs/>
          <w:szCs w:val="24"/>
        </w:rPr>
        <w:t>.</w:t>
      </w:r>
      <w:r>
        <w:rPr>
          <w:rFonts w:cs="Times New Roman"/>
          <w:i/>
          <w:iCs/>
          <w:szCs w:val="24"/>
        </w:rPr>
        <w:t>d</w:t>
      </w:r>
      <w:r w:rsidRPr="008C4ECB">
        <w:rPr>
          <w:rFonts w:cs="Times New Roman"/>
          <w:i/>
          <w:iCs/>
          <w:szCs w:val="24"/>
        </w:rPr>
        <w:t>.</w:t>
      </w:r>
      <w:r w:rsidRPr="008C4ECB">
        <w:rPr>
          <w:rFonts w:cs="Times New Roman"/>
          <w:szCs w:val="24"/>
        </w:rPr>
        <w:t xml:space="preserve"> Cumulative incidence </w:t>
      </w:r>
      <w:r>
        <w:rPr>
          <w:rFonts w:cs="Times New Roman"/>
          <w:szCs w:val="24"/>
        </w:rPr>
        <w:t xml:space="preserve">of follow-up colonoscopy </w:t>
      </w:r>
      <w:r w:rsidRPr="008C4ECB">
        <w:rPr>
          <w:rFonts w:cs="Times New Roman"/>
          <w:szCs w:val="24"/>
        </w:rPr>
        <w:t>by COPD status</w:t>
      </w:r>
    </w:p>
    <w:p w14:paraId="27CC0583" w14:textId="77777777" w:rsidR="007C2CDE" w:rsidRPr="00653E64" w:rsidRDefault="007C2CDE" w:rsidP="007C2CDE">
      <w:pPr>
        <w:tabs>
          <w:tab w:val="left" w:pos="4463"/>
        </w:tabs>
        <w:jc w:val="center"/>
        <w:rPr>
          <w:rFonts w:cs="Times New Roman"/>
          <w:szCs w:val="24"/>
        </w:rPr>
      </w:pPr>
      <w:r>
        <w:rPr>
          <w:rFonts w:cs="Times New Roman"/>
          <w:noProof/>
          <w:szCs w:val="24"/>
        </w:rPr>
        <w:drawing>
          <wp:inline distT="0" distB="0" distL="0" distR="0" wp14:anchorId="28A1EA45" wp14:editId="66A51289">
            <wp:extent cx="8418243" cy="4423144"/>
            <wp:effectExtent l="0" t="0" r="1905" b="0"/>
            <wp:docPr id="18" name="Picture 18"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circ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38168" cy="4433613"/>
                    </a:xfrm>
                    <a:prstGeom prst="rect">
                      <a:avLst/>
                    </a:prstGeom>
                    <a:noFill/>
                  </pic:spPr>
                </pic:pic>
              </a:graphicData>
            </a:graphic>
          </wp:inline>
        </w:drawing>
      </w:r>
    </w:p>
    <w:p w14:paraId="58FC2F0F" w14:textId="452CE6E0" w:rsidR="007C2CDE" w:rsidRDefault="007C2CDE" w:rsidP="007C2CDE">
      <w:pPr>
        <w:rPr>
          <w:rFonts w:cs="Times New Roman"/>
          <w:noProof/>
          <w:szCs w:val="24"/>
        </w:rPr>
      </w:pPr>
      <w:r w:rsidRPr="001640EB">
        <w:rPr>
          <w:rFonts w:cs="Times New Roman"/>
          <w:noProof/>
          <w:szCs w:val="24"/>
        </w:rPr>
        <w:t>Abbreviation</w:t>
      </w:r>
      <w:r w:rsidR="00F176EC">
        <w:rPr>
          <w:rFonts w:cs="Times New Roman"/>
          <w:noProof/>
          <w:szCs w:val="24"/>
        </w:rPr>
        <w:t>s</w:t>
      </w:r>
      <w:r w:rsidRPr="001640EB">
        <w:rPr>
          <w:rFonts w:cs="Times New Roman"/>
          <w:noProof/>
          <w:szCs w:val="24"/>
        </w:rPr>
        <w:t xml:space="preserve">: </w:t>
      </w:r>
      <w:r w:rsidR="00F176EC">
        <w:rPr>
          <w:rFonts w:cs="Times New Roman"/>
          <w:noProof/>
          <w:szCs w:val="24"/>
        </w:rPr>
        <w:t xml:space="preserve">chronic obstructive pulmonary disese, COPD; </w:t>
      </w:r>
      <w:r w:rsidRPr="001640EB">
        <w:rPr>
          <w:rFonts w:cs="Times New Roman"/>
          <w:noProof/>
          <w:szCs w:val="24"/>
        </w:rPr>
        <w:t>fecal occult blood test, FOBT</w:t>
      </w:r>
    </w:p>
    <w:p w14:paraId="5DA63354" w14:textId="77777777" w:rsidR="007C2CDE" w:rsidRDefault="007C2CDE" w:rsidP="007C2CDE">
      <w:pPr>
        <w:tabs>
          <w:tab w:val="left" w:pos="4463"/>
        </w:tabs>
        <w:rPr>
          <w:rFonts w:cs="Times New Roman"/>
          <w:i/>
          <w:iCs/>
          <w:szCs w:val="24"/>
        </w:rPr>
      </w:pPr>
      <w:r>
        <w:rPr>
          <w:rFonts w:cs="Times New Roman"/>
          <w:noProof/>
          <w:szCs w:val="24"/>
        </w:rPr>
        <w:t>Gray’s test for equality of cumulative incidence functions p&lt;.0001. Note: dashed lines represent 95% confidence intervals.</w:t>
      </w:r>
    </w:p>
    <w:p w14:paraId="4C0C1866" w14:textId="77777777" w:rsidR="007C2CDE" w:rsidRDefault="007C2CDE" w:rsidP="007C2CDE">
      <w:pPr>
        <w:tabs>
          <w:tab w:val="left" w:pos="4463"/>
        </w:tabs>
        <w:rPr>
          <w:rFonts w:cs="Times New Roman"/>
          <w:i/>
          <w:iCs/>
          <w:szCs w:val="24"/>
        </w:rPr>
      </w:pPr>
    </w:p>
    <w:p w14:paraId="0710D6B4" w14:textId="77777777" w:rsidR="007C2CDE" w:rsidRDefault="007C2CDE" w:rsidP="007C2CDE">
      <w:pPr>
        <w:tabs>
          <w:tab w:val="left" w:pos="4463"/>
        </w:tabs>
        <w:rPr>
          <w:rFonts w:cs="Times New Roman"/>
          <w:i/>
          <w:iCs/>
          <w:szCs w:val="24"/>
        </w:rPr>
      </w:pPr>
    </w:p>
    <w:p w14:paraId="2C095C1B" w14:textId="13D7A4FA" w:rsidR="007C2CDE" w:rsidRPr="008C4ECB" w:rsidRDefault="007C2CDE" w:rsidP="007C2CDE">
      <w:pPr>
        <w:tabs>
          <w:tab w:val="left" w:pos="4463"/>
        </w:tabs>
        <w:rPr>
          <w:rFonts w:cs="Times New Roman"/>
          <w:szCs w:val="24"/>
        </w:rPr>
      </w:pPr>
      <w:r w:rsidRPr="008C4ECB">
        <w:rPr>
          <w:rFonts w:cs="Times New Roman"/>
          <w:i/>
          <w:iCs/>
          <w:szCs w:val="24"/>
        </w:rPr>
        <w:lastRenderedPageBreak/>
        <w:t xml:space="preserve">Supplementary </w:t>
      </w:r>
      <w:r w:rsidR="006B62F3">
        <w:rPr>
          <w:rFonts w:cs="Times New Roman"/>
          <w:i/>
          <w:iCs/>
          <w:szCs w:val="24"/>
        </w:rPr>
        <w:t>Figure 1</w:t>
      </w:r>
      <w:r w:rsidRPr="008C4ECB">
        <w:rPr>
          <w:rFonts w:cs="Times New Roman"/>
          <w:i/>
          <w:iCs/>
          <w:szCs w:val="24"/>
        </w:rPr>
        <w:t>.</w:t>
      </w:r>
      <w:r>
        <w:rPr>
          <w:rFonts w:cs="Times New Roman"/>
          <w:i/>
          <w:iCs/>
          <w:szCs w:val="24"/>
        </w:rPr>
        <w:t>e</w:t>
      </w:r>
      <w:r w:rsidRPr="008C4ECB">
        <w:rPr>
          <w:rFonts w:cs="Times New Roman"/>
          <w:i/>
          <w:iCs/>
          <w:szCs w:val="24"/>
        </w:rPr>
        <w:t>.</w:t>
      </w:r>
      <w:r w:rsidRPr="008C4ECB">
        <w:rPr>
          <w:rFonts w:cs="Times New Roman"/>
          <w:szCs w:val="24"/>
        </w:rPr>
        <w:t xml:space="preserve"> Cumulative incidence </w:t>
      </w:r>
      <w:r>
        <w:rPr>
          <w:rFonts w:cs="Times New Roman"/>
          <w:szCs w:val="24"/>
        </w:rPr>
        <w:t xml:space="preserve">of follow-up colonoscopy </w:t>
      </w:r>
      <w:r w:rsidRPr="008C4ECB">
        <w:rPr>
          <w:rFonts w:cs="Times New Roman"/>
          <w:szCs w:val="24"/>
        </w:rPr>
        <w:t>by CHF status</w:t>
      </w:r>
    </w:p>
    <w:p w14:paraId="7E1F51CB" w14:textId="77777777" w:rsidR="007C2CDE" w:rsidRPr="008C4ECB" w:rsidRDefault="007C2CDE" w:rsidP="007C2CDE">
      <w:pPr>
        <w:tabs>
          <w:tab w:val="left" w:pos="4463"/>
        </w:tabs>
        <w:jc w:val="center"/>
        <w:rPr>
          <w:rFonts w:cs="Times New Roman"/>
          <w:szCs w:val="24"/>
        </w:rPr>
      </w:pPr>
      <w:r>
        <w:rPr>
          <w:rFonts w:cs="Times New Roman"/>
          <w:noProof/>
          <w:szCs w:val="24"/>
        </w:rPr>
        <w:drawing>
          <wp:inline distT="0" distB="0" distL="0" distR="0" wp14:anchorId="65C4F7D2" wp14:editId="50641C43">
            <wp:extent cx="8442251" cy="4922874"/>
            <wp:effectExtent l="0" t="0" r="0" b="0"/>
            <wp:docPr id="15" name="Picture 1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0688" cy="4939456"/>
                    </a:xfrm>
                    <a:prstGeom prst="rect">
                      <a:avLst/>
                    </a:prstGeom>
                    <a:noFill/>
                  </pic:spPr>
                </pic:pic>
              </a:graphicData>
            </a:graphic>
          </wp:inline>
        </w:drawing>
      </w:r>
    </w:p>
    <w:p w14:paraId="1291DEB9" w14:textId="15DD042D" w:rsidR="007C2CDE" w:rsidRDefault="007C2CDE" w:rsidP="007C2CDE">
      <w:pPr>
        <w:rPr>
          <w:rFonts w:cs="Times New Roman"/>
          <w:noProof/>
          <w:szCs w:val="24"/>
        </w:rPr>
      </w:pPr>
      <w:r w:rsidRPr="001640EB">
        <w:rPr>
          <w:rFonts w:cs="Times New Roman"/>
          <w:noProof/>
          <w:szCs w:val="24"/>
        </w:rPr>
        <w:t>Abbreviation</w:t>
      </w:r>
      <w:r w:rsidR="00F176EC">
        <w:rPr>
          <w:rFonts w:cs="Times New Roman"/>
          <w:noProof/>
          <w:szCs w:val="24"/>
        </w:rPr>
        <w:t>s</w:t>
      </w:r>
      <w:r w:rsidRPr="001640EB">
        <w:rPr>
          <w:rFonts w:cs="Times New Roman"/>
          <w:noProof/>
          <w:szCs w:val="24"/>
        </w:rPr>
        <w:t xml:space="preserve">: </w:t>
      </w:r>
      <w:r w:rsidR="00F176EC">
        <w:rPr>
          <w:rFonts w:cs="Times New Roman"/>
          <w:noProof/>
          <w:szCs w:val="24"/>
        </w:rPr>
        <w:t xml:space="preserve">congestive heart failure, CHF; </w:t>
      </w:r>
      <w:r w:rsidRPr="001640EB">
        <w:rPr>
          <w:rFonts w:cs="Times New Roman"/>
          <w:noProof/>
          <w:szCs w:val="24"/>
        </w:rPr>
        <w:t>fecal occult blood test, FOBT</w:t>
      </w:r>
    </w:p>
    <w:p w14:paraId="011A09FF" w14:textId="77777777" w:rsidR="007C2CDE" w:rsidRPr="008C4ECB" w:rsidRDefault="007C2CDE" w:rsidP="007C2CDE">
      <w:pPr>
        <w:tabs>
          <w:tab w:val="left" w:pos="4463"/>
        </w:tabs>
        <w:rPr>
          <w:rFonts w:cs="Times New Roman"/>
          <w:szCs w:val="24"/>
        </w:rPr>
      </w:pPr>
      <w:r>
        <w:rPr>
          <w:rFonts w:cs="Times New Roman"/>
          <w:noProof/>
          <w:szCs w:val="24"/>
        </w:rPr>
        <w:t>Gray’s test for equality of cumulative incidence functions p&lt;.0001. Note: dashed lines represent 95% confidence intervals.</w:t>
      </w:r>
    </w:p>
    <w:p w14:paraId="5EFE243F" w14:textId="617465DE" w:rsidR="007C2CDE" w:rsidRPr="008C4ECB" w:rsidRDefault="007C2CDE" w:rsidP="007C2CDE">
      <w:pPr>
        <w:tabs>
          <w:tab w:val="left" w:pos="4463"/>
        </w:tabs>
        <w:rPr>
          <w:rFonts w:cs="Times New Roman"/>
          <w:szCs w:val="24"/>
        </w:rPr>
      </w:pPr>
      <w:r w:rsidRPr="008C4ECB">
        <w:rPr>
          <w:rFonts w:cs="Times New Roman"/>
          <w:i/>
          <w:iCs/>
          <w:szCs w:val="24"/>
        </w:rPr>
        <w:lastRenderedPageBreak/>
        <w:t xml:space="preserve">Supplementary </w:t>
      </w:r>
      <w:r w:rsidR="006B62F3">
        <w:rPr>
          <w:rFonts w:cs="Times New Roman"/>
          <w:i/>
          <w:iCs/>
          <w:szCs w:val="24"/>
        </w:rPr>
        <w:t>Figure 1.</w:t>
      </w:r>
      <w:r>
        <w:rPr>
          <w:rFonts w:cs="Times New Roman"/>
          <w:i/>
          <w:iCs/>
          <w:szCs w:val="24"/>
        </w:rPr>
        <w:t>f</w:t>
      </w:r>
      <w:r w:rsidRPr="008C4ECB">
        <w:rPr>
          <w:rFonts w:cs="Times New Roman"/>
          <w:i/>
          <w:iCs/>
          <w:szCs w:val="24"/>
        </w:rPr>
        <w:t>.</w:t>
      </w:r>
      <w:r w:rsidRPr="008C4ECB">
        <w:rPr>
          <w:rFonts w:cs="Times New Roman"/>
          <w:szCs w:val="24"/>
        </w:rPr>
        <w:t xml:space="preserve"> Cumulative incidence</w:t>
      </w:r>
      <w:r>
        <w:rPr>
          <w:rFonts w:cs="Times New Roman"/>
          <w:szCs w:val="24"/>
        </w:rPr>
        <w:t xml:space="preserve"> of follow-up colonoscopy</w:t>
      </w:r>
      <w:r w:rsidRPr="008C4ECB">
        <w:rPr>
          <w:rFonts w:cs="Times New Roman"/>
          <w:szCs w:val="24"/>
        </w:rPr>
        <w:t xml:space="preserve"> by CVD status</w:t>
      </w:r>
    </w:p>
    <w:p w14:paraId="56C16FF6" w14:textId="77777777" w:rsidR="007C2CDE" w:rsidRPr="008C4ECB" w:rsidRDefault="007C2CDE" w:rsidP="007C2CDE">
      <w:pPr>
        <w:tabs>
          <w:tab w:val="left" w:pos="4463"/>
        </w:tabs>
        <w:jc w:val="center"/>
        <w:rPr>
          <w:rFonts w:cs="Times New Roman"/>
          <w:szCs w:val="24"/>
        </w:rPr>
      </w:pPr>
      <w:r>
        <w:rPr>
          <w:rFonts w:cs="Times New Roman"/>
          <w:noProof/>
          <w:szCs w:val="24"/>
        </w:rPr>
        <w:drawing>
          <wp:inline distT="0" distB="0" distL="0" distR="0" wp14:anchorId="2B9D228A" wp14:editId="4642C6B3">
            <wp:extent cx="8358153" cy="4763386"/>
            <wp:effectExtent l="0" t="0" r="5080" b="0"/>
            <wp:docPr id="16" name="Picture 16" descr="A picture containing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ircl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26478" cy="4802325"/>
                    </a:xfrm>
                    <a:prstGeom prst="rect">
                      <a:avLst/>
                    </a:prstGeom>
                    <a:noFill/>
                  </pic:spPr>
                </pic:pic>
              </a:graphicData>
            </a:graphic>
          </wp:inline>
        </w:drawing>
      </w:r>
    </w:p>
    <w:p w14:paraId="55F104F6" w14:textId="0ACB6A91" w:rsidR="007C2CDE" w:rsidRDefault="007C2CDE" w:rsidP="007C2CDE">
      <w:pPr>
        <w:rPr>
          <w:rFonts w:cs="Times New Roman"/>
          <w:noProof/>
          <w:szCs w:val="24"/>
        </w:rPr>
      </w:pPr>
      <w:r w:rsidRPr="001640EB">
        <w:rPr>
          <w:rFonts w:cs="Times New Roman"/>
          <w:noProof/>
          <w:szCs w:val="24"/>
        </w:rPr>
        <w:t>Abbreviation</w:t>
      </w:r>
      <w:r w:rsidR="00F176EC">
        <w:rPr>
          <w:rFonts w:cs="Times New Roman"/>
          <w:noProof/>
          <w:szCs w:val="24"/>
        </w:rPr>
        <w:t>s</w:t>
      </w:r>
      <w:r w:rsidRPr="001640EB">
        <w:rPr>
          <w:rFonts w:cs="Times New Roman"/>
          <w:noProof/>
          <w:szCs w:val="24"/>
        </w:rPr>
        <w:t xml:space="preserve">: </w:t>
      </w:r>
      <w:r w:rsidR="00F176EC">
        <w:rPr>
          <w:rFonts w:cs="Times New Roman"/>
          <w:noProof/>
          <w:szCs w:val="24"/>
        </w:rPr>
        <w:t xml:space="preserve">cardiovascular disease, CVD; </w:t>
      </w:r>
      <w:r w:rsidRPr="001640EB">
        <w:rPr>
          <w:rFonts w:cs="Times New Roman"/>
          <w:noProof/>
          <w:szCs w:val="24"/>
        </w:rPr>
        <w:t>fecal occult blood test, FOBT</w:t>
      </w:r>
    </w:p>
    <w:p w14:paraId="1A582DFB" w14:textId="77777777" w:rsidR="007C2CDE" w:rsidRDefault="007C2CDE" w:rsidP="007C2CDE">
      <w:pPr>
        <w:tabs>
          <w:tab w:val="left" w:pos="4463"/>
        </w:tabs>
        <w:rPr>
          <w:rFonts w:cs="Times New Roman"/>
          <w:i/>
          <w:iCs/>
          <w:szCs w:val="24"/>
        </w:rPr>
      </w:pPr>
      <w:r>
        <w:rPr>
          <w:rFonts w:cs="Times New Roman"/>
          <w:noProof/>
          <w:szCs w:val="24"/>
        </w:rPr>
        <w:t>Gray’s test for equality of cumulative incidence functions p&lt;.0001. Note: dashed lines represent 95% confidence intervals.</w:t>
      </w:r>
    </w:p>
    <w:p w14:paraId="43E8BD24" w14:textId="77777777" w:rsidR="007C2CDE" w:rsidRDefault="007C2CDE" w:rsidP="007C2CDE">
      <w:pPr>
        <w:tabs>
          <w:tab w:val="left" w:pos="4463"/>
        </w:tabs>
        <w:rPr>
          <w:rFonts w:cs="Times New Roman"/>
          <w:i/>
          <w:iCs/>
          <w:szCs w:val="24"/>
        </w:rPr>
      </w:pPr>
    </w:p>
    <w:p w14:paraId="52ACE871" w14:textId="2FB8C937" w:rsidR="007C2CDE" w:rsidRPr="003D52A7" w:rsidRDefault="007C2CDE" w:rsidP="007C2CDE">
      <w:pPr>
        <w:tabs>
          <w:tab w:val="left" w:pos="4463"/>
        </w:tabs>
        <w:rPr>
          <w:rFonts w:cs="Times New Roman"/>
          <w:i/>
          <w:iCs/>
          <w:szCs w:val="24"/>
        </w:rPr>
      </w:pPr>
      <w:r w:rsidRPr="008C4ECB">
        <w:rPr>
          <w:rFonts w:cs="Times New Roman"/>
          <w:i/>
          <w:iCs/>
          <w:szCs w:val="24"/>
        </w:rPr>
        <w:lastRenderedPageBreak/>
        <w:t xml:space="preserve">Supplementary </w:t>
      </w:r>
      <w:r w:rsidR="006B62F3">
        <w:rPr>
          <w:rFonts w:cs="Times New Roman"/>
          <w:i/>
          <w:iCs/>
          <w:szCs w:val="24"/>
        </w:rPr>
        <w:t>Figure 1</w:t>
      </w:r>
      <w:r w:rsidRPr="008C4ECB">
        <w:rPr>
          <w:rFonts w:cs="Times New Roman"/>
          <w:i/>
          <w:iCs/>
          <w:szCs w:val="24"/>
        </w:rPr>
        <w:t>.</w:t>
      </w:r>
      <w:r>
        <w:rPr>
          <w:rFonts w:cs="Times New Roman"/>
          <w:i/>
          <w:iCs/>
          <w:szCs w:val="24"/>
        </w:rPr>
        <w:t>g.</w:t>
      </w:r>
      <w:r w:rsidRPr="008C4ECB">
        <w:rPr>
          <w:rFonts w:cs="Times New Roman"/>
          <w:szCs w:val="24"/>
        </w:rPr>
        <w:t xml:space="preserve"> Cumulative incidence</w:t>
      </w:r>
      <w:r>
        <w:rPr>
          <w:rFonts w:cs="Times New Roman"/>
          <w:szCs w:val="24"/>
        </w:rPr>
        <w:t xml:space="preserve"> of follow-up colonoscopy</w:t>
      </w:r>
      <w:r w:rsidRPr="008C4ECB">
        <w:rPr>
          <w:rFonts w:cs="Times New Roman"/>
          <w:szCs w:val="24"/>
        </w:rPr>
        <w:t xml:space="preserve"> by mental illness category</w:t>
      </w:r>
    </w:p>
    <w:p w14:paraId="4E5E1323" w14:textId="77777777" w:rsidR="007C2CDE" w:rsidRPr="008C4ECB" w:rsidRDefault="007C2CDE" w:rsidP="007C2CDE">
      <w:pPr>
        <w:tabs>
          <w:tab w:val="left" w:pos="4463"/>
        </w:tabs>
        <w:jc w:val="center"/>
        <w:rPr>
          <w:rFonts w:cs="Times New Roman"/>
          <w:szCs w:val="24"/>
        </w:rPr>
      </w:pPr>
      <w:r>
        <w:rPr>
          <w:rFonts w:cs="Times New Roman"/>
          <w:noProof/>
          <w:szCs w:val="24"/>
        </w:rPr>
        <w:drawing>
          <wp:inline distT="0" distB="0" distL="0" distR="0" wp14:anchorId="0ACD8E35" wp14:editId="0AD53E2E">
            <wp:extent cx="8077698" cy="4890977"/>
            <wp:effectExtent l="0" t="0" r="0" b="5080"/>
            <wp:docPr id="20" name="Picture 2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5465" cy="4901735"/>
                    </a:xfrm>
                    <a:prstGeom prst="rect">
                      <a:avLst/>
                    </a:prstGeom>
                    <a:noFill/>
                  </pic:spPr>
                </pic:pic>
              </a:graphicData>
            </a:graphic>
          </wp:inline>
        </w:drawing>
      </w:r>
    </w:p>
    <w:p w14:paraId="0A1108A0" w14:textId="77777777" w:rsidR="007C2CDE" w:rsidRDefault="007C2CDE" w:rsidP="007C2CDE">
      <w:pPr>
        <w:rPr>
          <w:rFonts w:cs="Times New Roman"/>
          <w:noProof/>
          <w:szCs w:val="24"/>
        </w:rPr>
      </w:pPr>
      <w:r w:rsidRPr="001640EB">
        <w:rPr>
          <w:rFonts w:cs="Times New Roman"/>
          <w:noProof/>
          <w:szCs w:val="24"/>
        </w:rPr>
        <w:t>Abbreviation: fecal occult blood test, FOBT</w:t>
      </w:r>
    </w:p>
    <w:p w14:paraId="582A3DED" w14:textId="645EADD2" w:rsidR="00AC5E48" w:rsidRPr="00AC5E48" w:rsidRDefault="007C2CDE" w:rsidP="007C2CDE">
      <w:pPr>
        <w:tabs>
          <w:tab w:val="left" w:pos="3744"/>
        </w:tabs>
      </w:pPr>
      <w:r>
        <w:rPr>
          <w:rFonts w:cs="Times New Roman"/>
          <w:noProof/>
          <w:szCs w:val="24"/>
        </w:rPr>
        <w:t>Gray’s test for equality of cumulative incidence functions p&lt;.0001. Note: dashed lines represent 95% confidence intervals.</w:t>
      </w:r>
    </w:p>
    <w:sectPr w:rsidR="00AC5E48" w:rsidRPr="00AC5E48" w:rsidSect="007C2CD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7B76C" w14:textId="77777777" w:rsidR="00C46BA0" w:rsidRDefault="00C46BA0" w:rsidP="0083061B">
      <w:pPr>
        <w:spacing w:line="240" w:lineRule="auto"/>
      </w:pPr>
      <w:r>
        <w:separator/>
      </w:r>
    </w:p>
  </w:endnote>
  <w:endnote w:type="continuationSeparator" w:id="0">
    <w:p w14:paraId="43E81CF7" w14:textId="77777777" w:rsidR="00C46BA0" w:rsidRDefault="00C46BA0" w:rsidP="00830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8772401"/>
      <w:docPartObj>
        <w:docPartGallery w:val="Page Numbers (Bottom of Page)"/>
        <w:docPartUnique/>
      </w:docPartObj>
    </w:sdtPr>
    <w:sdtEndPr/>
    <w:sdtContent>
      <w:sdt>
        <w:sdtPr>
          <w:id w:val="-1769616900"/>
          <w:docPartObj>
            <w:docPartGallery w:val="Page Numbers (Top of Page)"/>
            <w:docPartUnique/>
          </w:docPartObj>
        </w:sdtPr>
        <w:sdtEndPr/>
        <w:sdtContent>
          <w:p w14:paraId="69A26706" w14:textId="2EA350BB" w:rsidR="0083061B" w:rsidRDefault="0083061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93E21BF" w14:textId="77777777" w:rsidR="0083061B" w:rsidRDefault="00830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D2099" w14:textId="77777777" w:rsidR="00C46BA0" w:rsidRDefault="00C46BA0" w:rsidP="0083061B">
      <w:pPr>
        <w:spacing w:line="240" w:lineRule="auto"/>
      </w:pPr>
      <w:r>
        <w:separator/>
      </w:r>
    </w:p>
  </w:footnote>
  <w:footnote w:type="continuationSeparator" w:id="0">
    <w:p w14:paraId="77CA0649" w14:textId="77777777" w:rsidR="00C46BA0" w:rsidRDefault="00C46BA0" w:rsidP="008306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5C08"/>
    <w:multiLevelType w:val="hybridMultilevel"/>
    <w:tmpl w:val="DB2CB7E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10C63543"/>
    <w:multiLevelType w:val="multilevel"/>
    <w:tmpl w:val="2438DC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0E1C23"/>
    <w:multiLevelType w:val="hybridMultilevel"/>
    <w:tmpl w:val="1A9E88EE"/>
    <w:lvl w:ilvl="0" w:tplc="33F234FC">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6D0D89"/>
    <w:multiLevelType w:val="hybridMultilevel"/>
    <w:tmpl w:val="59E88134"/>
    <w:lvl w:ilvl="0" w:tplc="3CD4EA0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868F6"/>
    <w:multiLevelType w:val="hybridMultilevel"/>
    <w:tmpl w:val="96548270"/>
    <w:lvl w:ilvl="0" w:tplc="5322900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1B"/>
    <w:rsid w:val="00046555"/>
    <w:rsid w:val="00086DB6"/>
    <w:rsid w:val="000B5061"/>
    <w:rsid w:val="000C377A"/>
    <w:rsid w:val="000D60B1"/>
    <w:rsid w:val="0014270C"/>
    <w:rsid w:val="001729BB"/>
    <w:rsid w:val="001A0354"/>
    <w:rsid w:val="001A1ABA"/>
    <w:rsid w:val="001D468D"/>
    <w:rsid w:val="00322A2E"/>
    <w:rsid w:val="003C5259"/>
    <w:rsid w:val="003D2972"/>
    <w:rsid w:val="00467894"/>
    <w:rsid w:val="00476165"/>
    <w:rsid w:val="004955B3"/>
    <w:rsid w:val="004D3A7E"/>
    <w:rsid w:val="00581F67"/>
    <w:rsid w:val="005B6A35"/>
    <w:rsid w:val="005F6EB1"/>
    <w:rsid w:val="006B62F3"/>
    <w:rsid w:val="006C03F3"/>
    <w:rsid w:val="006F2BB1"/>
    <w:rsid w:val="00706D24"/>
    <w:rsid w:val="007254FC"/>
    <w:rsid w:val="007C2CDE"/>
    <w:rsid w:val="007D1642"/>
    <w:rsid w:val="0083061B"/>
    <w:rsid w:val="008E6849"/>
    <w:rsid w:val="00906119"/>
    <w:rsid w:val="00A7331B"/>
    <w:rsid w:val="00AC5E48"/>
    <w:rsid w:val="00B32DBF"/>
    <w:rsid w:val="00BC090F"/>
    <w:rsid w:val="00BE351F"/>
    <w:rsid w:val="00BE45D1"/>
    <w:rsid w:val="00BF5FA3"/>
    <w:rsid w:val="00C46BA0"/>
    <w:rsid w:val="00CD1481"/>
    <w:rsid w:val="00D05FA3"/>
    <w:rsid w:val="00DE0BA2"/>
    <w:rsid w:val="00E20E6A"/>
    <w:rsid w:val="00E656A2"/>
    <w:rsid w:val="00EA1AED"/>
    <w:rsid w:val="00F176EC"/>
    <w:rsid w:val="00F37B70"/>
    <w:rsid w:val="00F4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AF4"/>
  <w15:chartTrackingRefBased/>
  <w15:docId w15:val="{D8D2F77E-612E-47D4-A560-E051CB96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1B"/>
    <w:pPr>
      <w:spacing w:after="0" w:line="360" w:lineRule="auto"/>
    </w:pPr>
    <w:rPr>
      <w:rFonts w:ascii="Times New Roman" w:hAnsi="Times New Roman"/>
      <w:sz w:val="24"/>
      <w:lang w:val="en-US"/>
    </w:rPr>
  </w:style>
  <w:style w:type="paragraph" w:styleId="Heading1">
    <w:name w:val="heading 1"/>
    <w:basedOn w:val="Normal"/>
    <w:next w:val="Normal"/>
    <w:link w:val="Heading1Char"/>
    <w:uiPriority w:val="9"/>
    <w:qFormat/>
    <w:rsid w:val="008306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06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061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61B"/>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3061B"/>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83061B"/>
    <w:rPr>
      <w:rFonts w:asciiTheme="majorHAnsi" w:eastAsiaTheme="majorEastAsia" w:hAnsiTheme="majorHAnsi" w:cstheme="majorBidi"/>
      <w:color w:val="1F3763" w:themeColor="accent1" w:themeShade="7F"/>
      <w:sz w:val="24"/>
      <w:szCs w:val="24"/>
      <w:lang w:val="en-US"/>
    </w:rPr>
  </w:style>
  <w:style w:type="paragraph" w:styleId="Header">
    <w:name w:val="header"/>
    <w:basedOn w:val="Normal"/>
    <w:link w:val="HeaderChar"/>
    <w:uiPriority w:val="99"/>
    <w:unhideWhenUsed/>
    <w:rsid w:val="0083061B"/>
    <w:pPr>
      <w:tabs>
        <w:tab w:val="center" w:pos="4680"/>
        <w:tab w:val="right" w:pos="9360"/>
      </w:tabs>
      <w:spacing w:line="240" w:lineRule="auto"/>
    </w:pPr>
  </w:style>
  <w:style w:type="character" w:customStyle="1" w:styleId="HeaderChar">
    <w:name w:val="Header Char"/>
    <w:basedOn w:val="DefaultParagraphFont"/>
    <w:link w:val="Header"/>
    <w:uiPriority w:val="99"/>
    <w:rsid w:val="0083061B"/>
    <w:rPr>
      <w:rFonts w:ascii="Times New Roman" w:hAnsi="Times New Roman"/>
      <w:sz w:val="24"/>
      <w:lang w:val="en-US"/>
    </w:rPr>
  </w:style>
  <w:style w:type="paragraph" w:styleId="Footer">
    <w:name w:val="footer"/>
    <w:basedOn w:val="Normal"/>
    <w:link w:val="FooterChar"/>
    <w:uiPriority w:val="99"/>
    <w:unhideWhenUsed/>
    <w:rsid w:val="0083061B"/>
    <w:pPr>
      <w:tabs>
        <w:tab w:val="center" w:pos="4680"/>
        <w:tab w:val="right" w:pos="9360"/>
      </w:tabs>
      <w:spacing w:line="240" w:lineRule="auto"/>
    </w:pPr>
  </w:style>
  <w:style w:type="character" w:customStyle="1" w:styleId="FooterChar">
    <w:name w:val="Footer Char"/>
    <w:basedOn w:val="DefaultParagraphFont"/>
    <w:link w:val="Footer"/>
    <w:uiPriority w:val="99"/>
    <w:rsid w:val="0083061B"/>
    <w:rPr>
      <w:rFonts w:ascii="Times New Roman" w:hAnsi="Times New Roman"/>
      <w:sz w:val="24"/>
      <w:lang w:val="en-US"/>
    </w:rPr>
  </w:style>
  <w:style w:type="paragraph" w:styleId="CommentText">
    <w:name w:val="annotation text"/>
    <w:basedOn w:val="Normal"/>
    <w:link w:val="CommentTextChar"/>
    <w:uiPriority w:val="99"/>
    <w:unhideWhenUsed/>
    <w:rsid w:val="0083061B"/>
    <w:pPr>
      <w:spacing w:line="240" w:lineRule="auto"/>
    </w:pPr>
    <w:rPr>
      <w:sz w:val="20"/>
      <w:szCs w:val="20"/>
    </w:rPr>
  </w:style>
  <w:style w:type="character" w:customStyle="1" w:styleId="CommentTextChar">
    <w:name w:val="Comment Text Char"/>
    <w:basedOn w:val="DefaultParagraphFont"/>
    <w:link w:val="CommentText"/>
    <w:uiPriority w:val="99"/>
    <w:rsid w:val="0083061B"/>
    <w:rPr>
      <w:rFonts w:ascii="Times New Roman" w:hAnsi="Times New Roman"/>
      <w:sz w:val="20"/>
      <w:szCs w:val="20"/>
      <w:lang w:val="en-US"/>
    </w:rPr>
  </w:style>
  <w:style w:type="character" w:customStyle="1" w:styleId="CommentSubjectChar">
    <w:name w:val="Comment Subject Char"/>
    <w:basedOn w:val="CommentTextChar"/>
    <w:link w:val="CommentSubject"/>
    <w:uiPriority w:val="99"/>
    <w:semiHidden/>
    <w:rsid w:val="0083061B"/>
    <w:rPr>
      <w:rFonts w:ascii="Times New Roman" w:hAnsi="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83061B"/>
    <w:rPr>
      <w:b/>
      <w:bCs/>
    </w:rPr>
  </w:style>
  <w:style w:type="character" w:customStyle="1" w:styleId="CommentSubjectChar1">
    <w:name w:val="Comment Subject Char1"/>
    <w:basedOn w:val="CommentTextChar"/>
    <w:uiPriority w:val="99"/>
    <w:semiHidden/>
    <w:rsid w:val="0083061B"/>
    <w:rPr>
      <w:rFonts w:ascii="Times New Roman" w:hAnsi="Times New Roman"/>
      <w:b/>
      <w:bCs/>
      <w:sz w:val="20"/>
      <w:szCs w:val="20"/>
      <w:lang w:val="en-US"/>
    </w:rPr>
  </w:style>
  <w:style w:type="character" w:customStyle="1" w:styleId="BalloonTextChar">
    <w:name w:val="Balloon Text Char"/>
    <w:basedOn w:val="DefaultParagraphFont"/>
    <w:link w:val="BalloonText"/>
    <w:uiPriority w:val="99"/>
    <w:semiHidden/>
    <w:rsid w:val="0083061B"/>
    <w:rPr>
      <w:rFonts w:ascii="Segoe UI" w:hAnsi="Segoe UI" w:cs="Segoe UI"/>
      <w:sz w:val="18"/>
      <w:szCs w:val="18"/>
      <w:lang w:val="en-US"/>
    </w:rPr>
  </w:style>
  <w:style w:type="paragraph" w:styleId="BalloonText">
    <w:name w:val="Balloon Text"/>
    <w:basedOn w:val="Normal"/>
    <w:link w:val="BalloonTextChar"/>
    <w:uiPriority w:val="99"/>
    <w:semiHidden/>
    <w:unhideWhenUsed/>
    <w:rsid w:val="0083061B"/>
    <w:pPr>
      <w:spacing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83061B"/>
    <w:rPr>
      <w:rFonts w:ascii="Segoe UI" w:hAnsi="Segoe UI" w:cs="Segoe UI"/>
      <w:sz w:val="18"/>
      <w:szCs w:val="18"/>
      <w:lang w:val="en-US"/>
    </w:rPr>
  </w:style>
  <w:style w:type="paragraph" w:styleId="ListParagraph">
    <w:name w:val="List Paragraph"/>
    <w:basedOn w:val="Normal"/>
    <w:uiPriority w:val="34"/>
    <w:qFormat/>
    <w:rsid w:val="0083061B"/>
    <w:pPr>
      <w:ind w:left="720"/>
      <w:contextualSpacing/>
    </w:pPr>
  </w:style>
  <w:style w:type="character" w:styleId="Hyperlink">
    <w:name w:val="Hyperlink"/>
    <w:basedOn w:val="DefaultParagraphFont"/>
    <w:uiPriority w:val="99"/>
    <w:unhideWhenUsed/>
    <w:rsid w:val="0083061B"/>
    <w:rPr>
      <w:color w:val="0563C1" w:themeColor="hyperlink"/>
      <w:u w:val="single"/>
    </w:rPr>
  </w:style>
  <w:style w:type="paragraph" w:styleId="Bibliography">
    <w:name w:val="Bibliography"/>
    <w:basedOn w:val="Normal"/>
    <w:next w:val="Normal"/>
    <w:uiPriority w:val="37"/>
    <w:unhideWhenUsed/>
    <w:rsid w:val="0083061B"/>
    <w:pPr>
      <w:tabs>
        <w:tab w:val="left" w:pos="624"/>
      </w:tabs>
      <w:spacing w:after="240" w:line="240" w:lineRule="auto"/>
      <w:ind w:left="624" w:hanging="624"/>
    </w:pPr>
  </w:style>
  <w:style w:type="paragraph" w:customStyle="1" w:styleId="Default">
    <w:name w:val="Default"/>
    <w:rsid w:val="0083061B"/>
    <w:pPr>
      <w:widowControl w:val="0"/>
      <w:autoSpaceDE w:val="0"/>
      <w:autoSpaceDN w:val="0"/>
      <w:adjustRightInd w:val="0"/>
      <w:spacing w:after="0" w:line="240" w:lineRule="auto"/>
    </w:pPr>
    <w:rPr>
      <w:rFonts w:ascii="Calibri" w:eastAsia="Times New Roman" w:hAnsi="Calibri" w:cs="Calibri"/>
      <w:color w:val="000000"/>
      <w:sz w:val="24"/>
      <w:szCs w:val="24"/>
      <w:lang w:eastAsia="en-CA"/>
    </w:rPr>
  </w:style>
  <w:style w:type="character" w:customStyle="1" w:styleId="copypaste3">
    <w:name w:val="copypaste3"/>
    <w:basedOn w:val="DefaultParagraphFont"/>
    <w:rsid w:val="0083061B"/>
  </w:style>
  <w:style w:type="character" w:customStyle="1" w:styleId="UnresolvedMention1">
    <w:name w:val="Unresolved Mention1"/>
    <w:basedOn w:val="DefaultParagraphFont"/>
    <w:uiPriority w:val="99"/>
    <w:semiHidden/>
    <w:unhideWhenUsed/>
    <w:rsid w:val="0083061B"/>
    <w:rPr>
      <w:color w:val="605E5C"/>
      <w:shd w:val="clear" w:color="auto" w:fill="E1DFDD"/>
    </w:rPr>
  </w:style>
  <w:style w:type="character" w:customStyle="1" w:styleId="FootnoteTextChar">
    <w:name w:val="Footnote Text Char"/>
    <w:basedOn w:val="DefaultParagraphFont"/>
    <w:link w:val="FootnoteText"/>
    <w:uiPriority w:val="99"/>
    <w:semiHidden/>
    <w:rsid w:val="0083061B"/>
    <w:rPr>
      <w:sz w:val="20"/>
      <w:szCs w:val="20"/>
      <w:lang w:val="en-US"/>
    </w:rPr>
  </w:style>
  <w:style w:type="paragraph" w:styleId="FootnoteText">
    <w:name w:val="footnote text"/>
    <w:basedOn w:val="Normal"/>
    <w:link w:val="FootnoteTextChar"/>
    <w:uiPriority w:val="99"/>
    <w:semiHidden/>
    <w:unhideWhenUsed/>
    <w:rsid w:val="0083061B"/>
    <w:pPr>
      <w:spacing w:line="240" w:lineRule="auto"/>
    </w:pPr>
    <w:rPr>
      <w:rFonts w:asciiTheme="minorHAnsi" w:hAnsiTheme="minorHAnsi"/>
      <w:sz w:val="20"/>
      <w:szCs w:val="20"/>
    </w:rPr>
  </w:style>
  <w:style w:type="character" w:customStyle="1" w:styleId="FootnoteTextChar1">
    <w:name w:val="Footnote Text Char1"/>
    <w:basedOn w:val="DefaultParagraphFont"/>
    <w:uiPriority w:val="99"/>
    <w:semiHidden/>
    <w:rsid w:val="0083061B"/>
    <w:rPr>
      <w:rFonts w:ascii="Times New Roman" w:hAnsi="Times New Roman"/>
      <w:sz w:val="20"/>
      <w:szCs w:val="20"/>
      <w:lang w:val="en-US"/>
    </w:rPr>
  </w:style>
  <w:style w:type="paragraph" w:styleId="NormalWeb">
    <w:name w:val="Normal (Web)"/>
    <w:basedOn w:val="Normal"/>
    <w:uiPriority w:val="99"/>
    <w:unhideWhenUsed/>
    <w:rsid w:val="0083061B"/>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83061B"/>
    <w:rPr>
      <w:i/>
      <w:iCs/>
    </w:rPr>
  </w:style>
  <w:style w:type="paragraph" w:customStyle="1" w:styleId="TableHeader">
    <w:name w:val="TableHeader"/>
    <w:basedOn w:val="Normal"/>
    <w:rsid w:val="0083061B"/>
    <w:pPr>
      <w:spacing w:before="120" w:line="240" w:lineRule="auto"/>
    </w:pPr>
    <w:rPr>
      <w:rFonts w:eastAsia="Times New Roman" w:cs="Times New Roman"/>
      <w:b/>
      <w:szCs w:val="20"/>
      <w:lang w:val="en-GB"/>
    </w:rPr>
  </w:style>
  <w:style w:type="paragraph" w:customStyle="1" w:styleId="TableNote">
    <w:name w:val="TableNote"/>
    <w:basedOn w:val="Normal"/>
    <w:rsid w:val="0083061B"/>
    <w:pPr>
      <w:spacing w:line="300" w:lineRule="exact"/>
    </w:pPr>
    <w:rPr>
      <w:rFonts w:eastAsia="Times New Roman" w:cs="Times New Roman"/>
      <w:szCs w:val="20"/>
      <w:lang w:val="en-GB"/>
    </w:rPr>
  </w:style>
  <w:style w:type="paragraph" w:customStyle="1" w:styleId="Abstracttext">
    <w:name w:val="Abstract text"/>
    <w:basedOn w:val="Normal"/>
    <w:rsid w:val="0083061B"/>
    <w:pPr>
      <w:spacing w:before="240" w:line="480" w:lineRule="auto"/>
    </w:pPr>
    <w:rPr>
      <w:rFonts w:eastAsia="Times New Roman" w:cs="Times New Roman"/>
      <w:szCs w:val="20"/>
      <w:lang w:eastAsia="en-CA"/>
    </w:rPr>
  </w:style>
  <w:style w:type="paragraph" w:customStyle="1" w:styleId="Abstract">
    <w:name w:val="Abstract"/>
    <w:basedOn w:val="Abstracttitle"/>
    <w:next w:val="Abstracttext"/>
    <w:rsid w:val="0083061B"/>
    <w:pPr>
      <w:jc w:val="left"/>
    </w:pPr>
    <w:rPr>
      <w:szCs w:val="32"/>
    </w:rPr>
  </w:style>
  <w:style w:type="paragraph" w:customStyle="1" w:styleId="Abstracttitle">
    <w:name w:val="Abstract title"/>
    <w:basedOn w:val="Normal"/>
    <w:rsid w:val="0083061B"/>
    <w:pPr>
      <w:spacing w:before="240"/>
      <w:jc w:val="center"/>
    </w:pPr>
    <w:rPr>
      <w:rFonts w:ascii="Arial" w:eastAsia="Times New Roman" w:hAnsi="Arial" w:cs="Times New Roman"/>
      <w:sz w:val="32"/>
      <w:szCs w:val="28"/>
      <w:lang w:eastAsia="en-CA"/>
    </w:rPr>
  </w:style>
  <w:style w:type="paragraph" w:customStyle="1" w:styleId="AbstractUofT">
    <w:name w:val="Abstract U of T"/>
    <w:basedOn w:val="Normal"/>
    <w:rsid w:val="0083061B"/>
    <w:pPr>
      <w:spacing w:before="240" w:line="240" w:lineRule="auto"/>
      <w:jc w:val="center"/>
    </w:pPr>
    <w:rPr>
      <w:rFonts w:eastAsia="Times New Roman" w:cs="Times New Roman"/>
      <w:szCs w:val="20"/>
      <w:lang w:eastAsia="en-CA"/>
    </w:rPr>
  </w:style>
  <w:style w:type="table" w:styleId="TableGrid">
    <w:name w:val="Table Grid"/>
    <w:basedOn w:val="TableNormal"/>
    <w:uiPriority w:val="39"/>
    <w:rsid w:val="008306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3061B"/>
    <w:pPr>
      <w:spacing w:line="259" w:lineRule="auto"/>
      <w:outlineLvl w:val="9"/>
    </w:pPr>
  </w:style>
  <w:style w:type="paragraph" w:styleId="TOC2">
    <w:name w:val="toc 2"/>
    <w:basedOn w:val="Normal"/>
    <w:next w:val="Normal"/>
    <w:autoRedefine/>
    <w:uiPriority w:val="39"/>
    <w:unhideWhenUsed/>
    <w:rsid w:val="0083061B"/>
    <w:pPr>
      <w:spacing w:after="100"/>
      <w:ind w:left="240"/>
    </w:pPr>
  </w:style>
  <w:style w:type="paragraph" w:styleId="TOC1">
    <w:name w:val="toc 1"/>
    <w:basedOn w:val="Normal"/>
    <w:next w:val="Normal"/>
    <w:autoRedefine/>
    <w:uiPriority w:val="39"/>
    <w:unhideWhenUsed/>
    <w:rsid w:val="0083061B"/>
    <w:pPr>
      <w:spacing w:after="100"/>
    </w:pPr>
  </w:style>
  <w:style w:type="paragraph" w:styleId="TOC3">
    <w:name w:val="toc 3"/>
    <w:basedOn w:val="Normal"/>
    <w:next w:val="Normal"/>
    <w:autoRedefine/>
    <w:uiPriority w:val="39"/>
    <w:unhideWhenUsed/>
    <w:rsid w:val="0083061B"/>
    <w:pPr>
      <w:spacing w:after="100" w:line="259" w:lineRule="auto"/>
      <w:ind w:left="440"/>
    </w:pPr>
    <w:rPr>
      <w:rFonts w:asciiTheme="minorHAnsi" w:eastAsiaTheme="minorEastAsia" w:hAnsiTheme="minorHAnsi" w:cs="Times New Roman"/>
      <w:sz w:val="22"/>
    </w:rPr>
  </w:style>
  <w:style w:type="table" w:styleId="PlainTable2">
    <w:name w:val="Plain Table 2"/>
    <w:basedOn w:val="TableNormal"/>
    <w:uiPriority w:val="42"/>
    <w:rsid w:val="0083061B"/>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iPriority w:val="99"/>
    <w:semiHidden/>
    <w:unhideWhenUsed/>
    <w:rsid w:val="0083061B"/>
    <w:rPr>
      <w:vertAlign w:val="superscript"/>
    </w:rPr>
  </w:style>
  <w:style w:type="character" w:styleId="EndnoteReference">
    <w:name w:val="endnote reference"/>
    <w:basedOn w:val="DefaultParagraphFont"/>
    <w:uiPriority w:val="99"/>
    <w:semiHidden/>
    <w:unhideWhenUsed/>
    <w:rsid w:val="0083061B"/>
    <w:rPr>
      <w:vertAlign w:val="superscript"/>
    </w:rPr>
  </w:style>
  <w:style w:type="paragraph" w:styleId="NoSpacing">
    <w:name w:val="No Spacing"/>
    <w:uiPriority w:val="1"/>
    <w:qFormat/>
    <w:rsid w:val="0083061B"/>
    <w:pPr>
      <w:spacing w:after="0" w:line="240" w:lineRule="auto"/>
    </w:pPr>
    <w:rPr>
      <w:rFonts w:ascii="Times New Roman" w:hAnsi="Times New Roman"/>
      <w:sz w:val="24"/>
      <w:lang w:val="en-US"/>
    </w:rPr>
  </w:style>
  <w:style w:type="character" w:styleId="CommentReference">
    <w:name w:val="annotation reference"/>
    <w:basedOn w:val="DefaultParagraphFont"/>
    <w:uiPriority w:val="99"/>
    <w:semiHidden/>
    <w:unhideWhenUsed/>
    <w:rsid w:val="0083061B"/>
    <w:rPr>
      <w:sz w:val="16"/>
      <w:szCs w:val="16"/>
    </w:rPr>
  </w:style>
  <w:style w:type="character" w:styleId="UnresolvedMention">
    <w:name w:val="Unresolved Mention"/>
    <w:basedOn w:val="DefaultParagraphFont"/>
    <w:uiPriority w:val="99"/>
    <w:semiHidden/>
    <w:unhideWhenUsed/>
    <w:rsid w:val="0083061B"/>
    <w:rPr>
      <w:color w:val="605E5C"/>
      <w:shd w:val="clear" w:color="auto" w:fill="E1DFDD"/>
    </w:rPr>
  </w:style>
  <w:style w:type="paragraph" w:styleId="Revision">
    <w:name w:val="Revision"/>
    <w:hidden/>
    <w:uiPriority w:val="99"/>
    <w:semiHidden/>
    <w:rsid w:val="001A0354"/>
    <w:pPr>
      <w:spacing w:after="0"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3958</Words>
  <Characters>22566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Bhatia</dc:creator>
  <cp:keywords/>
  <dc:description/>
  <cp:lastModifiedBy>Dominika Bhatia</cp:lastModifiedBy>
  <cp:revision>9</cp:revision>
  <dcterms:created xsi:type="dcterms:W3CDTF">2022-03-09T04:46:00Z</dcterms:created>
  <dcterms:modified xsi:type="dcterms:W3CDTF">2022-04-04T23:31:00Z</dcterms:modified>
</cp:coreProperties>
</file>