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"/>
        <w:tblW w:w="16405" w:type="dxa"/>
        <w:tblInd w:w="-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2835"/>
        <w:gridCol w:w="1276"/>
        <w:gridCol w:w="1276"/>
        <w:gridCol w:w="2409"/>
        <w:gridCol w:w="2340"/>
        <w:gridCol w:w="2268"/>
        <w:gridCol w:w="2304"/>
      </w:tblGrid>
      <w:tr w:rsidR="0078602B" w:rsidRPr="0078602B" w:rsidTr="00786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5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Supplementary table 3.</w:t>
            </w:r>
            <w:r w:rsidRPr="0078602B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 xml:space="preserve"> A sensitivity analysis for factors associated with the diagnosis of incident hypothyroidism for patients with a diagnosis of celiac disease among the pediatric cohort</w:t>
            </w:r>
          </w:p>
        </w:tc>
      </w:tr>
      <w:tr w:rsidR="0078602B" w:rsidRPr="0078602B" w:rsidTr="00786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single" w:sz="4" w:space="0" w:color="auto"/>
              <w:bottom w:val="nil"/>
            </w:tcBorders>
            <w:noWrap/>
            <w:hideMark/>
          </w:tcPr>
          <w:p w:rsidR="0078602B" w:rsidRPr="0078602B" w:rsidRDefault="0078602B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78602B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Hypothyroidism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</w:rPr>
              <w:t>Model I (Cox analysis)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</w:rPr>
              <w:t>Model II (Logistic regression)</w:t>
            </w:r>
          </w:p>
        </w:tc>
      </w:tr>
      <w:tr w:rsidR="0078602B" w:rsidRPr="0078602B" w:rsidTr="0078602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bottom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78602B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No, N (%)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Yes, N (%)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HR (95%CI), P</w:t>
            </w:r>
          </w:p>
        </w:tc>
        <w:tc>
          <w:tcPr>
            <w:tcW w:w="234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AdjHR(95%CI), P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OR(95%CI), P</w:t>
            </w:r>
          </w:p>
        </w:tc>
        <w:tc>
          <w:tcPr>
            <w:tcW w:w="2304" w:type="dxa"/>
            <w:tcBorders>
              <w:top w:val="nil"/>
              <w:left w:val="dashed" w:sz="4" w:space="0" w:color="auto"/>
              <w:bottom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AdjOR(95%CI), P</w:t>
            </w:r>
          </w:p>
        </w:tc>
      </w:tr>
      <w:tr w:rsidR="0078602B" w:rsidRPr="0078602B" w:rsidTr="00786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78602B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757 (98.1)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15 (1.9)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</w:tr>
      <w:tr w:rsidR="0078602B" w:rsidRPr="0078602B" w:rsidTr="0078602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78602B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Age, years median (IQR)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10 (7-14)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15 (10-19)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1.16 (1.03-1.29), 0.001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1.09 (1.02-1.17), 0.010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1.16 (1.04-1.30), 0.008</w:t>
            </w:r>
          </w:p>
        </w:tc>
        <w:tc>
          <w:tcPr>
            <w:tcW w:w="23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1.11 (1.03-1.19), 0.005</w:t>
            </w:r>
          </w:p>
        </w:tc>
      </w:tr>
      <w:tr w:rsidR="0078602B" w:rsidRPr="0078602B" w:rsidTr="00786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single" w:sz="4" w:space="0" w:color="auto"/>
              <w:bottom w:val="nil"/>
            </w:tcBorders>
            <w:noWrap/>
            <w:hideMark/>
          </w:tcPr>
          <w:p w:rsidR="0078602B" w:rsidRPr="0078602B" w:rsidRDefault="0078602B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78602B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Sex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Male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274 (99.6)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 (0.4)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304" w:type="dxa"/>
            <w:tcBorders>
              <w:top w:val="single" w:sz="4" w:space="0" w:color="auto"/>
              <w:left w:val="dashed" w:sz="4" w:space="0" w:color="auto"/>
              <w:bottom w:val="nil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</w:tr>
      <w:tr w:rsidR="0078602B" w:rsidRPr="0078602B" w:rsidTr="0078602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bottom w:val="single" w:sz="4" w:space="0" w:color="auto"/>
            </w:tcBorders>
            <w:noWrap/>
          </w:tcPr>
          <w:p w:rsidR="0078602B" w:rsidRPr="0078602B" w:rsidRDefault="0078602B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Female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483 (97.2)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14 (2.8)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7.95 (1.04-60.4), 0.045</w:t>
            </w:r>
          </w:p>
        </w:tc>
        <w:tc>
          <w:tcPr>
            <w:tcW w:w="234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6.94 (2.13-22.6), 0.001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7.79 (1.04-60.4), 0.045</w:t>
            </w:r>
          </w:p>
        </w:tc>
        <w:tc>
          <w:tcPr>
            <w:tcW w:w="2304" w:type="dxa"/>
            <w:tcBorders>
              <w:top w:val="nil"/>
              <w:left w:val="dashed" w:sz="4" w:space="0" w:color="auto"/>
              <w:bottom w:val="single" w:sz="4" w:space="0" w:color="auto"/>
            </w:tcBorders>
            <w:noWrap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7.04 (2.14-23.1), 0.001</w:t>
            </w:r>
          </w:p>
        </w:tc>
      </w:tr>
      <w:tr w:rsidR="0078602B" w:rsidRPr="0078602B" w:rsidTr="00786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single" w:sz="4" w:space="0" w:color="auto"/>
              <w:bottom w:val="nil"/>
            </w:tcBorders>
            <w:noWrap/>
            <w:hideMark/>
          </w:tcPr>
          <w:p w:rsidR="0078602B" w:rsidRPr="0078602B" w:rsidRDefault="0078602B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78602B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Ethnicity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Jew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468 (98.3)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8 (1.7)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304" w:type="dxa"/>
            <w:tcBorders>
              <w:top w:val="single" w:sz="4" w:space="0" w:color="auto"/>
              <w:left w:val="dashed" w:sz="4" w:space="0" w:color="auto"/>
              <w:bottom w:val="nil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</w:tr>
      <w:tr w:rsidR="0078602B" w:rsidRPr="0078602B" w:rsidTr="0078602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bottom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78602B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Others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289 (98.6)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7 (2.4)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1.24 (0.44-3.43), 0.676</w:t>
            </w:r>
          </w:p>
        </w:tc>
        <w:tc>
          <w:tcPr>
            <w:tcW w:w="234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1.41 (0.50-3.94), 0505</w:t>
            </w:r>
          </w:p>
        </w:tc>
        <w:tc>
          <w:tcPr>
            <w:tcW w:w="2304" w:type="dxa"/>
            <w:tcBorders>
              <w:top w:val="nil"/>
              <w:left w:val="dashed" w:sz="4" w:space="0" w:color="auto"/>
              <w:bottom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</w:tr>
      <w:tr w:rsidR="0078602B" w:rsidRPr="0078602B" w:rsidTr="00786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single" w:sz="4" w:space="0" w:color="auto"/>
              <w:bottom w:val="nil"/>
            </w:tcBorders>
            <w:noWrap/>
            <w:hideMark/>
          </w:tcPr>
          <w:p w:rsidR="0078602B" w:rsidRPr="0078602B" w:rsidRDefault="0078602B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78602B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SES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High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135 (98.5)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2 (1.5)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304" w:type="dxa"/>
            <w:tcBorders>
              <w:top w:val="single" w:sz="4" w:space="0" w:color="auto"/>
              <w:left w:val="dashed" w:sz="4" w:space="0" w:color="auto"/>
              <w:bottom w:val="nil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</w:tr>
      <w:tr w:rsidR="0078602B" w:rsidRPr="0078602B" w:rsidTr="0078602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bottom w:val="nil"/>
            </w:tcBorders>
            <w:noWrap/>
          </w:tcPr>
          <w:p w:rsidR="0078602B" w:rsidRPr="0078602B" w:rsidRDefault="0078602B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noWrap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Medium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229 (98.3)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noWrap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4 (1.7)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noWrap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1.16 (0.21-6.36), 0.860 </w:t>
            </w:r>
          </w:p>
        </w:tc>
        <w:tc>
          <w:tcPr>
            <w:tcW w:w="234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noWrap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noWrap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1.18(0.21-6.52), 0.850</w:t>
            </w:r>
          </w:p>
        </w:tc>
        <w:tc>
          <w:tcPr>
            <w:tcW w:w="2304" w:type="dxa"/>
            <w:tcBorders>
              <w:top w:val="nil"/>
              <w:left w:val="dashed" w:sz="4" w:space="0" w:color="auto"/>
              <w:bottom w:val="nil"/>
            </w:tcBorders>
            <w:noWrap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8602B" w:rsidRPr="0078602B" w:rsidTr="00786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bottom w:val="single" w:sz="4" w:space="0" w:color="auto"/>
            </w:tcBorders>
            <w:noWrap/>
          </w:tcPr>
          <w:p w:rsidR="0078602B" w:rsidRPr="0078602B" w:rsidRDefault="0078602B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Low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390 (97.7)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2 (1.5)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1.40 (0.30-6.52), 0.661</w:t>
            </w:r>
          </w:p>
        </w:tc>
        <w:tc>
          <w:tcPr>
            <w:tcW w:w="234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1.55 (0.33-7.30), 0.574</w:t>
            </w:r>
          </w:p>
        </w:tc>
        <w:tc>
          <w:tcPr>
            <w:tcW w:w="2304" w:type="dxa"/>
            <w:tcBorders>
              <w:top w:val="nil"/>
              <w:left w:val="dashed" w:sz="4" w:space="0" w:color="auto"/>
              <w:bottom w:val="single" w:sz="4" w:space="0" w:color="auto"/>
            </w:tcBorders>
            <w:noWrap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8602B" w:rsidRPr="0078602B" w:rsidTr="0078602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single" w:sz="4" w:space="0" w:color="auto"/>
              <w:bottom w:val="nil"/>
            </w:tcBorders>
            <w:noWrap/>
            <w:hideMark/>
          </w:tcPr>
          <w:p w:rsidR="0078602B" w:rsidRPr="0078602B" w:rsidRDefault="0078602B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78602B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Type 1 DM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720 (98.6)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10 (1.4)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304" w:type="dxa"/>
            <w:tcBorders>
              <w:top w:val="single" w:sz="4" w:space="0" w:color="auto"/>
              <w:left w:val="dashed" w:sz="4" w:space="0" w:color="auto"/>
              <w:bottom w:val="nil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</w:tr>
      <w:tr w:rsidR="0078602B" w:rsidRPr="0078602B" w:rsidTr="00786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bottom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78602B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Yes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37 (88.1)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5 (11.9)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8.61 (2.94-25.1), &lt;.001</w:t>
            </w:r>
          </w:p>
        </w:tc>
        <w:tc>
          <w:tcPr>
            <w:tcW w:w="234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4.45 (2.00-9.91), &lt;.001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9.73 (3.16-29.9), &lt;.001</w:t>
            </w:r>
          </w:p>
        </w:tc>
        <w:tc>
          <w:tcPr>
            <w:tcW w:w="2304" w:type="dxa"/>
            <w:tcBorders>
              <w:top w:val="nil"/>
              <w:left w:val="dashed" w:sz="4" w:space="0" w:color="auto"/>
              <w:bottom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4.78 (2.07-11.0), &lt;.001</w:t>
            </w:r>
          </w:p>
        </w:tc>
      </w:tr>
      <w:tr w:rsidR="0078602B" w:rsidRPr="0078602B" w:rsidTr="0078602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single" w:sz="4" w:space="0" w:color="auto"/>
              <w:bottom w:val="nil"/>
            </w:tcBorders>
            <w:noWrap/>
          </w:tcPr>
          <w:p w:rsidR="0078602B" w:rsidRPr="0078602B" w:rsidRDefault="0078602B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78602B">
              <w:rPr>
                <w:rFonts w:asciiTheme="minorBidi" w:eastAsia="Times New Roman" w:hAnsiTheme="minorBidi"/>
                <w:b w:val="0"/>
                <w:bCs w:val="0"/>
                <w:color w:val="000000"/>
                <w:sz w:val="20"/>
                <w:szCs w:val="20"/>
              </w:rPr>
              <w:t>Anti-tTG, anti-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Only anti-tTG is positive*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546 (98.2)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10 (1.8)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noWrap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noWrap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noWrap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304" w:type="dxa"/>
            <w:tcBorders>
              <w:top w:val="single" w:sz="4" w:space="0" w:color="auto"/>
              <w:left w:val="dashed" w:sz="4" w:space="0" w:color="auto"/>
              <w:bottom w:val="nil"/>
            </w:tcBorders>
            <w:noWrap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8602B" w:rsidRPr="0078602B" w:rsidTr="00786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bottom w:val="single" w:sz="4" w:space="0" w:color="auto"/>
            </w:tcBorders>
            <w:noWrap/>
          </w:tcPr>
          <w:p w:rsidR="0078602B" w:rsidRPr="0078602B" w:rsidRDefault="0078602B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78602B">
              <w:rPr>
                <w:rFonts w:asciiTheme="minorBidi" w:eastAsia="Times New Roman" w:hAnsiTheme="minorBidi"/>
                <w:b w:val="0"/>
                <w:bCs w:val="0"/>
                <w:color w:val="000000"/>
                <w:sz w:val="20"/>
                <w:szCs w:val="20"/>
              </w:rPr>
              <w:t>EMA status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Both anti-tTG &amp; anti-EMA are positive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211 (97.7)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5 (1.9)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1.41 (0.48-4.15), 0526</w:t>
            </w:r>
          </w:p>
        </w:tc>
        <w:tc>
          <w:tcPr>
            <w:tcW w:w="234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1.29 (0.43-3.83), 0.642</w:t>
            </w:r>
          </w:p>
        </w:tc>
        <w:tc>
          <w:tcPr>
            <w:tcW w:w="2304" w:type="dxa"/>
            <w:tcBorders>
              <w:top w:val="nil"/>
              <w:left w:val="dashed" w:sz="4" w:space="0" w:color="auto"/>
              <w:bottom w:val="single" w:sz="4" w:space="0" w:color="auto"/>
            </w:tcBorders>
            <w:noWrap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8602B" w:rsidRPr="0078602B" w:rsidTr="0078602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78602B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 xml:space="preserve">Celiac serology 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 xml:space="preserve">Normalized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476 (99.0)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5 (1.0)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304" w:type="dxa"/>
            <w:tcBorders>
              <w:top w:val="single" w:sz="4" w:space="0" w:color="auto"/>
              <w:left w:val="dashed" w:sz="4" w:space="0" w:color="auto"/>
              <w:bottom w:val="nil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</w:tr>
      <w:tr w:rsidR="0078602B" w:rsidRPr="0078602B" w:rsidTr="00786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noWrap/>
            <w:hideMark/>
          </w:tcPr>
          <w:p w:rsidR="0078602B" w:rsidRPr="0078602B" w:rsidRDefault="0078602B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78602B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Persistent positive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281(96.6)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10 (3.4)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2.83 (0.96-8.32), 0.058</w:t>
            </w:r>
          </w:p>
        </w:tc>
        <w:tc>
          <w:tcPr>
            <w:tcW w:w="234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1.77 (0.91-3.46), 0.094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3.89 (1.14-10.0), 0.027</w:t>
            </w:r>
          </w:p>
        </w:tc>
        <w:tc>
          <w:tcPr>
            <w:tcW w:w="2304" w:type="dxa"/>
            <w:tcBorders>
              <w:top w:val="nil"/>
              <w:left w:val="dashed" w:sz="4" w:space="0" w:color="auto"/>
              <w:bottom w:val="nil"/>
            </w:tcBorders>
            <w:noWrap/>
            <w:hideMark/>
          </w:tcPr>
          <w:p w:rsidR="0078602B" w:rsidRPr="0078602B" w:rsidRDefault="0078602B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78602B">
              <w:rPr>
                <w:rFonts w:asciiTheme="minorBidi" w:hAnsiTheme="minorBidi"/>
                <w:sz w:val="20"/>
                <w:szCs w:val="20"/>
              </w:rPr>
              <w:t>2.03 (1.02-4.02), 0.042</w:t>
            </w:r>
          </w:p>
        </w:tc>
      </w:tr>
      <w:tr w:rsidR="0078602B" w:rsidRPr="0078602B" w:rsidTr="007860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5" w:type="dxa"/>
            <w:gridSpan w:val="8"/>
            <w:noWrap/>
          </w:tcPr>
          <w:p w:rsidR="0078602B" w:rsidRPr="0078602B" w:rsidRDefault="0078602B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78602B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 xml:space="preserve">IQR: Interquartile Range; D.M.: Diabetes Mellitus; </w:t>
            </w:r>
            <w:proofErr w:type="spellStart"/>
            <w:r w:rsidRPr="0078602B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tTg</w:t>
            </w:r>
            <w:proofErr w:type="spellEnd"/>
            <w:r w:rsidRPr="0078602B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: tissue transglutaminase; ULN: Upper Limit Normal; EMA:  endomysial antibodies; Only anti-tTG is positive*- Anti-EMA is negative or absent; CD: Celiac Disease.</w:t>
            </w:r>
          </w:p>
        </w:tc>
      </w:tr>
    </w:tbl>
    <w:p w:rsidR="00465C0A" w:rsidRDefault="00465C0A" w:rsidP="0078602B">
      <w:pPr>
        <w:bidi w:val="0"/>
      </w:pPr>
      <w:bookmarkStart w:id="0" w:name="_GoBack"/>
      <w:bookmarkEnd w:id="0"/>
    </w:p>
    <w:sectPr w:rsidR="00465C0A" w:rsidSect="0078602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WwMDYwMjc3NTa3tDBT0lEKTi0uzszPAykwrAUAyeNxqSwAAAA="/>
  </w:docVars>
  <w:rsids>
    <w:rsidRoot w:val="0078602B"/>
    <w:rsid w:val="00465C0A"/>
    <w:rsid w:val="0078602B"/>
    <w:rsid w:val="00EA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73CDA-0413-4FF8-8CF6-3E4D2709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786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פרפ זהר לוי</dc:creator>
  <cp:keywords/>
  <dc:description/>
  <cp:lastModifiedBy>פרפ זהר לוי</cp:lastModifiedBy>
  <cp:revision>1</cp:revision>
  <dcterms:created xsi:type="dcterms:W3CDTF">2022-04-22T06:37:00Z</dcterms:created>
  <dcterms:modified xsi:type="dcterms:W3CDTF">2022-04-22T06:39:00Z</dcterms:modified>
</cp:coreProperties>
</file>