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C142" w14:textId="49FBE990" w:rsidR="00360BE6" w:rsidRPr="007961B8" w:rsidRDefault="007961B8">
      <w:pPr>
        <w:rPr>
          <w:rFonts w:ascii="Arial" w:hAnsi="Arial" w:cs="Arial"/>
          <w:b/>
          <w:bCs/>
        </w:rPr>
      </w:pPr>
      <w:r w:rsidRPr="007961B8">
        <w:rPr>
          <w:rFonts w:ascii="Arial" w:hAnsi="Arial" w:cs="Arial"/>
          <w:b/>
          <w:bCs/>
        </w:rPr>
        <w:t>Supplemental Tables.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4180"/>
      </w:tblGrid>
      <w:tr w:rsidR="00784D80" w:rsidRPr="00784D80" w14:paraId="0C823E80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B770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4D8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Supplemental Table 1: List of NSAIDs </w:t>
            </w:r>
          </w:p>
        </w:tc>
      </w:tr>
      <w:tr w:rsidR="00784D80" w:rsidRPr="00784D80" w14:paraId="6B8966C2" w14:textId="77777777" w:rsidTr="00784D80">
        <w:trPr>
          <w:trHeight w:val="27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5CCF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Celecoxib</w:t>
            </w:r>
          </w:p>
        </w:tc>
      </w:tr>
      <w:tr w:rsidR="00784D80" w:rsidRPr="00784D80" w14:paraId="3144C538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2088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Diclofenac</w:t>
            </w:r>
          </w:p>
        </w:tc>
      </w:tr>
      <w:tr w:rsidR="00784D80" w:rsidRPr="00784D80" w14:paraId="04E5987D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B795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Diclofenac/misoprostol</w:t>
            </w:r>
          </w:p>
        </w:tc>
      </w:tr>
      <w:tr w:rsidR="00784D80" w:rsidRPr="00784D80" w14:paraId="606A4FA5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037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Diflunisal</w:t>
            </w:r>
          </w:p>
        </w:tc>
      </w:tr>
      <w:tr w:rsidR="00784D80" w:rsidRPr="00784D80" w14:paraId="2F98D3DC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5BE8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Etodolac</w:t>
            </w:r>
          </w:p>
        </w:tc>
      </w:tr>
      <w:tr w:rsidR="00784D80" w:rsidRPr="00784D80" w14:paraId="65D936AF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6D13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Flurbiprofen</w:t>
            </w:r>
          </w:p>
        </w:tc>
      </w:tr>
      <w:tr w:rsidR="00784D80" w:rsidRPr="00784D80" w14:paraId="67D40FC6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E09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Ibuprofen</w:t>
            </w:r>
          </w:p>
        </w:tc>
      </w:tr>
      <w:tr w:rsidR="00784D80" w:rsidRPr="00784D80" w14:paraId="14683021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1D55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Indomethacin</w:t>
            </w:r>
          </w:p>
        </w:tc>
      </w:tr>
      <w:tr w:rsidR="00784D80" w:rsidRPr="00784D80" w14:paraId="5384E266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2B31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Ketoprofen</w:t>
            </w:r>
          </w:p>
        </w:tc>
      </w:tr>
      <w:tr w:rsidR="00784D80" w:rsidRPr="00784D80" w14:paraId="6CB179B9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369A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Ketorolac tromethamine</w:t>
            </w:r>
          </w:p>
        </w:tc>
      </w:tr>
      <w:tr w:rsidR="00784D80" w:rsidRPr="00784D80" w14:paraId="291C031E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EDB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Meloxicam</w:t>
            </w:r>
          </w:p>
        </w:tc>
      </w:tr>
      <w:tr w:rsidR="00784D80" w:rsidRPr="00784D80" w14:paraId="3303D6A1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5D9B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84D80">
              <w:rPr>
                <w:rFonts w:ascii="Arial" w:eastAsia="Times New Roman" w:hAnsi="Arial" w:cs="Arial"/>
                <w:color w:val="000000"/>
              </w:rPr>
              <w:t>Nabumetone</w:t>
            </w:r>
            <w:proofErr w:type="spellEnd"/>
          </w:p>
        </w:tc>
      </w:tr>
      <w:tr w:rsidR="00784D80" w:rsidRPr="00784D80" w14:paraId="018E413A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7BB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Naproxen</w:t>
            </w:r>
          </w:p>
        </w:tc>
      </w:tr>
      <w:tr w:rsidR="00784D80" w:rsidRPr="00784D80" w14:paraId="5B8CF39E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BB4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Naproxen/sumatriptan</w:t>
            </w:r>
          </w:p>
        </w:tc>
      </w:tr>
      <w:tr w:rsidR="00784D80" w:rsidRPr="00784D80" w14:paraId="254AFFBC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E7CA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84D80">
              <w:rPr>
                <w:rFonts w:ascii="Arial" w:eastAsia="Times New Roman" w:hAnsi="Arial" w:cs="Arial"/>
                <w:color w:val="000000"/>
              </w:rPr>
              <w:t>Oxaprozin</w:t>
            </w:r>
            <w:proofErr w:type="spellEnd"/>
          </w:p>
        </w:tc>
      </w:tr>
      <w:tr w:rsidR="00784D80" w:rsidRPr="00784D80" w14:paraId="7350BFEF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07C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Piroxicam</w:t>
            </w:r>
          </w:p>
        </w:tc>
      </w:tr>
      <w:tr w:rsidR="00784D80" w:rsidRPr="00784D80" w14:paraId="5F5ECE92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A53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84D80">
              <w:rPr>
                <w:rFonts w:ascii="Arial" w:eastAsia="Times New Roman" w:hAnsi="Arial" w:cs="Arial"/>
                <w:color w:val="000000"/>
              </w:rPr>
              <w:t>Salsalate</w:t>
            </w:r>
            <w:proofErr w:type="spellEnd"/>
          </w:p>
        </w:tc>
      </w:tr>
      <w:tr w:rsidR="00784D80" w:rsidRPr="00784D80" w14:paraId="34BC220F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0F2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Sulindac</w:t>
            </w:r>
          </w:p>
        </w:tc>
      </w:tr>
      <w:tr w:rsidR="00784D80" w:rsidRPr="00784D80" w14:paraId="582BEEC7" w14:textId="77777777" w:rsidTr="00784D80">
        <w:trPr>
          <w:trHeight w:val="27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3BD" w14:textId="77777777" w:rsidR="00784D80" w:rsidRPr="00784D80" w:rsidRDefault="00784D80" w:rsidP="00784D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4D80">
              <w:rPr>
                <w:rFonts w:ascii="Arial" w:eastAsia="Times New Roman" w:hAnsi="Arial" w:cs="Arial"/>
                <w:color w:val="000000"/>
              </w:rPr>
              <w:t>Tolmetin</w:t>
            </w:r>
          </w:p>
        </w:tc>
      </w:tr>
    </w:tbl>
    <w:p w14:paraId="603C2163" w14:textId="4893D9FB" w:rsidR="007961B8" w:rsidRDefault="007961B8"/>
    <w:p w14:paraId="2BB21E17" w14:textId="1F55EB4C" w:rsidR="007961B8" w:rsidRDefault="007961B8"/>
    <w:p w14:paraId="3E308C44" w14:textId="6781D562" w:rsidR="007961B8" w:rsidRDefault="007961B8"/>
    <w:p w14:paraId="7AE3F1C8" w14:textId="15BF760D" w:rsidR="007961B8" w:rsidRDefault="007961B8"/>
    <w:p w14:paraId="6D2095E1" w14:textId="1622CBAE" w:rsidR="007961B8" w:rsidRDefault="007961B8"/>
    <w:p w14:paraId="4FEC9E43" w14:textId="43805831" w:rsidR="007961B8" w:rsidRDefault="007961B8"/>
    <w:p w14:paraId="2DC42033" w14:textId="58141A8B" w:rsidR="007961B8" w:rsidRDefault="007961B8"/>
    <w:p w14:paraId="164B346B" w14:textId="5E26B241" w:rsidR="007961B8" w:rsidRDefault="007961B8"/>
    <w:p w14:paraId="0D914919" w14:textId="19AE03A0" w:rsidR="007961B8" w:rsidRDefault="007961B8"/>
    <w:p w14:paraId="43CDC5CD" w14:textId="482A178C" w:rsidR="007961B8" w:rsidRDefault="007961B8"/>
    <w:p w14:paraId="11D63A0B" w14:textId="627D65DA" w:rsidR="007961B8" w:rsidRDefault="007961B8"/>
    <w:p w14:paraId="7FB93C53" w14:textId="004C3E15" w:rsidR="007961B8" w:rsidRDefault="007961B8"/>
    <w:p w14:paraId="07F65DE9" w14:textId="117D628E" w:rsidR="007961B8" w:rsidRDefault="007961B8"/>
    <w:p w14:paraId="123A9834" w14:textId="6CEDB713" w:rsidR="007961B8" w:rsidRDefault="007961B8"/>
    <w:p w14:paraId="76955497" w14:textId="77777777" w:rsidR="007961B8" w:rsidRDefault="007961B8"/>
    <w:tbl>
      <w:tblPr>
        <w:tblW w:w="7040" w:type="dxa"/>
        <w:tblLook w:val="04A0" w:firstRow="1" w:lastRow="0" w:firstColumn="1" w:lastColumn="0" w:noHBand="0" w:noVBand="1"/>
      </w:tblPr>
      <w:tblGrid>
        <w:gridCol w:w="5265"/>
        <w:gridCol w:w="1775"/>
      </w:tblGrid>
      <w:tr w:rsidR="007961B8" w:rsidRPr="00D72685" w14:paraId="7816C93D" w14:textId="77777777" w:rsidTr="009822B2">
        <w:trPr>
          <w:trHeight w:val="52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9ED9CF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68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Supplemental Table 2. Characteristics of subgroup of patients with both an NSAID exposure and at least one IBD exacerbation</w:t>
            </w:r>
          </w:p>
        </w:tc>
      </w:tr>
      <w:tr w:rsidR="007961B8" w:rsidRPr="00D72685" w14:paraId="6CE4190C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D3330B5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Subgroup (N)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FE059DB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3,968</w:t>
            </w:r>
          </w:p>
        </w:tc>
      </w:tr>
      <w:tr w:rsidR="007961B8" w:rsidRPr="00D72685" w14:paraId="7018E02C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D02F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Follow-up in years, mean (SD)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110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8.02 (3.13)</w:t>
            </w:r>
          </w:p>
        </w:tc>
      </w:tr>
      <w:tr w:rsidR="007961B8" w:rsidRPr="00D72685" w14:paraId="3FB69C43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55CDE44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Demographics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6C787EE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61B8" w:rsidRPr="00D72685" w14:paraId="27BB632F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959845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Age in years, mean (SD)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FF786B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50.8 (14.8)</w:t>
            </w:r>
          </w:p>
        </w:tc>
      </w:tr>
      <w:tr w:rsidR="007961B8" w:rsidRPr="00D72685" w14:paraId="351C717D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D8D265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Gender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0C621B" w14:textId="77777777" w:rsidR="007961B8" w:rsidRPr="00D72685" w:rsidRDefault="007961B8" w:rsidP="00982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26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61B8" w:rsidRPr="00D72685" w14:paraId="31F03385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8D6C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26E0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3,629 (91.5%)</w:t>
            </w:r>
          </w:p>
        </w:tc>
      </w:tr>
      <w:tr w:rsidR="007961B8" w:rsidRPr="00D72685" w14:paraId="3E3E8244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4E7B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45D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339 (8.5%)</w:t>
            </w:r>
          </w:p>
        </w:tc>
      </w:tr>
      <w:tr w:rsidR="007961B8" w:rsidRPr="00D72685" w14:paraId="3E2F4307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18358E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CB7408" w14:textId="77777777" w:rsidR="007961B8" w:rsidRPr="00D72685" w:rsidRDefault="007961B8" w:rsidP="00982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26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61B8" w:rsidRPr="00D72685" w14:paraId="3157D8CF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181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White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C329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2,848 (71.8%)</w:t>
            </w:r>
          </w:p>
        </w:tc>
      </w:tr>
      <w:tr w:rsidR="007961B8" w:rsidRPr="00D72685" w14:paraId="6D0C2095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9AB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1F00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497 (12.5%)</w:t>
            </w:r>
          </w:p>
        </w:tc>
      </w:tr>
      <w:tr w:rsidR="007961B8" w:rsidRPr="00D72685" w14:paraId="6C0E6DEF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EF51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9B38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361 (9.1%)</w:t>
            </w:r>
          </w:p>
        </w:tc>
      </w:tr>
      <w:tr w:rsidR="007961B8" w:rsidRPr="00D72685" w14:paraId="0333F0D7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C6BAE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IBD type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B9D73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61B8" w:rsidRPr="00D72685" w14:paraId="026C6E22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1F96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Crohn's disease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BDE3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1,301 (32.8%)</w:t>
            </w:r>
          </w:p>
        </w:tc>
      </w:tr>
      <w:tr w:rsidR="007961B8" w:rsidRPr="00D72685" w14:paraId="0521A300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B877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Ulcerative colitis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63DC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1,817 (45.8%)</w:t>
            </w:r>
          </w:p>
        </w:tc>
      </w:tr>
      <w:tr w:rsidR="007961B8" w:rsidRPr="00D72685" w14:paraId="73299949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3B0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Indeterminate colitis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AC16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850 (21.4%)</w:t>
            </w:r>
          </w:p>
        </w:tc>
      </w:tr>
      <w:tr w:rsidR="007961B8" w:rsidRPr="00D72685" w14:paraId="02FF15A6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EA88CC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 xml:space="preserve">Charlson comorbidity </w:t>
            </w:r>
            <w:proofErr w:type="gramStart"/>
            <w:r w:rsidRPr="00D72685">
              <w:rPr>
                <w:rFonts w:ascii="Arial" w:eastAsia="Times New Roman" w:hAnsi="Arial" w:cs="Arial"/>
                <w:color w:val="000000"/>
              </w:rPr>
              <w:t>index,  mean</w:t>
            </w:r>
            <w:proofErr w:type="gramEnd"/>
            <w:r w:rsidRPr="00D72685">
              <w:rPr>
                <w:rFonts w:ascii="Arial" w:eastAsia="Times New Roman" w:hAnsi="Arial" w:cs="Arial"/>
                <w:color w:val="000000"/>
              </w:rPr>
              <w:t>, (SD)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8EB694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0.04 (0.33)</w:t>
            </w:r>
          </w:p>
        </w:tc>
      </w:tr>
      <w:tr w:rsidR="007961B8" w:rsidRPr="00D72685" w14:paraId="3ECC6B71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E3888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Baseline Immunomodulator or biologic use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B67DD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1,069 (26.9%)</w:t>
            </w:r>
          </w:p>
        </w:tc>
      </w:tr>
      <w:tr w:rsidR="007961B8" w:rsidRPr="00D72685" w14:paraId="5F12F1BB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A5F1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No immunomodulator or biologic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ADC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3,209 (80.9%)</w:t>
            </w:r>
          </w:p>
        </w:tc>
      </w:tr>
      <w:tr w:rsidR="007961B8" w:rsidRPr="00D72685" w14:paraId="2A38718F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7DDA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Immunomodulator use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1C1D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662 (16.7%)</w:t>
            </w:r>
          </w:p>
        </w:tc>
      </w:tr>
      <w:tr w:rsidR="007961B8" w:rsidRPr="00D72685" w14:paraId="36B8B146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983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Biologic use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A22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406 (10.2%)</w:t>
            </w:r>
          </w:p>
        </w:tc>
      </w:tr>
      <w:tr w:rsidR="007961B8" w:rsidRPr="00D72685" w14:paraId="7D08AA11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75A9BD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Biologic type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FD934C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61B8" w:rsidRPr="00D72685" w14:paraId="6DF9A8EC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37C0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Infliximab use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980B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261 (6.6%)</w:t>
            </w:r>
          </w:p>
        </w:tc>
      </w:tr>
      <w:tr w:rsidR="007961B8" w:rsidRPr="00D72685" w14:paraId="10BF8A4E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5827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Adalimumab use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91BB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258 (6.5%)</w:t>
            </w:r>
          </w:p>
        </w:tc>
      </w:tr>
      <w:tr w:rsidR="007961B8" w:rsidRPr="00D72685" w14:paraId="324154C7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7DDF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Certolizumab use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9BF2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 xml:space="preserve">40 (1.0%) </w:t>
            </w:r>
          </w:p>
        </w:tc>
      </w:tr>
      <w:tr w:rsidR="007961B8" w:rsidRPr="00D72685" w14:paraId="7E19E27B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E232C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Region</w:t>
            </w:r>
            <w:r w:rsidRPr="00D726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</w:t>
            </w:r>
            <w:r w:rsidRPr="00D72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81066" w14:textId="77777777" w:rsidR="007961B8" w:rsidRPr="00D72685" w:rsidRDefault="007961B8" w:rsidP="00982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26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61B8" w:rsidRPr="00D72685" w14:paraId="2EEB258A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930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Continental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BDB1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643 (16.2%)</w:t>
            </w:r>
          </w:p>
        </w:tc>
      </w:tr>
      <w:tr w:rsidR="007961B8" w:rsidRPr="00D72685" w14:paraId="7A8F4626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EABD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Midwest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12B3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905 (22.8%)</w:t>
            </w:r>
          </w:p>
        </w:tc>
      </w:tr>
      <w:tr w:rsidR="007961B8" w:rsidRPr="00D72685" w14:paraId="4DE9F110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1A03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North Atlantic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C8D1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920 (23.2%)</w:t>
            </w:r>
          </w:p>
        </w:tc>
      </w:tr>
      <w:tr w:rsidR="007961B8" w:rsidRPr="00D72685" w14:paraId="29D6D17E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576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Pacific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00C1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659 (16.6%)</w:t>
            </w:r>
          </w:p>
        </w:tc>
      </w:tr>
      <w:tr w:rsidR="007961B8" w:rsidRPr="00D72685" w14:paraId="0609F898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F66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Southeast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D09E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789 (19.9%)</w:t>
            </w:r>
          </w:p>
        </w:tc>
      </w:tr>
      <w:tr w:rsidR="007961B8" w:rsidRPr="00D72685" w14:paraId="14E234DD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5BA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A77C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52 (1.3%)</w:t>
            </w:r>
          </w:p>
        </w:tc>
      </w:tr>
      <w:tr w:rsidR="007961B8" w:rsidRPr="00D72685" w14:paraId="003ADE09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12BC94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 xml:space="preserve">Location of residence (n, %)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D95FBD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61B8" w:rsidRPr="00D72685" w14:paraId="570D4567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4A2DC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 xml:space="preserve">Urban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B67A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3,616 (91.1%)</w:t>
            </w:r>
          </w:p>
        </w:tc>
      </w:tr>
      <w:tr w:rsidR="007961B8" w:rsidRPr="00D72685" w14:paraId="18387299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C6D84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Rural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2669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228 (5.7%)</w:t>
            </w:r>
          </w:p>
        </w:tc>
      </w:tr>
      <w:tr w:rsidR="007961B8" w:rsidRPr="00D72685" w14:paraId="19392710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911300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Facility complexity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92C26B" w14:textId="77777777" w:rsidR="007961B8" w:rsidRPr="00D72685" w:rsidRDefault="007961B8" w:rsidP="00982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26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61B8" w:rsidRPr="00D72685" w14:paraId="5F052629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6063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Highest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978F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1,739 (43.8%)</w:t>
            </w:r>
          </w:p>
        </w:tc>
      </w:tr>
      <w:tr w:rsidR="007961B8" w:rsidRPr="00D72685" w14:paraId="6D5CD2AB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CB3C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9C8F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802 (20.2%)</w:t>
            </w:r>
          </w:p>
        </w:tc>
      </w:tr>
      <w:tr w:rsidR="007961B8" w:rsidRPr="00D72685" w14:paraId="4D2F54EC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AD738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Mid-high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4CD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781 (19.7%)</w:t>
            </w:r>
          </w:p>
        </w:tc>
      </w:tr>
      <w:tr w:rsidR="007961B8" w:rsidRPr="00D72685" w14:paraId="7E1932B3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C384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Medium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7A5D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248 (6.2%)</w:t>
            </w:r>
          </w:p>
        </w:tc>
      </w:tr>
      <w:tr w:rsidR="007961B8" w:rsidRPr="00D72685" w14:paraId="26F603EC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F2F7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C3F9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346 (8.7%)</w:t>
            </w:r>
          </w:p>
        </w:tc>
      </w:tr>
      <w:tr w:rsidR="007961B8" w:rsidRPr="00D72685" w14:paraId="5F11992E" w14:textId="77777777" w:rsidTr="009822B2">
        <w:trPr>
          <w:trHeight w:val="288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2DC1" w14:textId="77777777" w:rsidR="007961B8" w:rsidRPr="00D72685" w:rsidRDefault="007961B8" w:rsidP="009822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27B9" w14:textId="77777777" w:rsidR="007961B8" w:rsidRPr="00D72685" w:rsidRDefault="007961B8" w:rsidP="0098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685">
              <w:rPr>
                <w:rFonts w:ascii="Arial" w:eastAsia="Times New Roman" w:hAnsi="Arial" w:cs="Arial"/>
                <w:color w:val="000000"/>
              </w:rPr>
              <w:t>52 (1.3%)</w:t>
            </w:r>
          </w:p>
        </w:tc>
      </w:tr>
    </w:tbl>
    <w:p w14:paraId="719FF319" w14:textId="77777777" w:rsidR="007961B8" w:rsidRDefault="007961B8"/>
    <w:sectPr w:rsidR="0079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B8"/>
    <w:rsid w:val="00360BE6"/>
    <w:rsid w:val="00563F73"/>
    <w:rsid w:val="005D1A5F"/>
    <w:rsid w:val="00784D80"/>
    <w:rsid w:val="007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DF4F"/>
  <w15:chartTrackingRefBased/>
  <w15:docId w15:val="{AAF0A7BD-DB80-4022-98BF-7BD6B234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Cohen-Mekelburg</dc:creator>
  <cp:keywords/>
  <dc:description/>
  <cp:lastModifiedBy>Cohen-Mekelburg, Shirley</cp:lastModifiedBy>
  <cp:revision>2</cp:revision>
  <dcterms:created xsi:type="dcterms:W3CDTF">2021-12-02T15:00:00Z</dcterms:created>
  <dcterms:modified xsi:type="dcterms:W3CDTF">2021-12-03T14:53:00Z</dcterms:modified>
</cp:coreProperties>
</file>