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EF58" w14:textId="3C6EE67A" w:rsidR="005940E9" w:rsidRPr="00172E02" w:rsidRDefault="00132A5B" w:rsidP="005940E9">
      <w:pPr>
        <w:rPr>
          <w:lang w:val="en-US"/>
        </w:rPr>
      </w:pPr>
      <w:r w:rsidRPr="00172E02">
        <w:rPr>
          <w:lang w:val="en-US"/>
        </w:rPr>
        <w:t xml:space="preserve">Supplementary Table 1 - </w:t>
      </w:r>
      <w:r w:rsidR="005940E9" w:rsidRPr="00172E02">
        <w:rPr>
          <w:lang w:val="en-US"/>
        </w:rPr>
        <w:t>Backwards stepwise selection for covariates (p&lt;0.15 for inclusion in adjusted model)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3"/>
        <w:gridCol w:w="1983"/>
      </w:tblGrid>
      <w:tr w:rsidR="005940E9" w:rsidRPr="00172E02" w14:paraId="5EB9E0E1" w14:textId="77777777" w:rsidTr="0092498F">
        <w:tc>
          <w:tcPr>
            <w:tcW w:w="4675" w:type="dxa"/>
          </w:tcPr>
          <w:p w14:paraId="5C47F36F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Variable</w:t>
            </w:r>
          </w:p>
        </w:tc>
        <w:tc>
          <w:tcPr>
            <w:tcW w:w="1983" w:type="dxa"/>
          </w:tcPr>
          <w:p w14:paraId="4F52DBD0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OR (95% CI)</w:t>
            </w:r>
          </w:p>
        </w:tc>
        <w:tc>
          <w:tcPr>
            <w:tcW w:w="1983" w:type="dxa"/>
          </w:tcPr>
          <w:p w14:paraId="38C7A962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p-value</w:t>
            </w:r>
          </w:p>
        </w:tc>
      </w:tr>
      <w:tr w:rsidR="005940E9" w:rsidRPr="00172E02" w14:paraId="33F72A2A" w14:textId="77777777" w:rsidTr="0092498F">
        <w:tc>
          <w:tcPr>
            <w:tcW w:w="4675" w:type="dxa"/>
          </w:tcPr>
          <w:p w14:paraId="1BF4EE22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Prior anti-TNF exposure</w:t>
            </w:r>
          </w:p>
        </w:tc>
        <w:tc>
          <w:tcPr>
            <w:tcW w:w="1983" w:type="dxa"/>
            <w:shd w:val="clear" w:color="auto" w:fill="auto"/>
          </w:tcPr>
          <w:p w14:paraId="1E605264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0.58 (0.37-0.90)</w:t>
            </w:r>
          </w:p>
        </w:tc>
        <w:tc>
          <w:tcPr>
            <w:tcW w:w="1983" w:type="dxa"/>
          </w:tcPr>
          <w:p w14:paraId="7045771B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0.015</w:t>
            </w:r>
          </w:p>
        </w:tc>
      </w:tr>
      <w:tr w:rsidR="005940E9" w:rsidRPr="00172E02" w14:paraId="435C387D" w14:textId="77777777" w:rsidTr="0092498F">
        <w:tc>
          <w:tcPr>
            <w:tcW w:w="4675" w:type="dxa"/>
          </w:tcPr>
          <w:p w14:paraId="2C1961B4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Disease duration</w:t>
            </w:r>
          </w:p>
        </w:tc>
        <w:tc>
          <w:tcPr>
            <w:tcW w:w="1983" w:type="dxa"/>
            <w:shd w:val="clear" w:color="auto" w:fill="auto"/>
          </w:tcPr>
          <w:p w14:paraId="64C60510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1.03 (1.00-1.06)</w:t>
            </w:r>
          </w:p>
        </w:tc>
        <w:tc>
          <w:tcPr>
            <w:tcW w:w="1983" w:type="dxa"/>
          </w:tcPr>
          <w:p w14:paraId="1BBD2C61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0.019</w:t>
            </w:r>
          </w:p>
        </w:tc>
      </w:tr>
      <w:tr w:rsidR="005940E9" w:rsidRPr="00172E02" w14:paraId="3FEDB6FE" w14:textId="77777777" w:rsidTr="0092498F">
        <w:tc>
          <w:tcPr>
            <w:tcW w:w="4675" w:type="dxa"/>
          </w:tcPr>
          <w:p w14:paraId="43EFF68A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Baseline Mayo score </w:t>
            </w:r>
          </w:p>
        </w:tc>
        <w:tc>
          <w:tcPr>
            <w:tcW w:w="1983" w:type="dxa"/>
            <w:shd w:val="clear" w:color="auto" w:fill="auto"/>
          </w:tcPr>
          <w:p w14:paraId="67D1F1E2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0.92 (0.82-1.02)</w:t>
            </w:r>
          </w:p>
        </w:tc>
        <w:tc>
          <w:tcPr>
            <w:tcW w:w="1983" w:type="dxa"/>
          </w:tcPr>
          <w:p w14:paraId="7C395E90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0.128</w:t>
            </w:r>
          </w:p>
        </w:tc>
      </w:tr>
      <w:tr w:rsidR="005940E9" w:rsidRPr="00172E02" w14:paraId="326D261F" w14:textId="77777777" w:rsidTr="0092498F">
        <w:tc>
          <w:tcPr>
            <w:tcW w:w="4675" w:type="dxa"/>
          </w:tcPr>
          <w:p w14:paraId="1D9211B5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Baseline fecal calprotectin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07BE01A8" w14:textId="77777777" w:rsidR="005940E9" w:rsidRPr="00172E02" w:rsidRDefault="005940E9" w:rsidP="0092498F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1F5246A7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0.182</w:t>
            </w:r>
          </w:p>
        </w:tc>
      </w:tr>
      <w:tr w:rsidR="005940E9" w:rsidRPr="00172E02" w14:paraId="12C240F2" w14:textId="77777777" w:rsidTr="0092498F">
        <w:tc>
          <w:tcPr>
            <w:tcW w:w="4675" w:type="dxa"/>
          </w:tcPr>
          <w:p w14:paraId="205C489B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Baseline C-reactive protein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0F5A37E1" w14:textId="77777777" w:rsidR="005940E9" w:rsidRPr="00172E02" w:rsidRDefault="005940E9" w:rsidP="0092498F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131E76DA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0.578</w:t>
            </w:r>
          </w:p>
        </w:tc>
      </w:tr>
      <w:tr w:rsidR="005940E9" w:rsidRPr="00172E02" w14:paraId="1CA0FF28" w14:textId="77777777" w:rsidTr="0092498F">
        <w:tc>
          <w:tcPr>
            <w:tcW w:w="4675" w:type="dxa"/>
          </w:tcPr>
          <w:p w14:paraId="41423CC9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Baseline albumin</w:t>
            </w:r>
          </w:p>
        </w:tc>
        <w:tc>
          <w:tcPr>
            <w:tcW w:w="1983" w:type="dxa"/>
          </w:tcPr>
          <w:p w14:paraId="2522BFB1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1.12 (1.07-1.17)</w:t>
            </w:r>
          </w:p>
        </w:tc>
        <w:tc>
          <w:tcPr>
            <w:tcW w:w="1983" w:type="dxa"/>
          </w:tcPr>
          <w:p w14:paraId="4120A684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&lt;0.001</w:t>
            </w:r>
          </w:p>
        </w:tc>
      </w:tr>
      <w:tr w:rsidR="005940E9" w:rsidRPr="00172E02" w14:paraId="75DF3712" w14:textId="77777777" w:rsidTr="0092498F">
        <w:tc>
          <w:tcPr>
            <w:tcW w:w="4675" w:type="dxa"/>
          </w:tcPr>
          <w:p w14:paraId="676955E7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Concomitant immunomodulator use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4F117DD9" w14:textId="77777777" w:rsidR="005940E9" w:rsidRPr="00172E02" w:rsidRDefault="005940E9" w:rsidP="0092498F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6D15BC21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0.289</w:t>
            </w:r>
          </w:p>
        </w:tc>
      </w:tr>
      <w:tr w:rsidR="005940E9" w:rsidRPr="00172E02" w14:paraId="1CD2498A" w14:textId="77777777" w:rsidTr="0092498F">
        <w:tc>
          <w:tcPr>
            <w:tcW w:w="4675" w:type="dxa"/>
          </w:tcPr>
          <w:p w14:paraId="0F509BC3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Concomitant corticosteroid use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227442CF" w14:textId="77777777" w:rsidR="005940E9" w:rsidRPr="00172E02" w:rsidRDefault="005940E9" w:rsidP="0092498F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6133D72A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0.196</w:t>
            </w:r>
          </w:p>
        </w:tc>
      </w:tr>
    </w:tbl>
    <w:p w14:paraId="48914F00" w14:textId="77777777" w:rsidR="00AA0841" w:rsidRPr="00172E02" w:rsidRDefault="00AA0841" w:rsidP="00AA0841">
      <w:pPr>
        <w:rPr>
          <w:rFonts w:ascii="Calibri" w:eastAsia="Calibri" w:hAnsi="Calibri" w:cs="Times New Roman"/>
          <w:lang w:val="en-US"/>
        </w:rPr>
      </w:pPr>
    </w:p>
    <w:p w14:paraId="6CD24EA6" w14:textId="48C81C70" w:rsidR="00AA0841" w:rsidRPr="00172E02" w:rsidRDefault="00AA0841" w:rsidP="00AA0841">
      <w:bookmarkStart w:id="0" w:name="_Hlk97019755"/>
      <w:r w:rsidRPr="00172E02">
        <w:t xml:space="preserve">Supplementary Table 2 – Mayo scores </w:t>
      </w:r>
      <w:r w:rsidR="00716957" w:rsidRPr="00172E02">
        <w:t xml:space="preserve">and </w:t>
      </w:r>
      <w:r w:rsidR="00D64840" w:rsidRPr="00172E02">
        <w:t>fecal calprotectin</w:t>
      </w:r>
      <w:r w:rsidR="00716957" w:rsidRPr="00172E02">
        <w:t xml:space="preserve"> </w:t>
      </w:r>
      <w:r w:rsidRPr="00172E02">
        <w:t xml:space="preserve">at week 14 among patients with delayed </w:t>
      </w:r>
      <w:r w:rsidR="00246DA6" w:rsidRPr="00172E02">
        <w:t>PMS remission</w:t>
      </w:r>
      <w:r w:rsidRPr="00172E02">
        <w:t xml:space="preserve"> (week 14)</w:t>
      </w:r>
    </w:p>
    <w:tbl>
      <w:tblPr>
        <w:tblStyle w:val="TableGrid"/>
        <w:tblW w:w="11209" w:type="dxa"/>
        <w:tblInd w:w="-601" w:type="dxa"/>
        <w:tblLook w:val="04A0" w:firstRow="1" w:lastRow="0" w:firstColumn="1" w:lastColumn="0" w:noHBand="0" w:noVBand="1"/>
      </w:tblPr>
      <w:tblGrid>
        <w:gridCol w:w="2008"/>
        <w:gridCol w:w="1708"/>
        <w:gridCol w:w="1708"/>
        <w:gridCol w:w="1136"/>
        <w:gridCol w:w="1690"/>
        <w:gridCol w:w="1978"/>
        <w:gridCol w:w="981"/>
      </w:tblGrid>
      <w:tr w:rsidR="00FF31AA" w:rsidRPr="00172E02" w14:paraId="34A9D7B8" w14:textId="07095F26" w:rsidTr="00E96F52">
        <w:trPr>
          <w:trHeight w:val="25"/>
        </w:trPr>
        <w:tc>
          <w:tcPr>
            <w:tcW w:w="2008" w:type="dxa"/>
            <w:vMerge w:val="restart"/>
          </w:tcPr>
          <w:p w14:paraId="053A9B61" w14:textId="77777777" w:rsidR="00FF31AA" w:rsidRPr="00172E02" w:rsidRDefault="00FF31AA" w:rsidP="00FF31AA"/>
        </w:tc>
        <w:tc>
          <w:tcPr>
            <w:tcW w:w="4552" w:type="dxa"/>
            <w:gridSpan w:val="3"/>
          </w:tcPr>
          <w:p w14:paraId="3FDAD760" w14:textId="5B8BE0F9" w:rsidR="00FF31AA" w:rsidRPr="00172E02" w:rsidRDefault="00FF31AA" w:rsidP="00E96F52">
            <w:pPr>
              <w:jc w:val="center"/>
            </w:pPr>
            <w:r w:rsidRPr="00172E02">
              <w:rPr>
                <w:rFonts w:ascii="Calibri" w:eastAsia="Calibri" w:hAnsi="Calibri" w:cs="Times New Roman"/>
                <w:lang w:val="en-US"/>
              </w:rPr>
              <w:t>Delayed PMS remitters to vedolizumab</w:t>
            </w:r>
          </w:p>
        </w:tc>
        <w:tc>
          <w:tcPr>
            <w:tcW w:w="3668" w:type="dxa"/>
            <w:gridSpan w:val="2"/>
          </w:tcPr>
          <w:p w14:paraId="5042FB27" w14:textId="486F537A" w:rsidR="00FF31AA" w:rsidRPr="00172E02" w:rsidRDefault="00FF31AA" w:rsidP="00E96F52">
            <w:pPr>
              <w:jc w:val="center"/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PMS remitters to </w:t>
            </w:r>
            <w:r w:rsidR="00970731" w:rsidRPr="00172E02">
              <w:rPr>
                <w:rFonts w:ascii="Calibri" w:eastAsia="Calibri" w:hAnsi="Calibri" w:cs="Times New Roman"/>
                <w:lang w:val="en-US"/>
              </w:rPr>
              <w:t>adalimumab</w:t>
            </w:r>
          </w:p>
        </w:tc>
        <w:tc>
          <w:tcPr>
            <w:tcW w:w="981" w:type="dxa"/>
          </w:tcPr>
          <w:p w14:paraId="0D93F8EB" w14:textId="324BDC08" w:rsidR="00FF31AA" w:rsidRPr="00172E02" w:rsidRDefault="00FF31AA" w:rsidP="00E96F5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FF31AA" w:rsidRPr="00172E02" w14:paraId="7B7C0840" w14:textId="77777777" w:rsidTr="00E96F52">
        <w:trPr>
          <w:trHeight w:val="217"/>
        </w:trPr>
        <w:tc>
          <w:tcPr>
            <w:tcW w:w="2008" w:type="dxa"/>
            <w:vMerge/>
          </w:tcPr>
          <w:p w14:paraId="0E2E9CBC" w14:textId="77777777" w:rsidR="00FF31AA" w:rsidRPr="00172E02" w:rsidRDefault="00FF31AA" w:rsidP="00FF31AA"/>
        </w:tc>
        <w:tc>
          <w:tcPr>
            <w:tcW w:w="1708" w:type="dxa"/>
          </w:tcPr>
          <w:p w14:paraId="2D3F9FDB" w14:textId="07E2D5FC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Ultimately achieve remission at week 52 (n=2</w:t>
            </w:r>
            <w:r w:rsidR="00723B99" w:rsidRPr="00172E02">
              <w:rPr>
                <w:rFonts w:ascii="Calibri" w:eastAsia="Calibri" w:hAnsi="Calibri" w:cs="Times New Roman"/>
                <w:lang w:val="en-US"/>
              </w:rPr>
              <w:t>5</w:t>
            </w:r>
            <w:r w:rsidRPr="00172E02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08" w:type="dxa"/>
          </w:tcPr>
          <w:p w14:paraId="7CE459F0" w14:textId="382807CF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Ultimately do not achieve remission at week 52 (n=25)</w:t>
            </w:r>
          </w:p>
        </w:tc>
        <w:tc>
          <w:tcPr>
            <w:tcW w:w="1135" w:type="dxa"/>
          </w:tcPr>
          <w:p w14:paraId="5F5B5408" w14:textId="0767C8ED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  <w:tc>
          <w:tcPr>
            <w:tcW w:w="1690" w:type="dxa"/>
          </w:tcPr>
          <w:p w14:paraId="4DB39CE2" w14:textId="15EBDF7C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Ultimately achieve remission at week 52 (n=27)</w:t>
            </w:r>
          </w:p>
        </w:tc>
        <w:tc>
          <w:tcPr>
            <w:tcW w:w="1978" w:type="dxa"/>
          </w:tcPr>
          <w:p w14:paraId="7E966C1B" w14:textId="2502C093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Ultimately do not achieve remission at week 52 (n=17)</w:t>
            </w:r>
          </w:p>
        </w:tc>
        <w:tc>
          <w:tcPr>
            <w:tcW w:w="981" w:type="dxa"/>
          </w:tcPr>
          <w:p w14:paraId="6BBE3820" w14:textId="12ACA0DB" w:rsidR="00FF31AA" w:rsidRPr="00172E02" w:rsidRDefault="00FF31AA" w:rsidP="00FF31AA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16957" w:rsidRPr="00172E02" w14:paraId="3A84DE7E" w14:textId="00C1071F" w:rsidTr="00716957">
        <w:trPr>
          <w:trHeight w:val="225"/>
        </w:trPr>
        <w:tc>
          <w:tcPr>
            <w:tcW w:w="2008" w:type="dxa"/>
          </w:tcPr>
          <w:p w14:paraId="72C56B6F" w14:textId="4D6EF6B1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Partial Mayo Score at week 14, mean (SD)</w:t>
            </w:r>
          </w:p>
        </w:tc>
        <w:tc>
          <w:tcPr>
            <w:tcW w:w="1708" w:type="dxa"/>
          </w:tcPr>
          <w:p w14:paraId="1AB76701" w14:textId="39809839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0.68 (0.48)</w:t>
            </w:r>
          </w:p>
        </w:tc>
        <w:tc>
          <w:tcPr>
            <w:tcW w:w="1708" w:type="dxa"/>
          </w:tcPr>
          <w:p w14:paraId="08F75793" w14:textId="7EDCC739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0.72 (0.46)</w:t>
            </w:r>
          </w:p>
        </w:tc>
        <w:tc>
          <w:tcPr>
            <w:tcW w:w="1135" w:type="dxa"/>
          </w:tcPr>
          <w:p w14:paraId="1DADA032" w14:textId="61D86134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0.764</w:t>
            </w:r>
          </w:p>
        </w:tc>
        <w:tc>
          <w:tcPr>
            <w:tcW w:w="1690" w:type="dxa"/>
          </w:tcPr>
          <w:p w14:paraId="13E75D73" w14:textId="5C7CA7E6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0.63 (0.49)</w:t>
            </w:r>
          </w:p>
        </w:tc>
        <w:tc>
          <w:tcPr>
            <w:tcW w:w="1978" w:type="dxa"/>
          </w:tcPr>
          <w:p w14:paraId="2DF8BD5A" w14:textId="3BD1BCDE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0.71 (0.47)</w:t>
            </w:r>
          </w:p>
        </w:tc>
        <w:tc>
          <w:tcPr>
            <w:tcW w:w="981" w:type="dxa"/>
          </w:tcPr>
          <w:p w14:paraId="083AE923" w14:textId="78360B34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0.613</w:t>
            </w:r>
          </w:p>
        </w:tc>
      </w:tr>
      <w:tr w:rsidR="00716957" w:rsidRPr="00172E02" w14:paraId="59DD4882" w14:textId="570E9205" w:rsidTr="00E96F52">
        <w:trPr>
          <w:trHeight w:val="70"/>
        </w:trPr>
        <w:tc>
          <w:tcPr>
            <w:tcW w:w="2008" w:type="dxa"/>
          </w:tcPr>
          <w:p w14:paraId="1658557A" w14:textId="03DCA0C8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Total Mayo score at week 14, mean (SD)</w:t>
            </w:r>
          </w:p>
        </w:tc>
        <w:tc>
          <w:tcPr>
            <w:tcW w:w="1708" w:type="dxa"/>
          </w:tcPr>
          <w:p w14:paraId="55D3EAA8" w14:textId="2401D073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1.52 (0.87)</w:t>
            </w:r>
          </w:p>
        </w:tc>
        <w:tc>
          <w:tcPr>
            <w:tcW w:w="1708" w:type="dxa"/>
          </w:tcPr>
          <w:p w14:paraId="3DDE17DB" w14:textId="423DD014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2.64 (1.29)</w:t>
            </w:r>
          </w:p>
        </w:tc>
        <w:tc>
          <w:tcPr>
            <w:tcW w:w="1135" w:type="dxa"/>
          </w:tcPr>
          <w:p w14:paraId="4EAC614F" w14:textId="5398B639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  <w:tc>
          <w:tcPr>
            <w:tcW w:w="1690" w:type="dxa"/>
          </w:tcPr>
          <w:p w14:paraId="0C460AD2" w14:textId="00699FB0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1.52 (1.12)</w:t>
            </w:r>
          </w:p>
        </w:tc>
        <w:tc>
          <w:tcPr>
            <w:tcW w:w="1978" w:type="dxa"/>
          </w:tcPr>
          <w:p w14:paraId="7619E118" w14:textId="381C467F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2.24 (1.35)</w:t>
            </w:r>
          </w:p>
        </w:tc>
        <w:tc>
          <w:tcPr>
            <w:tcW w:w="981" w:type="dxa"/>
          </w:tcPr>
          <w:p w14:paraId="6504B8E5" w14:textId="44C861D4" w:rsidR="00FF31AA" w:rsidRPr="00172E02" w:rsidRDefault="00FF31AA" w:rsidP="00FF31AA">
            <w:r w:rsidRPr="00172E02">
              <w:t>0.063</w:t>
            </w:r>
          </w:p>
        </w:tc>
      </w:tr>
      <w:tr w:rsidR="00716957" w:rsidRPr="00172E02" w14:paraId="6C59D0A4" w14:textId="01362115" w:rsidTr="00716957">
        <w:trPr>
          <w:trHeight w:val="196"/>
        </w:trPr>
        <w:tc>
          <w:tcPr>
            <w:tcW w:w="2008" w:type="dxa"/>
          </w:tcPr>
          <w:p w14:paraId="1933878F" w14:textId="26DAB4CA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Severe endoscopic disease (Mayo 3) at week 14, n (%)</w:t>
            </w:r>
          </w:p>
        </w:tc>
        <w:tc>
          <w:tcPr>
            <w:tcW w:w="1708" w:type="dxa"/>
          </w:tcPr>
          <w:p w14:paraId="68E434BD" w14:textId="11C0EF74" w:rsidR="00FF31AA" w:rsidRPr="00172E02" w:rsidRDefault="00FF31AA" w:rsidP="00FF31AA">
            <w:r w:rsidRPr="00172E02">
              <w:t>0</w:t>
            </w:r>
          </w:p>
        </w:tc>
        <w:tc>
          <w:tcPr>
            <w:tcW w:w="1708" w:type="dxa"/>
          </w:tcPr>
          <w:p w14:paraId="15C834EB" w14:textId="1DD58167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11 (44.0)</w:t>
            </w:r>
          </w:p>
        </w:tc>
        <w:tc>
          <w:tcPr>
            <w:tcW w:w="1135" w:type="dxa"/>
          </w:tcPr>
          <w:p w14:paraId="04B2FE5F" w14:textId="237367A7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  <w:tc>
          <w:tcPr>
            <w:tcW w:w="1690" w:type="dxa"/>
          </w:tcPr>
          <w:p w14:paraId="3CA2D152" w14:textId="52D2BC59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 (3.7)</w:t>
            </w:r>
          </w:p>
        </w:tc>
        <w:tc>
          <w:tcPr>
            <w:tcW w:w="1978" w:type="dxa"/>
          </w:tcPr>
          <w:p w14:paraId="4D45083C" w14:textId="66092E92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6 (35.3)</w:t>
            </w:r>
          </w:p>
        </w:tc>
        <w:tc>
          <w:tcPr>
            <w:tcW w:w="981" w:type="dxa"/>
          </w:tcPr>
          <w:p w14:paraId="149FC7B9" w14:textId="30211003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0.005</w:t>
            </w:r>
          </w:p>
        </w:tc>
      </w:tr>
      <w:tr w:rsidR="00716957" w:rsidRPr="00172E02" w14:paraId="4A016998" w14:textId="50BDB450" w:rsidTr="00716957">
        <w:trPr>
          <w:trHeight w:val="324"/>
        </w:trPr>
        <w:tc>
          <w:tcPr>
            <w:tcW w:w="2008" w:type="dxa"/>
          </w:tcPr>
          <w:p w14:paraId="4CA62487" w14:textId="5E6FFB3F" w:rsidR="00FF31AA" w:rsidRPr="00172E02" w:rsidRDefault="00FF31AA" w:rsidP="00FF31AA">
            <w:r w:rsidRPr="00172E02">
              <w:t>Fecal calprotectin at week 14 (mg/</w:t>
            </w:r>
            <w:r w:rsidR="005B38B9" w:rsidRPr="00172E02">
              <w:t>k</w:t>
            </w:r>
            <w:r w:rsidRPr="00172E02">
              <w:t>g), median (IQR)</w:t>
            </w:r>
          </w:p>
        </w:tc>
        <w:tc>
          <w:tcPr>
            <w:tcW w:w="1708" w:type="dxa"/>
          </w:tcPr>
          <w:p w14:paraId="1CD4401D" w14:textId="4E0B307E" w:rsidR="00FF31AA" w:rsidRPr="00172E02" w:rsidRDefault="005B38B9" w:rsidP="00FF31AA">
            <w:r w:rsidRPr="00172E02">
              <w:t>202.5 (51.0-620.0)</w:t>
            </w:r>
          </w:p>
        </w:tc>
        <w:tc>
          <w:tcPr>
            <w:tcW w:w="1708" w:type="dxa"/>
          </w:tcPr>
          <w:p w14:paraId="15AC4FAF" w14:textId="2B5D6D0A" w:rsidR="00FF31AA" w:rsidRPr="00172E02" w:rsidRDefault="004624C5" w:rsidP="00FF31AA">
            <w:r w:rsidRPr="00172E02">
              <w:t>332.5 (105.0-909.0)</w:t>
            </w:r>
          </w:p>
        </w:tc>
        <w:tc>
          <w:tcPr>
            <w:tcW w:w="1135" w:type="dxa"/>
          </w:tcPr>
          <w:p w14:paraId="49433694" w14:textId="0E2AA966" w:rsidR="00FF31AA" w:rsidRPr="00172E02" w:rsidRDefault="00936B49" w:rsidP="00FF31AA">
            <w:r w:rsidRPr="00172E02">
              <w:t>0.525</w:t>
            </w:r>
          </w:p>
        </w:tc>
        <w:tc>
          <w:tcPr>
            <w:tcW w:w="1690" w:type="dxa"/>
          </w:tcPr>
          <w:p w14:paraId="0E79BA6E" w14:textId="41D41548" w:rsidR="00FF31AA" w:rsidRPr="00172E02" w:rsidRDefault="004624C5" w:rsidP="00FF31AA">
            <w:r w:rsidRPr="00172E02">
              <w:t>136.0 (44.5-563.5)</w:t>
            </w:r>
          </w:p>
        </w:tc>
        <w:tc>
          <w:tcPr>
            <w:tcW w:w="1978" w:type="dxa"/>
          </w:tcPr>
          <w:p w14:paraId="6EF1B6DF" w14:textId="310B0BA8" w:rsidR="00FF31AA" w:rsidRPr="00172E02" w:rsidRDefault="004624C5" w:rsidP="00FF31AA">
            <w:r w:rsidRPr="00172E02">
              <w:t>307.5 (92.5-884.5)</w:t>
            </w:r>
          </w:p>
        </w:tc>
        <w:tc>
          <w:tcPr>
            <w:tcW w:w="981" w:type="dxa"/>
          </w:tcPr>
          <w:p w14:paraId="18BB3792" w14:textId="48CE9D8E" w:rsidR="00FF31AA" w:rsidRPr="00172E02" w:rsidRDefault="00936B49" w:rsidP="00FF31AA">
            <w:r w:rsidRPr="00172E02">
              <w:t>0.480</w:t>
            </w:r>
          </w:p>
        </w:tc>
      </w:tr>
      <w:tr w:rsidR="00716957" w:rsidRPr="00172E02" w14:paraId="273AA058" w14:textId="614F9761" w:rsidTr="00716957">
        <w:trPr>
          <w:trHeight w:val="324"/>
        </w:trPr>
        <w:tc>
          <w:tcPr>
            <w:tcW w:w="2008" w:type="dxa"/>
          </w:tcPr>
          <w:p w14:paraId="333CCB4E" w14:textId="41E5195E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 xml:space="preserve">Fecal calprotectin </w:t>
            </w:r>
            <w:r w:rsidRPr="00172E02">
              <w:rPr>
                <w:rFonts w:ascii="Calibri" w:eastAsia="Calibri" w:hAnsi="Calibri" w:cs="Calibri"/>
                <w:lang w:val="en-US"/>
              </w:rPr>
              <w:t>≥</w:t>
            </w:r>
            <w:r w:rsidRPr="00172E02">
              <w:rPr>
                <w:rFonts w:ascii="Calibri" w:eastAsia="Calibri" w:hAnsi="Calibri" w:cs="Times New Roman"/>
                <w:lang w:val="en-US"/>
              </w:rPr>
              <w:t xml:space="preserve"> 250 mg/</w:t>
            </w:r>
            <w:r w:rsidR="00165EBB" w:rsidRPr="00172E02">
              <w:rPr>
                <w:rFonts w:ascii="Calibri" w:eastAsia="Calibri" w:hAnsi="Calibri" w:cs="Times New Roman"/>
                <w:lang w:val="en-US"/>
              </w:rPr>
              <w:t>k</w:t>
            </w:r>
            <w:r w:rsidRPr="00172E02">
              <w:rPr>
                <w:rFonts w:ascii="Calibri" w:eastAsia="Calibri" w:hAnsi="Calibri" w:cs="Times New Roman"/>
                <w:lang w:val="en-US"/>
              </w:rPr>
              <w:t xml:space="preserve">g at week </w:t>
            </w:r>
            <w:r w:rsidRPr="00172E02">
              <w:rPr>
                <w:rFonts w:ascii="Calibri" w:eastAsia="Calibri" w:hAnsi="Calibri" w:cs="Times New Roman"/>
                <w:lang w:val="en-US"/>
              </w:rPr>
              <w:lastRenderedPageBreak/>
              <w:t>14, n (%)</w:t>
            </w:r>
          </w:p>
        </w:tc>
        <w:tc>
          <w:tcPr>
            <w:tcW w:w="1708" w:type="dxa"/>
          </w:tcPr>
          <w:p w14:paraId="3E503612" w14:textId="2AD50EE0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lastRenderedPageBreak/>
              <w:t>12 (48.0)</w:t>
            </w:r>
          </w:p>
        </w:tc>
        <w:tc>
          <w:tcPr>
            <w:tcW w:w="1708" w:type="dxa"/>
          </w:tcPr>
          <w:p w14:paraId="26371600" w14:textId="42013357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17 (68.0)</w:t>
            </w:r>
          </w:p>
        </w:tc>
        <w:tc>
          <w:tcPr>
            <w:tcW w:w="1135" w:type="dxa"/>
          </w:tcPr>
          <w:p w14:paraId="1620F8CA" w14:textId="55078E8F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0.152</w:t>
            </w:r>
          </w:p>
        </w:tc>
        <w:tc>
          <w:tcPr>
            <w:tcW w:w="1690" w:type="dxa"/>
          </w:tcPr>
          <w:p w14:paraId="2A53C017" w14:textId="07F70334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13 (48.2)</w:t>
            </w:r>
          </w:p>
        </w:tc>
        <w:tc>
          <w:tcPr>
            <w:tcW w:w="1978" w:type="dxa"/>
          </w:tcPr>
          <w:p w14:paraId="69FCEDC5" w14:textId="0F35ACD5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12 (70.6)</w:t>
            </w:r>
          </w:p>
        </w:tc>
        <w:tc>
          <w:tcPr>
            <w:tcW w:w="981" w:type="dxa"/>
          </w:tcPr>
          <w:p w14:paraId="456F5F0C" w14:textId="1BADF2FB" w:rsidR="00FF31AA" w:rsidRPr="00172E02" w:rsidRDefault="00FF31AA" w:rsidP="00FF31AA">
            <w:r w:rsidRPr="00172E02">
              <w:rPr>
                <w:rFonts w:ascii="Calibri" w:eastAsia="Calibri" w:hAnsi="Calibri" w:cs="Times New Roman"/>
                <w:lang w:val="en-US"/>
              </w:rPr>
              <w:t>0.143</w:t>
            </w:r>
          </w:p>
        </w:tc>
      </w:tr>
    </w:tbl>
    <w:p w14:paraId="4D3E149C" w14:textId="24441302" w:rsidR="00782C60" w:rsidRPr="00172E02" w:rsidRDefault="00782C60" w:rsidP="00AA0841"/>
    <w:bookmarkEnd w:id="0"/>
    <w:p w14:paraId="2F4EC313" w14:textId="77777777" w:rsidR="00AA0841" w:rsidRPr="00172E02" w:rsidRDefault="00AA0841" w:rsidP="00AA0841">
      <w:pPr>
        <w:rPr>
          <w:rFonts w:ascii="Calibri" w:eastAsia="Calibri" w:hAnsi="Calibri" w:cs="Times New Roman"/>
          <w:lang w:val="en-US"/>
        </w:rPr>
      </w:pPr>
    </w:p>
    <w:p w14:paraId="4A5C0075" w14:textId="2C6C2685" w:rsidR="005940E9" w:rsidRPr="00172E02" w:rsidRDefault="005940E9" w:rsidP="005940E9">
      <w:pPr>
        <w:rPr>
          <w:lang w:val="en-US"/>
        </w:rPr>
      </w:pPr>
    </w:p>
    <w:p w14:paraId="306D032F" w14:textId="764E7FFD" w:rsidR="0072251E" w:rsidRPr="00172E02" w:rsidRDefault="0072251E" w:rsidP="0072251E">
      <w:pPr>
        <w:rPr>
          <w:bCs/>
          <w:lang w:val="en-US"/>
        </w:rPr>
      </w:pPr>
      <w:bookmarkStart w:id="1" w:name="_Hlk96940501"/>
      <w:r w:rsidRPr="00172E02">
        <w:rPr>
          <w:bCs/>
          <w:lang w:val="en-US"/>
        </w:rPr>
        <w:t xml:space="preserve">Supplementary Table 3 - </w:t>
      </w:r>
      <w:bookmarkStart w:id="2" w:name="_Hlk96941181"/>
      <w:r w:rsidRPr="00172E02">
        <w:rPr>
          <w:bCs/>
          <w:lang w:val="en-US"/>
        </w:rPr>
        <w:t xml:space="preserve">Sensitivity analysis examining delayed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(week 14) vs. not in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(week 14) among vedolizumab patients and achievement of outcomes at week 52</w:t>
      </w:r>
    </w:p>
    <w:tbl>
      <w:tblPr>
        <w:tblStyle w:val="TableGrid1"/>
        <w:tblW w:w="9533" w:type="dxa"/>
        <w:tblLook w:val="04A0" w:firstRow="1" w:lastRow="0" w:firstColumn="1" w:lastColumn="0" w:noHBand="0" w:noVBand="1"/>
      </w:tblPr>
      <w:tblGrid>
        <w:gridCol w:w="3539"/>
        <w:gridCol w:w="1985"/>
        <w:gridCol w:w="2268"/>
        <w:gridCol w:w="1741"/>
      </w:tblGrid>
      <w:tr w:rsidR="0072251E" w:rsidRPr="00172E02" w14:paraId="50FFAE56" w14:textId="77777777" w:rsidTr="001344D7">
        <w:trPr>
          <w:trHeight w:val="740"/>
        </w:trPr>
        <w:tc>
          <w:tcPr>
            <w:tcW w:w="3539" w:type="dxa"/>
          </w:tcPr>
          <w:bookmarkEnd w:id="1"/>
          <w:bookmarkEnd w:id="2"/>
          <w:p w14:paraId="611FE296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Outcome at Week 52</w:t>
            </w:r>
          </w:p>
          <w:p w14:paraId="1F447D65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218B4A8F" w14:textId="567FBE2A" w:rsidR="0072251E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72251E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2268" w:type="dxa"/>
          </w:tcPr>
          <w:p w14:paraId="77B812A2" w14:textId="7FC9FE98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Not in</w:t>
            </w:r>
            <w:r w:rsidR="00B23260" w:rsidRPr="00172E0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 (Week 14)</w:t>
            </w:r>
          </w:p>
        </w:tc>
        <w:tc>
          <w:tcPr>
            <w:tcW w:w="1741" w:type="dxa"/>
          </w:tcPr>
          <w:p w14:paraId="6BAFC404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p-value </w:t>
            </w:r>
          </w:p>
        </w:tc>
      </w:tr>
      <w:tr w:rsidR="0072251E" w:rsidRPr="00172E02" w14:paraId="750F31E1" w14:textId="77777777" w:rsidTr="001344D7">
        <w:trPr>
          <w:trHeight w:val="501"/>
        </w:trPr>
        <w:tc>
          <w:tcPr>
            <w:tcW w:w="3539" w:type="dxa"/>
          </w:tcPr>
          <w:p w14:paraId="7BCFEDD5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Clinical remission (PMS of 0), n (%)</w:t>
            </w:r>
          </w:p>
        </w:tc>
        <w:tc>
          <w:tcPr>
            <w:tcW w:w="1985" w:type="dxa"/>
          </w:tcPr>
          <w:p w14:paraId="72E4075A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25/50 (50.0)</w:t>
            </w:r>
          </w:p>
        </w:tc>
        <w:tc>
          <w:tcPr>
            <w:tcW w:w="2268" w:type="dxa"/>
          </w:tcPr>
          <w:p w14:paraId="30FAF504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51/236 (21.6)</w:t>
            </w:r>
          </w:p>
        </w:tc>
        <w:tc>
          <w:tcPr>
            <w:tcW w:w="1741" w:type="dxa"/>
          </w:tcPr>
          <w:p w14:paraId="269674E5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</w:tr>
      <w:tr w:rsidR="0072251E" w:rsidRPr="00172E02" w14:paraId="1405F388" w14:textId="77777777" w:rsidTr="001344D7">
        <w:trPr>
          <w:trHeight w:val="487"/>
        </w:trPr>
        <w:tc>
          <w:tcPr>
            <w:tcW w:w="3539" w:type="dxa"/>
          </w:tcPr>
          <w:p w14:paraId="79C91B4F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1985" w:type="dxa"/>
          </w:tcPr>
          <w:p w14:paraId="3329A0E2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29/50 (58.0)</w:t>
            </w:r>
          </w:p>
        </w:tc>
        <w:tc>
          <w:tcPr>
            <w:tcW w:w="2268" w:type="dxa"/>
          </w:tcPr>
          <w:p w14:paraId="5F0DC941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77/236 (32.6)</w:t>
            </w:r>
          </w:p>
        </w:tc>
        <w:tc>
          <w:tcPr>
            <w:tcW w:w="1741" w:type="dxa"/>
          </w:tcPr>
          <w:p w14:paraId="2EEEA392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0.001</w:t>
            </w:r>
          </w:p>
        </w:tc>
      </w:tr>
      <w:tr w:rsidR="0072251E" w:rsidRPr="00172E02" w14:paraId="0535DE40" w14:textId="77777777" w:rsidTr="001344D7">
        <w:trPr>
          <w:trHeight w:val="501"/>
        </w:trPr>
        <w:tc>
          <w:tcPr>
            <w:tcW w:w="3539" w:type="dxa"/>
          </w:tcPr>
          <w:p w14:paraId="435C5391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1985" w:type="dxa"/>
          </w:tcPr>
          <w:p w14:paraId="47FEAD21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20/50 (40.0)</w:t>
            </w:r>
          </w:p>
        </w:tc>
        <w:tc>
          <w:tcPr>
            <w:tcW w:w="2268" w:type="dxa"/>
          </w:tcPr>
          <w:p w14:paraId="1044A175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58/236 (24.6)</w:t>
            </w:r>
          </w:p>
        </w:tc>
        <w:tc>
          <w:tcPr>
            <w:tcW w:w="1741" w:type="dxa"/>
          </w:tcPr>
          <w:p w14:paraId="33F2D082" w14:textId="77777777" w:rsidR="0072251E" w:rsidRPr="00172E02" w:rsidRDefault="0072251E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0.026</w:t>
            </w:r>
          </w:p>
        </w:tc>
      </w:tr>
    </w:tbl>
    <w:p w14:paraId="7E9BFA9D" w14:textId="1EE2A95E" w:rsidR="0072251E" w:rsidRPr="00172E02" w:rsidRDefault="000F1898" w:rsidP="0072251E">
      <w:pPr>
        <w:rPr>
          <w:rFonts w:ascii="Calibri" w:eastAsia="Calibri" w:hAnsi="Calibri" w:cs="Times New Roman"/>
          <w:lang w:val="en-US"/>
        </w:rPr>
      </w:pPr>
      <w:r w:rsidRPr="00172E02">
        <w:rPr>
          <w:rFonts w:ascii="Calibri" w:eastAsia="Calibri" w:hAnsi="Calibri" w:cs="Times New Roman"/>
          <w:lang w:val="en-US"/>
        </w:rPr>
        <w:t>*Defined as PMS ≤ 1</w:t>
      </w:r>
    </w:p>
    <w:p w14:paraId="092EA1AA" w14:textId="77777777" w:rsidR="0072251E" w:rsidRPr="00172E02" w:rsidRDefault="0072251E" w:rsidP="005940E9">
      <w:pPr>
        <w:rPr>
          <w:lang w:val="en-US"/>
        </w:rPr>
      </w:pPr>
    </w:p>
    <w:p w14:paraId="628C0371" w14:textId="77777777" w:rsidR="0072251E" w:rsidRPr="00172E02" w:rsidRDefault="0072251E" w:rsidP="005940E9">
      <w:pPr>
        <w:rPr>
          <w:lang w:val="en-US"/>
        </w:rPr>
      </w:pPr>
    </w:p>
    <w:p w14:paraId="44378AC3" w14:textId="3D6D5231" w:rsidR="005940E9" w:rsidRPr="00172E02" w:rsidRDefault="00132A5B" w:rsidP="005940E9">
      <w:pPr>
        <w:rPr>
          <w:lang w:val="en-US"/>
        </w:rPr>
      </w:pPr>
      <w:bookmarkStart w:id="3" w:name="_Hlk97019825"/>
      <w:r w:rsidRPr="00172E02">
        <w:rPr>
          <w:lang w:val="en-US"/>
        </w:rPr>
        <w:t xml:space="preserve">Supplementary Table </w:t>
      </w:r>
      <w:r w:rsidR="0072251E" w:rsidRPr="00172E02">
        <w:rPr>
          <w:lang w:val="en-US"/>
        </w:rPr>
        <w:t>4</w:t>
      </w:r>
      <w:r w:rsidRPr="00172E02">
        <w:rPr>
          <w:lang w:val="en-US"/>
        </w:rPr>
        <w:t xml:space="preserve"> - </w:t>
      </w:r>
      <w:r w:rsidR="005940E9" w:rsidRPr="00172E02">
        <w:rPr>
          <w:lang w:val="en-US"/>
        </w:rPr>
        <w:t xml:space="preserve">Sensitivity analysis </w:t>
      </w:r>
      <w:r w:rsidRPr="00172E02">
        <w:rPr>
          <w:lang w:val="en-US"/>
        </w:rPr>
        <w:t>examining</w:t>
      </w:r>
      <w:r w:rsidR="005940E9" w:rsidRPr="00172E02">
        <w:rPr>
          <w:lang w:val="en-US"/>
        </w:rPr>
        <w:t xml:space="preserve"> early </w:t>
      </w:r>
      <w:r w:rsidR="00851F15" w:rsidRPr="00172E02">
        <w:rPr>
          <w:lang w:val="en-US"/>
        </w:rPr>
        <w:t>PMS</w:t>
      </w:r>
      <w:r w:rsidR="004A37F1" w:rsidRPr="00172E02">
        <w:rPr>
          <w:lang w:val="en-US"/>
        </w:rPr>
        <w:t xml:space="preserve"> </w:t>
      </w:r>
      <w:r w:rsidR="005940E9" w:rsidRPr="00172E02">
        <w:rPr>
          <w:lang w:val="en-US"/>
        </w:rPr>
        <w:t>response</w:t>
      </w:r>
      <w:r w:rsidRPr="00172E02">
        <w:rPr>
          <w:lang w:val="en-US"/>
        </w:rPr>
        <w:t xml:space="preserve"> (instead of remission) at week 4/6 vs. delayed </w:t>
      </w:r>
      <w:r w:rsidR="00851F15" w:rsidRPr="00172E02">
        <w:rPr>
          <w:lang w:val="en-US"/>
        </w:rPr>
        <w:t>PMS</w:t>
      </w:r>
      <w:r w:rsidR="004A37F1" w:rsidRPr="00172E02">
        <w:rPr>
          <w:lang w:val="en-US"/>
        </w:rPr>
        <w:t xml:space="preserve"> </w:t>
      </w:r>
      <w:r w:rsidRPr="00172E02">
        <w:rPr>
          <w:lang w:val="en-US"/>
        </w:rPr>
        <w:t>response (week 14)</w:t>
      </w:r>
      <w:r w:rsidR="005940E9" w:rsidRPr="00172E02">
        <w:rPr>
          <w:lang w:val="en-US"/>
        </w:rPr>
        <w:t xml:space="preserve"> </w:t>
      </w:r>
      <w:r w:rsidRPr="00172E02">
        <w:rPr>
          <w:lang w:val="en-US"/>
        </w:rPr>
        <w:t>among vedolizumab patients and a</w:t>
      </w:r>
      <w:r w:rsidR="005940E9" w:rsidRPr="00172E02">
        <w:rPr>
          <w:lang w:val="en-US"/>
        </w:rPr>
        <w:t xml:space="preserve">chievement of outcomes at week 52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043"/>
        <w:gridCol w:w="1800"/>
        <w:gridCol w:w="1801"/>
        <w:gridCol w:w="1528"/>
        <w:gridCol w:w="1404"/>
      </w:tblGrid>
      <w:tr w:rsidR="00132A5B" w:rsidRPr="00172E02" w14:paraId="0E12A8BB" w14:textId="083DA65C" w:rsidTr="00132A5B">
        <w:trPr>
          <w:trHeight w:val="733"/>
        </w:trPr>
        <w:tc>
          <w:tcPr>
            <w:tcW w:w="3043" w:type="dxa"/>
          </w:tcPr>
          <w:bookmarkEnd w:id="3"/>
          <w:p w14:paraId="21D3244F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Outcome at Week 52</w:t>
            </w:r>
          </w:p>
        </w:tc>
        <w:tc>
          <w:tcPr>
            <w:tcW w:w="1800" w:type="dxa"/>
          </w:tcPr>
          <w:p w14:paraId="3C24B52E" w14:textId="289D560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Early</w:t>
            </w:r>
            <w:r w:rsidR="00C73ED1" w:rsidRPr="00172E02">
              <w:rPr>
                <w:lang w:val="en-US"/>
              </w:rPr>
              <w:t xml:space="preserve"> </w:t>
            </w:r>
            <w:r w:rsidR="00851F15" w:rsidRPr="00172E02">
              <w:rPr>
                <w:lang w:val="en-US"/>
              </w:rPr>
              <w:t>PMS</w:t>
            </w:r>
            <w:r w:rsidRPr="00172E02">
              <w:rPr>
                <w:lang w:val="en-US"/>
              </w:rPr>
              <w:t xml:space="preserve"> Response* (Week 4 or 6)</w:t>
            </w:r>
          </w:p>
        </w:tc>
        <w:tc>
          <w:tcPr>
            <w:tcW w:w="1801" w:type="dxa"/>
          </w:tcPr>
          <w:p w14:paraId="67476E50" w14:textId="313C4459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Delayed</w:t>
            </w:r>
            <w:r w:rsidR="00C73ED1" w:rsidRPr="00172E02">
              <w:rPr>
                <w:lang w:val="en-US"/>
              </w:rPr>
              <w:t xml:space="preserve"> </w:t>
            </w:r>
            <w:r w:rsidR="00851F15" w:rsidRPr="00172E02">
              <w:rPr>
                <w:lang w:val="en-US"/>
              </w:rPr>
              <w:t>PMS</w:t>
            </w:r>
            <w:r w:rsidRPr="00172E02">
              <w:rPr>
                <w:lang w:val="en-US"/>
              </w:rPr>
              <w:t xml:space="preserve"> Response* </w:t>
            </w:r>
            <w:r w:rsidRPr="00172E02">
              <w:rPr>
                <w:lang w:val="en-US"/>
              </w:rPr>
              <w:br/>
              <w:t>(Week 14)</w:t>
            </w:r>
          </w:p>
        </w:tc>
        <w:tc>
          <w:tcPr>
            <w:tcW w:w="1528" w:type="dxa"/>
          </w:tcPr>
          <w:p w14:paraId="3A5FF3A4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p-value </w:t>
            </w:r>
          </w:p>
        </w:tc>
        <w:tc>
          <w:tcPr>
            <w:tcW w:w="1404" w:type="dxa"/>
          </w:tcPr>
          <w:p w14:paraId="4023C175" w14:textId="144576E1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adjusted**</w:t>
            </w:r>
          </w:p>
        </w:tc>
      </w:tr>
      <w:tr w:rsidR="00132A5B" w:rsidRPr="00172E02" w14:paraId="3CDB348D" w14:textId="36C17B86" w:rsidTr="00132A5B">
        <w:trPr>
          <w:trHeight w:val="498"/>
        </w:trPr>
        <w:tc>
          <w:tcPr>
            <w:tcW w:w="3043" w:type="dxa"/>
          </w:tcPr>
          <w:p w14:paraId="7CDFD2B7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Clinical remission (PMS of 0), n (%)</w:t>
            </w:r>
          </w:p>
        </w:tc>
        <w:tc>
          <w:tcPr>
            <w:tcW w:w="1800" w:type="dxa"/>
          </w:tcPr>
          <w:p w14:paraId="31A3ACF1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125/266 (47.0)</w:t>
            </w:r>
          </w:p>
        </w:tc>
        <w:tc>
          <w:tcPr>
            <w:tcW w:w="1801" w:type="dxa"/>
          </w:tcPr>
          <w:p w14:paraId="6F2E7A21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8/32 (25.0)</w:t>
            </w:r>
          </w:p>
        </w:tc>
        <w:tc>
          <w:tcPr>
            <w:tcW w:w="1528" w:type="dxa"/>
          </w:tcPr>
          <w:p w14:paraId="6510495C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0.018</w:t>
            </w:r>
          </w:p>
        </w:tc>
        <w:tc>
          <w:tcPr>
            <w:tcW w:w="1404" w:type="dxa"/>
          </w:tcPr>
          <w:p w14:paraId="37AC8B3D" w14:textId="7B302E59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0.023</w:t>
            </w:r>
          </w:p>
        </w:tc>
      </w:tr>
      <w:tr w:rsidR="00132A5B" w:rsidRPr="00172E02" w14:paraId="32F77C97" w14:textId="337EC5CC" w:rsidTr="00132A5B">
        <w:trPr>
          <w:trHeight w:val="484"/>
        </w:trPr>
        <w:tc>
          <w:tcPr>
            <w:tcW w:w="3043" w:type="dxa"/>
          </w:tcPr>
          <w:p w14:paraId="796DEFF4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Endoscopic improvement, n (%) </w:t>
            </w:r>
          </w:p>
        </w:tc>
        <w:tc>
          <w:tcPr>
            <w:tcW w:w="1800" w:type="dxa"/>
          </w:tcPr>
          <w:p w14:paraId="099B6306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141/266 (53.0)</w:t>
            </w:r>
          </w:p>
        </w:tc>
        <w:tc>
          <w:tcPr>
            <w:tcW w:w="1801" w:type="dxa"/>
          </w:tcPr>
          <w:p w14:paraId="29328891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14/32 (43.8)</w:t>
            </w:r>
          </w:p>
        </w:tc>
        <w:tc>
          <w:tcPr>
            <w:tcW w:w="1528" w:type="dxa"/>
          </w:tcPr>
          <w:p w14:paraId="12ADDCAC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0.322</w:t>
            </w:r>
          </w:p>
        </w:tc>
        <w:tc>
          <w:tcPr>
            <w:tcW w:w="1404" w:type="dxa"/>
          </w:tcPr>
          <w:p w14:paraId="2177051E" w14:textId="76CF7636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0.338</w:t>
            </w:r>
          </w:p>
        </w:tc>
      </w:tr>
      <w:tr w:rsidR="00132A5B" w:rsidRPr="00172E02" w14:paraId="6722AF3B" w14:textId="6E0C255A" w:rsidTr="00132A5B">
        <w:trPr>
          <w:trHeight w:val="498"/>
        </w:trPr>
        <w:tc>
          <w:tcPr>
            <w:tcW w:w="3043" w:type="dxa"/>
          </w:tcPr>
          <w:p w14:paraId="5B7378FB" w14:textId="77777777" w:rsidR="00132A5B" w:rsidRPr="00172E02" w:rsidRDefault="00132A5B" w:rsidP="00132A5B">
            <w:pPr>
              <w:rPr>
                <w:lang w:val="en-US"/>
              </w:rPr>
            </w:pPr>
            <w:proofErr w:type="spellStart"/>
            <w:r w:rsidRPr="00172E02">
              <w:rPr>
                <w:lang w:val="en-US"/>
              </w:rPr>
              <w:t>Histo</w:t>
            </w:r>
            <w:proofErr w:type="spellEnd"/>
            <w:r w:rsidRPr="00172E02">
              <w:rPr>
                <w:lang w:val="en-US"/>
              </w:rPr>
              <w:t>-endoscopic mucosal improvement, n (%)</w:t>
            </w:r>
          </w:p>
        </w:tc>
        <w:tc>
          <w:tcPr>
            <w:tcW w:w="1800" w:type="dxa"/>
          </w:tcPr>
          <w:p w14:paraId="77F52400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114/266 (42.9)</w:t>
            </w:r>
          </w:p>
        </w:tc>
        <w:tc>
          <w:tcPr>
            <w:tcW w:w="1801" w:type="dxa"/>
          </w:tcPr>
          <w:p w14:paraId="127306A5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11/32 (34.4)</w:t>
            </w:r>
          </w:p>
        </w:tc>
        <w:tc>
          <w:tcPr>
            <w:tcW w:w="1528" w:type="dxa"/>
          </w:tcPr>
          <w:p w14:paraId="61D2981E" w14:textId="77777777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0.358</w:t>
            </w:r>
          </w:p>
        </w:tc>
        <w:tc>
          <w:tcPr>
            <w:tcW w:w="1404" w:type="dxa"/>
          </w:tcPr>
          <w:p w14:paraId="6301E0E5" w14:textId="0FF6E8B6" w:rsidR="00132A5B" w:rsidRPr="00172E02" w:rsidRDefault="00132A5B" w:rsidP="00132A5B">
            <w:pPr>
              <w:rPr>
                <w:lang w:val="en-US"/>
              </w:rPr>
            </w:pPr>
            <w:r w:rsidRPr="00172E02">
              <w:rPr>
                <w:lang w:val="en-US"/>
              </w:rPr>
              <w:t>0.395</w:t>
            </w:r>
          </w:p>
        </w:tc>
      </w:tr>
    </w:tbl>
    <w:p w14:paraId="38A95FB2" w14:textId="3D513DD5" w:rsidR="005940E9" w:rsidRPr="00172E02" w:rsidRDefault="005940E9" w:rsidP="005940E9">
      <w:pPr>
        <w:rPr>
          <w:lang w:val="en-US"/>
        </w:rPr>
      </w:pPr>
      <w:r w:rsidRPr="00172E02">
        <w:rPr>
          <w:lang w:val="en-US"/>
        </w:rPr>
        <w:t>*</w:t>
      </w:r>
      <w:r w:rsidR="00B0543E" w:rsidRPr="00172E02">
        <w:rPr>
          <w:lang w:val="en-US"/>
        </w:rPr>
        <w:t>D</w:t>
      </w:r>
      <w:r w:rsidRPr="00172E02">
        <w:rPr>
          <w:lang w:val="en-US"/>
        </w:rPr>
        <w:t>efined as a reduction in the partial Mayo of ≥2 points and of ≥25% from baseline, with an accompanying decrease in rectal bleeding subscore of ≥1 point or absolute rectal bleeding subscore of ≤1 point</w:t>
      </w:r>
    </w:p>
    <w:p w14:paraId="4F9B7A2E" w14:textId="308418F0" w:rsidR="00132A5B" w:rsidRPr="00172E02" w:rsidRDefault="00132A5B" w:rsidP="005940E9">
      <w:pPr>
        <w:rPr>
          <w:lang w:val="en-US"/>
        </w:rPr>
      </w:pPr>
      <w:r w:rsidRPr="00172E02">
        <w:rPr>
          <w:lang w:val="en-US"/>
        </w:rPr>
        <w:t>**Adjusted for baseline albumin, prior anti-TNF exposure, baseline Mayo score and disease duration</w:t>
      </w:r>
    </w:p>
    <w:p w14:paraId="66D695F5" w14:textId="43D7BFC5" w:rsidR="00F8283C" w:rsidRPr="00172E02" w:rsidRDefault="00F8283C"/>
    <w:p w14:paraId="46E4C960" w14:textId="77777777" w:rsidR="000F1898" w:rsidRPr="00172E02" w:rsidRDefault="000F1898"/>
    <w:p w14:paraId="3D68E5F2" w14:textId="77777777" w:rsidR="00C85D04" w:rsidRPr="00172E02" w:rsidRDefault="00C85D04"/>
    <w:p w14:paraId="0F8928C6" w14:textId="4A9A7461" w:rsidR="005940E9" w:rsidRPr="00172E02" w:rsidRDefault="00132A5B" w:rsidP="005940E9">
      <w:pPr>
        <w:rPr>
          <w:lang w:val="en-US"/>
        </w:rPr>
      </w:pPr>
      <w:bookmarkStart w:id="4" w:name="_Hlk97019838"/>
      <w:r w:rsidRPr="00172E02">
        <w:rPr>
          <w:lang w:val="en-US"/>
        </w:rPr>
        <w:t xml:space="preserve">Supplementary Table </w:t>
      </w:r>
      <w:r w:rsidR="0072251E" w:rsidRPr="00172E02">
        <w:rPr>
          <w:lang w:val="en-US"/>
        </w:rPr>
        <w:t>5</w:t>
      </w:r>
      <w:r w:rsidRPr="00172E02">
        <w:rPr>
          <w:lang w:val="en-US"/>
        </w:rPr>
        <w:t xml:space="preserve"> - </w:t>
      </w:r>
      <w:r w:rsidR="005940E9" w:rsidRPr="00172E02">
        <w:rPr>
          <w:lang w:val="en-US"/>
        </w:rPr>
        <w:t xml:space="preserve">Sensitivity analysis </w:t>
      </w:r>
      <w:r w:rsidRPr="00172E02">
        <w:rPr>
          <w:lang w:val="en-US"/>
        </w:rPr>
        <w:t xml:space="preserve">examining early </w:t>
      </w:r>
      <w:r w:rsidR="00246DA6" w:rsidRPr="00172E02">
        <w:rPr>
          <w:lang w:val="en-US"/>
        </w:rPr>
        <w:t>PMS remission</w:t>
      </w:r>
      <w:r w:rsidRPr="00172E02">
        <w:rPr>
          <w:lang w:val="en-US"/>
        </w:rPr>
        <w:t xml:space="preserve"> at</w:t>
      </w:r>
      <w:r w:rsidR="005940E9" w:rsidRPr="00172E02">
        <w:rPr>
          <w:lang w:val="en-US"/>
        </w:rPr>
        <w:t xml:space="preserve"> week 2/4 </w:t>
      </w:r>
      <w:r w:rsidRPr="00172E02">
        <w:rPr>
          <w:lang w:val="en-US"/>
        </w:rPr>
        <w:t>(</w:t>
      </w:r>
      <w:r w:rsidR="005940E9" w:rsidRPr="00172E02">
        <w:rPr>
          <w:lang w:val="en-US"/>
        </w:rPr>
        <w:t>instead of week 4/6</w:t>
      </w:r>
      <w:r w:rsidRPr="00172E02">
        <w:rPr>
          <w:lang w:val="en-US"/>
        </w:rPr>
        <w:t xml:space="preserve">) vs. delayed </w:t>
      </w:r>
      <w:r w:rsidR="00246DA6" w:rsidRPr="00172E02">
        <w:rPr>
          <w:lang w:val="en-US"/>
        </w:rPr>
        <w:t>PMS remission</w:t>
      </w:r>
      <w:r w:rsidRPr="00172E02">
        <w:rPr>
          <w:lang w:val="en-US"/>
        </w:rPr>
        <w:t xml:space="preserve"> (week 14) among vedolizumab patients and achievement of outcomes at week 52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17"/>
        <w:gridCol w:w="1717"/>
        <w:gridCol w:w="1718"/>
        <w:gridCol w:w="1623"/>
        <w:gridCol w:w="1275"/>
      </w:tblGrid>
      <w:tr w:rsidR="005940E9" w:rsidRPr="00172E02" w14:paraId="34C8217E" w14:textId="77777777" w:rsidTr="0092498F">
        <w:tc>
          <w:tcPr>
            <w:tcW w:w="3017" w:type="dxa"/>
          </w:tcPr>
          <w:bookmarkEnd w:id="4"/>
          <w:p w14:paraId="1BEDEE74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Outcome at Week 52</w:t>
            </w:r>
          </w:p>
        </w:tc>
        <w:tc>
          <w:tcPr>
            <w:tcW w:w="1717" w:type="dxa"/>
          </w:tcPr>
          <w:p w14:paraId="11E1864D" w14:textId="3EB09AD0" w:rsidR="005940E9" w:rsidRPr="00172E02" w:rsidRDefault="00633ADB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5940E9" w:rsidRPr="00172E02">
              <w:rPr>
                <w:lang w:val="en-US"/>
              </w:rPr>
              <w:t xml:space="preserve"> (Week 2 or 4)</w:t>
            </w:r>
          </w:p>
        </w:tc>
        <w:tc>
          <w:tcPr>
            <w:tcW w:w="1718" w:type="dxa"/>
          </w:tcPr>
          <w:p w14:paraId="13E9E741" w14:textId="43B933E4" w:rsidR="005940E9" w:rsidRPr="00172E02" w:rsidRDefault="00633ADB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Delayed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5940E9" w:rsidRPr="00172E02">
              <w:rPr>
                <w:lang w:val="en-US"/>
              </w:rPr>
              <w:t xml:space="preserve"> </w:t>
            </w:r>
            <w:r w:rsidR="005940E9" w:rsidRPr="00172E02">
              <w:rPr>
                <w:lang w:val="en-US"/>
              </w:rPr>
              <w:br/>
              <w:t>(Week 14)</w:t>
            </w:r>
          </w:p>
        </w:tc>
        <w:tc>
          <w:tcPr>
            <w:tcW w:w="1623" w:type="dxa"/>
          </w:tcPr>
          <w:p w14:paraId="0F5973B2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unadjusted</w:t>
            </w:r>
          </w:p>
        </w:tc>
        <w:tc>
          <w:tcPr>
            <w:tcW w:w="1275" w:type="dxa"/>
          </w:tcPr>
          <w:p w14:paraId="75B82749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adjusted**</w:t>
            </w:r>
          </w:p>
        </w:tc>
      </w:tr>
      <w:tr w:rsidR="005940E9" w:rsidRPr="00172E02" w14:paraId="371DE381" w14:textId="77777777" w:rsidTr="0092498F">
        <w:tc>
          <w:tcPr>
            <w:tcW w:w="3017" w:type="dxa"/>
          </w:tcPr>
          <w:p w14:paraId="7CB9AFEB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Clinical remission (PMS of 0), n (%)</w:t>
            </w:r>
          </w:p>
        </w:tc>
        <w:tc>
          <w:tcPr>
            <w:tcW w:w="1717" w:type="dxa"/>
          </w:tcPr>
          <w:p w14:paraId="7A9EBFB5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46/62 (74.2)</w:t>
            </w:r>
          </w:p>
        </w:tc>
        <w:tc>
          <w:tcPr>
            <w:tcW w:w="1718" w:type="dxa"/>
          </w:tcPr>
          <w:p w14:paraId="372D6DFA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46/85 (54.1)</w:t>
            </w:r>
          </w:p>
        </w:tc>
        <w:tc>
          <w:tcPr>
            <w:tcW w:w="1623" w:type="dxa"/>
          </w:tcPr>
          <w:p w14:paraId="64E0E6F6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0.013</w:t>
            </w:r>
          </w:p>
        </w:tc>
        <w:tc>
          <w:tcPr>
            <w:tcW w:w="1275" w:type="dxa"/>
          </w:tcPr>
          <w:p w14:paraId="23094EB9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0.010</w:t>
            </w:r>
          </w:p>
        </w:tc>
      </w:tr>
      <w:tr w:rsidR="005940E9" w:rsidRPr="00172E02" w14:paraId="1E2E664E" w14:textId="77777777" w:rsidTr="0092498F">
        <w:tc>
          <w:tcPr>
            <w:tcW w:w="3017" w:type="dxa"/>
          </w:tcPr>
          <w:p w14:paraId="4ECCACFF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Endoscopic improvement, n (%) </w:t>
            </w:r>
          </w:p>
        </w:tc>
        <w:tc>
          <w:tcPr>
            <w:tcW w:w="1717" w:type="dxa"/>
          </w:tcPr>
          <w:p w14:paraId="1D159A7D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48/62 (77.4)</w:t>
            </w:r>
          </w:p>
        </w:tc>
        <w:tc>
          <w:tcPr>
            <w:tcW w:w="1718" w:type="dxa"/>
          </w:tcPr>
          <w:p w14:paraId="60D47DCE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51/85 (60.0)</w:t>
            </w:r>
          </w:p>
        </w:tc>
        <w:tc>
          <w:tcPr>
            <w:tcW w:w="1623" w:type="dxa"/>
          </w:tcPr>
          <w:p w14:paraId="52EB4437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0.026</w:t>
            </w:r>
          </w:p>
        </w:tc>
        <w:tc>
          <w:tcPr>
            <w:tcW w:w="1275" w:type="dxa"/>
          </w:tcPr>
          <w:p w14:paraId="26A4DFE7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0.033</w:t>
            </w:r>
          </w:p>
        </w:tc>
      </w:tr>
      <w:tr w:rsidR="005940E9" w:rsidRPr="00172E02" w14:paraId="7FC97AC3" w14:textId="77777777" w:rsidTr="0092498F">
        <w:tc>
          <w:tcPr>
            <w:tcW w:w="3017" w:type="dxa"/>
          </w:tcPr>
          <w:p w14:paraId="75177974" w14:textId="77777777" w:rsidR="005940E9" w:rsidRPr="00172E02" w:rsidRDefault="005940E9" w:rsidP="0092498F">
            <w:pPr>
              <w:rPr>
                <w:lang w:val="en-US"/>
              </w:rPr>
            </w:pPr>
            <w:proofErr w:type="spellStart"/>
            <w:r w:rsidRPr="00172E02">
              <w:rPr>
                <w:lang w:val="en-US"/>
              </w:rPr>
              <w:t>Histo</w:t>
            </w:r>
            <w:proofErr w:type="spellEnd"/>
            <w:r w:rsidRPr="00172E02">
              <w:rPr>
                <w:lang w:val="en-US"/>
              </w:rPr>
              <w:t>-endoscopic mucosal improvement, n (%)</w:t>
            </w:r>
          </w:p>
        </w:tc>
        <w:tc>
          <w:tcPr>
            <w:tcW w:w="1717" w:type="dxa"/>
          </w:tcPr>
          <w:p w14:paraId="209B3D0C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43/62 (69.4)</w:t>
            </w:r>
          </w:p>
        </w:tc>
        <w:tc>
          <w:tcPr>
            <w:tcW w:w="1718" w:type="dxa"/>
          </w:tcPr>
          <w:p w14:paraId="7E81AA08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39/85 (45.9)</w:t>
            </w:r>
          </w:p>
        </w:tc>
        <w:tc>
          <w:tcPr>
            <w:tcW w:w="1623" w:type="dxa"/>
          </w:tcPr>
          <w:p w14:paraId="4F64E958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0.005</w:t>
            </w:r>
          </w:p>
        </w:tc>
        <w:tc>
          <w:tcPr>
            <w:tcW w:w="1275" w:type="dxa"/>
          </w:tcPr>
          <w:p w14:paraId="6D58B94C" w14:textId="77777777" w:rsidR="005940E9" w:rsidRPr="00172E02" w:rsidRDefault="005940E9" w:rsidP="0092498F">
            <w:pPr>
              <w:rPr>
                <w:lang w:val="en-US"/>
              </w:rPr>
            </w:pPr>
            <w:r w:rsidRPr="00172E02">
              <w:rPr>
                <w:lang w:val="en-US"/>
              </w:rPr>
              <w:t>0.012</w:t>
            </w:r>
          </w:p>
        </w:tc>
      </w:tr>
    </w:tbl>
    <w:p w14:paraId="4FA33441" w14:textId="46DE5CE1" w:rsidR="00572E68" w:rsidRPr="00172E02" w:rsidRDefault="000F1898">
      <w:pPr>
        <w:rPr>
          <w:lang w:val="en-US"/>
        </w:rPr>
      </w:pPr>
      <w:r w:rsidRPr="00172E02">
        <w:rPr>
          <w:lang w:val="en-US"/>
        </w:rPr>
        <w:t>*Defined as PMS ≤ 1</w:t>
      </w:r>
      <w:r w:rsidR="005940E9" w:rsidRPr="00172E02">
        <w:rPr>
          <w:lang w:val="en-US"/>
        </w:rPr>
        <w:br/>
        <w:t>**Adjusted for baseline albumin, prior anti-TNF exposure, baseline Mayo score and disease duration</w:t>
      </w:r>
    </w:p>
    <w:p w14:paraId="563F25FF" w14:textId="77777777" w:rsidR="00995584" w:rsidRPr="00172E02" w:rsidRDefault="00995584" w:rsidP="00995584">
      <w:pPr>
        <w:rPr>
          <w:bCs/>
          <w:lang w:val="en-US"/>
        </w:rPr>
      </w:pPr>
    </w:p>
    <w:p w14:paraId="4FA18EBD" w14:textId="5273863C" w:rsidR="00995584" w:rsidRPr="00172E02" w:rsidRDefault="00995584" w:rsidP="00995584">
      <w:pPr>
        <w:rPr>
          <w:bCs/>
          <w:lang w:val="en-US"/>
        </w:rPr>
      </w:pPr>
      <w:bookmarkStart w:id="5" w:name="_Hlk97019846"/>
      <w:r w:rsidRPr="00172E02">
        <w:rPr>
          <w:bCs/>
          <w:lang w:val="en-US"/>
        </w:rPr>
        <w:t xml:space="preserve">Supplementary Table 6 - </w:t>
      </w:r>
      <w:bookmarkStart w:id="6" w:name="_Hlk96940782"/>
      <w:r w:rsidRPr="00172E02">
        <w:rPr>
          <w:bCs/>
          <w:lang w:val="en-US"/>
        </w:rPr>
        <w:t xml:space="preserve">Sensitivity analysis examining achievement </w:t>
      </w:r>
      <w:bookmarkEnd w:id="6"/>
      <w:r w:rsidRPr="00172E02">
        <w:rPr>
          <w:bCs/>
          <w:lang w:val="en-US"/>
        </w:rPr>
        <w:t xml:space="preserve">of outcomes at week 52 among vedolizumab patients stratified by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status among those without steroid use at baseline  </w:t>
      </w:r>
    </w:p>
    <w:tbl>
      <w:tblPr>
        <w:tblStyle w:val="TableGrid1"/>
        <w:tblW w:w="9575" w:type="dxa"/>
        <w:tblLook w:val="04A0" w:firstRow="1" w:lastRow="0" w:firstColumn="1" w:lastColumn="0" w:noHBand="0" w:noVBand="1"/>
      </w:tblPr>
      <w:tblGrid>
        <w:gridCol w:w="3578"/>
        <w:gridCol w:w="1999"/>
        <w:gridCol w:w="1999"/>
        <w:gridCol w:w="1999"/>
      </w:tblGrid>
      <w:tr w:rsidR="00EB5532" w:rsidRPr="00172E02" w14:paraId="4906811D" w14:textId="77777777" w:rsidTr="001344D7">
        <w:trPr>
          <w:trHeight w:val="712"/>
        </w:trPr>
        <w:tc>
          <w:tcPr>
            <w:tcW w:w="3578" w:type="dxa"/>
          </w:tcPr>
          <w:bookmarkEnd w:id="5"/>
          <w:p w14:paraId="4257A526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Outcome at Week 52</w:t>
            </w:r>
          </w:p>
          <w:p w14:paraId="37678689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9" w:type="dxa"/>
          </w:tcPr>
          <w:p w14:paraId="19A1068B" w14:textId="6C5B5457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EB5532" w:rsidRPr="00172E02">
              <w:rPr>
                <w:lang w:val="en-US"/>
              </w:rPr>
              <w:t xml:space="preserve"> (Week 4 or 6)</w:t>
            </w:r>
          </w:p>
        </w:tc>
        <w:tc>
          <w:tcPr>
            <w:tcW w:w="1999" w:type="dxa"/>
          </w:tcPr>
          <w:p w14:paraId="5184D4FE" w14:textId="79FB7A9F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EB5532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1999" w:type="dxa"/>
          </w:tcPr>
          <w:p w14:paraId="6FEBED96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EB5532" w:rsidRPr="00172E02" w14:paraId="45756F5E" w14:textId="77777777" w:rsidTr="001344D7">
        <w:trPr>
          <w:trHeight w:val="482"/>
        </w:trPr>
        <w:tc>
          <w:tcPr>
            <w:tcW w:w="3578" w:type="dxa"/>
          </w:tcPr>
          <w:p w14:paraId="1994057C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Clinical remission (PMS of 0), n (%)</w:t>
            </w:r>
          </w:p>
        </w:tc>
        <w:tc>
          <w:tcPr>
            <w:tcW w:w="1999" w:type="dxa"/>
          </w:tcPr>
          <w:p w14:paraId="5EA3389E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47/69 (68.1)</w:t>
            </w:r>
          </w:p>
        </w:tc>
        <w:tc>
          <w:tcPr>
            <w:tcW w:w="1999" w:type="dxa"/>
          </w:tcPr>
          <w:p w14:paraId="36BFE5AF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15/32 (46.9)</w:t>
            </w:r>
          </w:p>
        </w:tc>
        <w:tc>
          <w:tcPr>
            <w:tcW w:w="1999" w:type="dxa"/>
          </w:tcPr>
          <w:p w14:paraId="7ADB2DB5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0.041</w:t>
            </w:r>
          </w:p>
        </w:tc>
      </w:tr>
      <w:tr w:rsidR="00EB5532" w:rsidRPr="00172E02" w14:paraId="1DC4C514" w14:textId="77777777" w:rsidTr="001344D7">
        <w:trPr>
          <w:trHeight w:val="469"/>
        </w:trPr>
        <w:tc>
          <w:tcPr>
            <w:tcW w:w="3578" w:type="dxa"/>
          </w:tcPr>
          <w:p w14:paraId="262B6112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1999" w:type="dxa"/>
          </w:tcPr>
          <w:p w14:paraId="6937B898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49/69 (71.0)</w:t>
            </w:r>
          </w:p>
        </w:tc>
        <w:tc>
          <w:tcPr>
            <w:tcW w:w="1999" w:type="dxa"/>
          </w:tcPr>
          <w:p w14:paraId="19B17CE2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17/32 (53.1)</w:t>
            </w:r>
          </w:p>
        </w:tc>
        <w:tc>
          <w:tcPr>
            <w:tcW w:w="1999" w:type="dxa"/>
          </w:tcPr>
          <w:p w14:paraId="49109F86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0.079</w:t>
            </w:r>
          </w:p>
        </w:tc>
      </w:tr>
      <w:tr w:rsidR="00EB5532" w:rsidRPr="00172E02" w14:paraId="1C7A2FB8" w14:textId="77777777" w:rsidTr="001344D7">
        <w:trPr>
          <w:trHeight w:val="482"/>
        </w:trPr>
        <w:tc>
          <w:tcPr>
            <w:tcW w:w="3578" w:type="dxa"/>
          </w:tcPr>
          <w:p w14:paraId="20C94B3D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bookmarkStart w:id="7" w:name="_Hlk96947802"/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1999" w:type="dxa"/>
          </w:tcPr>
          <w:p w14:paraId="655814C3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43/69 (62.3)</w:t>
            </w:r>
          </w:p>
        </w:tc>
        <w:tc>
          <w:tcPr>
            <w:tcW w:w="1999" w:type="dxa"/>
          </w:tcPr>
          <w:p w14:paraId="7F21601E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13/32 (40.6)</w:t>
            </w:r>
          </w:p>
        </w:tc>
        <w:tc>
          <w:tcPr>
            <w:tcW w:w="1999" w:type="dxa"/>
          </w:tcPr>
          <w:p w14:paraId="3E715297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0.041</w:t>
            </w:r>
          </w:p>
        </w:tc>
      </w:tr>
    </w:tbl>
    <w:bookmarkEnd w:id="7"/>
    <w:p w14:paraId="6505487F" w14:textId="31F29F58" w:rsidR="00EB5532" w:rsidRPr="00172E02" w:rsidRDefault="000F1898" w:rsidP="00995584">
      <w:pPr>
        <w:rPr>
          <w:bCs/>
          <w:lang w:val="en-US"/>
        </w:rPr>
      </w:pPr>
      <w:r w:rsidRPr="00172E02">
        <w:rPr>
          <w:bCs/>
          <w:lang w:val="en-US"/>
        </w:rPr>
        <w:t>*Defined as PMS ≤ 1</w:t>
      </w:r>
    </w:p>
    <w:p w14:paraId="0AAC6EB2" w14:textId="77777777" w:rsidR="00D97916" w:rsidRPr="00172E02" w:rsidRDefault="00D97916" w:rsidP="00995584">
      <w:pPr>
        <w:rPr>
          <w:bCs/>
          <w:lang w:val="en-US"/>
        </w:rPr>
      </w:pPr>
    </w:p>
    <w:p w14:paraId="52EF7E4F" w14:textId="6676A880" w:rsidR="00995584" w:rsidRPr="00172E02" w:rsidRDefault="00995584" w:rsidP="00995584">
      <w:pPr>
        <w:rPr>
          <w:bCs/>
          <w:lang w:val="en-US"/>
        </w:rPr>
      </w:pPr>
      <w:bookmarkStart w:id="8" w:name="_Hlk97019855"/>
      <w:r w:rsidRPr="00172E02">
        <w:rPr>
          <w:bCs/>
          <w:lang w:val="en-US"/>
        </w:rPr>
        <w:t xml:space="preserve">Supplementary Table 7 - Sensitivity analysis examining achievement of outcomes at week 52 among biologic-naïve vedolizumab patients stratified by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status</w:t>
      </w:r>
    </w:p>
    <w:tbl>
      <w:tblPr>
        <w:tblStyle w:val="TableGrid1"/>
        <w:tblW w:w="9724" w:type="dxa"/>
        <w:tblLook w:val="04A0" w:firstRow="1" w:lastRow="0" w:firstColumn="1" w:lastColumn="0" w:noHBand="0" w:noVBand="1"/>
      </w:tblPr>
      <w:tblGrid>
        <w:gridCol w:w="3634"/>
        <w:gridCol w:w="2030"/>
        <w:gridCol w:w="2030"/>
        <w:gridCol w:w="2030"/>
      </w:tblGrid>
      <w:tr w:rsidR="007A2350" w:rsidRPr="00172E02" w14:paraId="11EF0B36" w14:textId="77777777" w:rsidTr="001344D7">
        <w:trPr>
          <w:trHeight w:val="735"/>
        </w:trPr>
        <w:tc>
          <w:tcPr>
            <w:tcW w:w="3634" w:type="dxa"/>
          </w:tcPr>
          <w:bookmarkEnd w:id="8"/>
          <w:p w14:paraId="5DCD00CD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Outcome at Week 52</w:t>
            </w:r>
          </w:p>
          <w:p w14:paraId="1CA49AB5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30" w:type="dxa"/>
          </w:tcPr>
          <w:p w14:paraId="71CFCA3F" w14:textId="6238BF9E" w:rsidR="007A2350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7A2350" w:rsidRPr="00172E02">
              <w:rPr>
                <w:lang w:val="en-US"/>
              </w:rPr>
              <w:t xml:space="preserve"> (Week 4 or 6)</w:t>
            </w:r>
          </w:p>
        </w:tc>
        <w:tc>
          <w:tcPr>
            <w:tcW w:w="2030" w:type="dxa"/>
          </w:tcPr>
          <w:p w14:paraId="4B8ED171" w14:textId="6D56D9E2" w:rsidR="007A2350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7A2350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2030" w:type="dxa"/>
          </w:tcPr>
          <w:p w14:paraId="4105ADF3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7A2350" w:rsidRPr="00172E02" w14:paraId="62077B23" w14:textId="77777777" w:rsidTr="001344D7">
        <w:trPr>
          <w:trHeight w:val="498"/>
        </w:trPr>
        <w:tc>
          <w:tcPr>
            <w:tcW w:w="3634" w:type="dxa"/>
          </w:tcPr>
          <w:p w14:paraId="1A8DD87B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lastRenderedPageBreak/>
              <w:t>Clinical remission (PMS of 0), n (%)</w:t>
            </w:r>
          </w:p>
        </w:tc>
        <w:tc>
          <w:tcPr>
            <w:tcW w:w="2030" w:type="dxa"/>
          </w:tcPr>
          <w:p w14:paraId="4EB6B38F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59/85 (69.4)</w:t>
            </w:r>
          </w:p>
        </w:tc>
        <w:tc>
          <w:tcPr>
            <w:tcW w:w="2030" w:type="dxa"/>
          </w:tcPr>
          <w:p w14:paraId="52135CB9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20/36 (55.6)</w:t>
            </w:r>
          </w:p>
        </w:tc>
        <w:tc>
          <w:tcPr>
            <w:tcW w:w="2030" w:type="dxa"/>
          </w:tcPr>
          <w:p w14:paraId="4BD91500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0.143</w:t>
            </w:r>
          </w:p>
        </w:tc>
      </w:tr>
      <w:tr w:rsidR="007A2350" w:rsidRPr="00172E02" w14:paraId="312A68F4" w14:textId="77777777" w:rsidTr="001344D7">
        <w:trPr>
          <w:trHeight w:val="484"/>
        </w:trPr>
        <w:tc>
          <w:tcPr>
            <w:tcW w:w="3634" w:type="dxa"/>
          </w:tcPr>
          <w:p w14:paraId="646597BA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2030" w:type="dxa"/>
          </w:tcPr>
          <w:p w14:paraId="287AB7A1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62/85 (72.9)</w:t>
            </w:r>
          </w:p>
        </w:tc>
        <w:tc>
          <w:tcPr>
            <w:tcW w:w="2030" w:type="dxa"/>
          </w:tcPr>
          <w:p w14:paraId="06E35509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21/36 (58.3)</w:t>
            </w:r>
          </w:p>
        </w:tc>
        <w:tc>
          <w:tcPr>
            <w:tcW w:w="2030" w:type="dxa"/>
          </w:tcPr>
          <w:p w14:paraId="5A4200ED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0.113</w:t>
            </w:r>
          </w:p>
        </w:tc>
      </w:tr>
      <w:tr w:rsidR="007A2350" w:rsidRPr="00172E02" w14:paraId="5A699796" w14:textId="77777777" w:rsidTr="001344D7">
        <w:trPr>
          <w:trHeight w:val="498"/>
        </w:trPr>
        <w:tc>
          <w:tcPr>
            <w:tcW w:w="3634" w:type="dxa"/>
          </w:tcPr>
          <w:p w14:paraId="43091ED9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2030" w:type="dxa"/>
          </w:tcPr>
          <w:p w14:paraId="4FF14C3D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54/85 (63.5)</w:t>
            </w:r>
          </w:p>
        </w:tc>
        <w:tc>
          <w:tcPr>
            <w:tcW w:w="2030" w:type="dxa"/>
          </w:tcPr>
          <w:p w14:paraId="77069F17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16/36 (44.4)</w:t>
            </w:r>
          </w:p>
        </w:tc>
        <w:tc>
          <w:tcPr>
            <w:tcW w:w="2030" w:type="dxa"/>
          </w:tcPr>
          <w:p w14:paraId="54123AE0" w14:textId="77777777" w:rsidR="007A2350" w:rsidRPr="00172E02" w:rsidRDefault="007A2350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0.052</w:t>
            </w:r>
          </w:p>
        </w:tc>
      </w:tr>
    </w:tbl>
    <w:p w14:paraId="1FE94B22" w14:textId="3B6F8FC0" w:rsidR="007A2350" w:rsidRPr="00172E02" w:rsidRDefault="000F1898" w:rsidP="007A2350">
      <w:pPr>
        <w:rPr>
          <w:rFonts w:ascii="Calibri" w:eastAsia="Calibri" w:hAnsi="Calibri" w:cs="Times New Roman"/>
          <w:lang w:val="en-US"/>
        </w:rPr>
      </w:pPr>
      <w:r w:rsidRPr="00172E02">
        <w:rPr>
          <w:rFonts w:ascii="Calibri" w:eastAsia="Calibri" w:hAnsi="Calibri" w:cs="Times New Roman"/>
          <w:lang w:val="en-US"/>
        </w:rPr>
        <w:t>*Defined as PMS ≤ 1</w:t>
      </w:r>
    </w:p>
    <w:p w14:paraId="65542C66" w14:textId="77777777" w:rsidR="0045563A" w:rsidRPr="00172E02" w:rsidRDefault="0045563A" w:rsidP="0045563A">
      <w:pPr>
        <w:rPr>
          <w:bCs/>
          <w:lang w:val="en-US"/>
        </w:rPr>
      </w:pPr>
    </w:p>
    <w:p w14:paraId="2FB62BBE" w14:textId="3BDE05E9" w:rsidR="0045563A" w:rsidRPr="00172E02" w:rsidRDefault="0045563A" w:rsidP="0045563A">
      <w:pPr>
        <w:rPr>
          <w:bCs/>
          <w:lang w:val="en-US"/>
        </w:rPr>
      </w:pPr>
      <w:bookmarkStart w:id="9" w:name="_Hlk97019860"/>
      <w:r w:rsidRPr="00172E02">
        <w:rPr>
          <w:bCs/>
          <w:lang w:val="en-US"/>
        </w:rPr>
        <w:t xml:space="preserve">Supplementary Table 8 - Sensitivity analysis examining delayed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(week 14) vs. not in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(week 14) among adalimumab patients and achievement of outcomes at week 52</w:t>
      </w:r>
    </w:p>
    <w:tbl>
      <w:tblPr>
        <w:tblStyle w:val="TableGrid1"/>
        <w:tblW w:w="9559" w:type="dxa"/>
        <w:tblLook w:val="04A0" w:firstRow="1" w:lastRow="0" w:firstColumn="1" w:lastColumn="0" w:noHBand="0" w:noVBand="1"/>
      </w:tblPr>
      <w:tblGrid>
        <w:gridCol w:w="3541"/>
        <w:gridCol w:w="2002"/>
        <w:gridCol w:w="2209"/>
        <w:gridCol w:w="1807"/>
      </w:tblGrid>
      <w:tr w:rsidR="0045563A" w:rsidRPr="00172E02" w14:paraId="3C844A63" w14:textId="77777777" w:rsidTr="001344D7">
        <w:trPr>
          <w:trHeight w:val="674"/>
        </w:trPr>
        <w:tc>
          <w:tcPr>
            <w:tcW w:w="3541" w:type="dxa"/>
          </w:tcPr>
          <w:bookmarkEnd w:id="9"/>
          <w:p w14:paraId="7AB8D490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Outcome at Week 52</w:t>
            </w:r>
          </w:p>
          <w:p w14:paraId="1FBF8F87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02" w:type="dxa"/>
          </w:tcPr>
          <w:p w14:paraId="12F1E139" w14:textId="4BC987EB" w:rsidR="0045563A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45563A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2209" w:type="dxa"/>
          </w:tcPr>
          <w:p w14:paraId="6459FD81" w14:textId="1F05CBAA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Not in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 (Week 14)</w:t>
            </w:r>
          </w:p>
        </w:tc>
        <w:tc>
          <w:tcPr>
            <w:tcW w:w="1807" w:type="dxa"/>
          </w:tcPr>
          <w:p w14:paraId="6B5F27BC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45563A" w:rsidRPr="00172E02" w14:paraId="0F3E19C0" w14:textId="77777777" w:rsidTr="001344D7">
        <w:trPr>
          <w:trHeight w:val="457"/>
        </w:trPr>
        <w:tc>
          <w:tcPr>
            <w:tcW w:w="3541" w:type="dxa"/>
          </w:tcPr>
          <w:p w14:paraId="3A2691CE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bookmarkStart w:id="10" w:name="_Hlk96948694"/>
            <w:r w:rsidRPr="00172E02">
              <w:rPr>
                <w:rFonts w:ascii="Calibri" w:eastAsia="Calibri" w:hAnsi="Calibri" w:cs="Times New Roman"/>
                <w:lang w:val="en-US"/>
              </w:rPr>
              <w:t>Clinical remission (PMS of 0), n (%)</w:t>
            </w:r>
          </w:p>
        </w:tc>
        <w:tc>
          <w:tcPr>
            <w:tcW w:w="2002" w:type="dxa"/>
          </w:tcPr>
          <w:p w14:paraId="74B45D81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>27/44 (61.4)</w:t>
            </w:r>
          </w:p>
        </w:tc>
        <w:tc>
          <w:tcPr>
            <w:tcW w:w="2209" w:type="dxa"/>
          </w:tcPr>
          <w:p w14:paraId="46741D9E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39/276 (14.1)</w:t>
            </w:r>
          </w:p>
        </w:tc>
        <w:tc>
          <w:tcPr>
            <w:tcW w:w="1807" w:type="dxa"/>
          </w:tcPr>
          <w:p w14:paraId="6FA104B2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</w:tr>
      <w:bookmarkEnd w:id="10"/>
      <w:tr w:rsidR="0045563A" w:rsidRPr="00172E02" w14:paraId="384709C5" w14:textId="77777777" w:rsidTr="001344D7">
        <w:trPr>
          <w:trHeight w:val="444"/>
        </w:trPr>
        <w:tc>
          <w:tcPr>
            <w:tcW w:w="3541" w:type="dxa"/>
          </w:tcPr>
          <w:p w14:paraId="723B4F53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2002" w:type="dxa"/>
          </w:tcPr>
          <w:p w14:paraId="685F15DE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>31/44 (70.5)</w:t>
            </w:r>
          </w:p>
        </w:tc>
        <w:tc>
          <w:tcPr>
            <w:tcW w:w="2209" w:type="dxa"/>
          </w:tcPr>
          <w:p w14:paraId="22D6C316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58/276 (21.0)</w:t>
            </w:r>
          </w:p>
        </w:tc>
        <w:tc>
          <w:tcPr>
            <w:tcW w:w="1807" w:type="dxa"/>
          </w:tcPr>
          <w:p w14:paraId="2406E9E0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</w:tr>
      <w:tr w:rsidR="0045563A" w:rsidRPr="00172E02" w14:paraId="5115E1F8" w14:textId="77777777" w:rsidTr="001344D7">
        <w:trPr>
          <w:trHeight w:val="457"/>
        </w:trPr>
        <w:tc>
          <w:tcPr>
            <w:tcW w:w="3541" w:type="dxa"/>
          </w:tcPr>
          <w:p w14:paraId="184EAAC7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bookmarkStart w:id="11" w:name="_Hlk96948747"/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2002" w:type="dxa"/>
          </w:tcPr>
          <w:p w14:paraId="1CFA5076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>24/44 (54.6)</w:t>
            </w:r>
          </w:p>
        </w:tc>
        <w:tc>
          <w:tcPr>
            <w:tcW w:w="2209" w:type="dxa"/>
          </w:tcPr>
          <w:p w14:paraId="49ED933C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31/276 (11.2)</w:t>
            </w:r>
          </w:p>
        </w:tc>
        <w:tc>
          <w:tcPr>
            <w:tcW w:w="1807" w:type="dxa"/>
          </w:tcPr>
          <w:p w14:paraId="3A3652DE" w14:textId="77777777" w:rsidR="0045563A" w:rsidRPr="00172E02" w:rsidRDefault="0045563A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&lt;0.001</w:t>
            </w:r>
          </w:p>
        </w:tc>
      </w:tr>
      <w:bookmarkEnd w:id="11"/>
    </w:tbl>
    <w:p w14:paraId="0378FCE2" w14:textId="77777777" w:rsidR="00995584" w:rsidRPr="00172E02" w:rsidRDefault="00995584" w:rsidP="00572E68">
      <w:pPr>
        <w:rPr>
          <w:lang w:val="en-US"/>
        </w:rPr>
      </w:pPr>
    </w:p>
    <w:p w14:paraId="591B1D7E" w14:textId="77777777" w:rsidR="00FF0C3A" w:rsidRPr="00172E02" w:rsidRDefault="00FF0C3A" w:rsidP="00572E68">
      <w:pPr>
        <w:rPr>
          <w:lang w:val="en-US"/>
        </w:rPr>
      </w:pPr>
      <w:bookmarkStart w:id="12" w:name="_Hlk97019865"/>
    </w:p>
    <w:p w14:paraId="7A841A0B" w14:textId="77777777" w:rsidR="00FF0C3A" w:rsidRPr="00172E02" w:rsidRDefault="00FF0C3A" w:rsidP="00FF0C3A">
      <w:pPr>
        <w:rPr>
          <w:lang w:val="en-US"/>
        </w:rPr>
      </w:pPr>
      <w:bookmarkStart w:id="13" w:name="_Hlk100145230"/>
      <w:r w:rsidRPr="00172E02">
        <w:rPr>
          <w:lang w:val="en-US"/>
        </w:rPr>
        <w:t xml:space="preserve">Supplementary Table 9 - Sensitivity analysis examining early PMS response (instead of remission) at week 4/6 vs. delayed PMS response (week 14) among adalimumab patients and achievement of outcomes at week 52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043"/>
        <w:gridCol w:w="1800"/>
        <w:gridCol w:w="1801"/>
        <w:gridCol w:w="1528"/>
        <w:gridCol w:w="1404"/>
      </w:tblGrid>
      <w:tr w:rsidR="00FF0C3A" w:rsidRPr="00172E02" w14:paraId="77CEE72D" w14:textId="77777777" w:rsidTr="007C28BC">
        <w:trPr>
          <w:trHeight w:val="733"/>
        </w:trPr>
        <w:tc>
          <w:tcPr>
            <w:tcW w:w="3043" w:type="dxa"/>
          </w:tcPr>
          <w:bookmarkEnd w:id="13"/>
          <w:p w14:paraId="38E823BD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Outcome at Week 52</w:t>
            </w:r>
          </w:p>
        </w:tc>
        <w:tc>
          <w:tcPr>
            <w:tcW w:w="1800" w:type="dxa"/>
          </w:tcPr>
          <w:p w14:paraId="3CAFDA5C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Early PMS Response* (Week 4 or 6)</w:t>
            </w:r>
          </w:p>
        </w:tc>
        <w:tc>
          <w:tcPr>
            <w:tcW w:w="1801" w:type="dxa"/>
          </w:tcPr>
          <w:p w14:paraId="4158C6F3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Delayed PMS Response* </w:t>
            </w:r>
            <w:r w:rsidRPr="00172E02">
              <w:rPr>
                <w:lang w:val="en-US"/>
              </w:rPr>
              <w:br/>
              <w:t>(Week 14)</w:t>
            </w:r>
          </w:p>
        </w:tc>
        <w:tc>
          <w:tcPr>
            <w:tcW w:w="1528" w:type="dxa"/>
          </w:tcPr>
          <w:p w14:paraId="05D535B8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p-value </w:t>
            </w:r>
          </w:p>
        </w:tc>
        <w:tc>
          <w:tcPr>
            <w:tcW w:w="1404" w:type="dxa"/>
          </w:tcPr>
          <w:p w14:paraId="5F7A745C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adjusted**</w:t>
            </w:r>
          </w:p>
        </w:tc>
      </w:tr>
      <w:tr w:rsidR="00FF0C3A" w:rsidRPr="00172E02" w14:paraId="1B41AF97" w14:textId="77777777" w:rsidTr="007C28BC">
        <w:trPr>
          <w:trHeight w:val="498"/>
        </w:trPr>
        <w:tc>
          <w:tcPr>
            <w:tcW w:w="3043" w:type="dxa"/>
          </w:tcPr>
          <w:p w14:paraId="5787AFEB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Clinical remission (PMS of 0), n (%)</w:t>
            </w:r>
          </w:p>
        </w:tc>
        <w:tc>
          <w:tcPr>
            <w:tcW w:w="1800" w:type="dxa"/>
          </w:tcPr>
          <w:p w14:paraId="0B74ACE8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78/222 (35.1)</w:t>
            </w:r>
          </w:p>
        </w:tc>
        <w:tc>
          <w:tcPr>
            <w:tcW w:w="1801" w:type="dxa"/>
          </w:tcPr>
          <w:p w14:paraId="1619EE4A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7/30 (23.3)</w:t>
            </w:r>
          </w:p>
        </w:tc>
        <w:tc>
          <w:tcPr>
            <w:tcW w:w="1528" w:type="dxa"/>
          </w:tcPr>
          <w:p w14:paraId="7BD75496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0.199</w:t>
            </w:r>
          </w:p>
        </w:tc>
        <w:tc>
          <w:tcPr>
            <w:tcW w:w="1404" w:type="dxa"/>
          </w:tcPr>
          <w:p w14:paraId="0ED4F82E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0.151</w:t>
            </w:r>
          </w:p>
        </w:tc>
      </w:tr>
      <w:tr w:rsidR="00FF0C3A" w:rsidRPr="00172E02" w14:paraId="24AE3BB3" w14:textId="77777777" w:rsidTr="007C28BC">
        <w:trPr>
          <w:trHeight w:val="484"/>
        </w:trPr>
        <w:tc>
          <w:tcPr>
            <w:tcW w:w="3043" w:type="dxa"/>
          </w:tcPr>
          <w:p w14:paraId="41F9F425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Endoscopic improvement, n (%) </w:t>
            </w:r>
          </w:p>
        </w:tc>
        <w:tc>
          <w:tcPr>
            <w:tcW w:w="1800" w:type="dxa"/>
          </w:tcPr>
          <w:p w14:paraId="2D180370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98/222 (44.1)</w:t>
            </w:r>
          </w:p>
        </w:tc>
        <w:tc>
          <w:tcPr>
            <w:tcW w:w="1801" w:type="dxa"/>
          </w:tcPr>
          <w:p w14:paraId="0D48AAEB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9/30 (30.0)</w:t>
            </w:r>
          </w:p>
        </w:tc>
        <w:tc>
          <w:tcPr>
            <w:tcW w:w="1528" w:type="dxa"/>
          </w:tcPr>
          <w:p w14:paraId="37D1BAEF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0.141</w:t>
            </w:r>
          </w:p>
        </w:tc>
        <w:tc>
          <w:tcPr>
            <w:tcW w:w="1404" w:type="dxa"/>
          </w:tcPr>
          <w:p w14:paraId="03FD3A32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0.123</w:t>
            </w:r>
          </w:p>
        </w:tc>
      </w:tr>
      <w:tr w:rsidR="00FF0C3A" w:rsidRPr="00172E02" w14:paraId="356952E4" w14:textId="77777777" w:rsidTr="007C28BC">
        <w:trPr>
          <w:trHeight w:val="498"/>
        </w:trPr>
        <w:tc>
          <w:tcPr>
            <w:tcW w:w="3043" w:type="dxa"/>
          </w:tcPr>
          <w:p w14:paraId="4B3509F5" w14:textId="77777777" w:rsidR="00FF0C3A" w:rsidRPr="00172E02" w:rsidRDefault="00FF0C3A" w:rsidP="007C28BC">
            <w:pPr>
              <w:rPr>
                <w:lang w:val="en-US"/>
              </w:rPr>
            </w:pPr>
            <w:proofErr w:type="spellStart"/>
            <w:r w:rsidRPr="00172E02">
              <w:rPr>
                <w:lang w:val="en-US"/>
              </w:rPr>
              <w:t>Histo</w:t>
            </w:r>
            <w:proofErr w:type="spellEnd"/>
            <w:r w:rsidRPr="00172E02">
              <w:rPr>
                <w:lang w:val="en-US"/>
              </w:rPr>
              <w:t>-endoscopic mucosal improvement, n (%)</w:t>
            </w:r>
          </w:p>
        </w:tc>
        <w:tc>
          <w:tcPr>
            <w:tcW w:w="1800" w:type="dxa"/>
          </w:tcPr>
          <w:p w14:paraId="4CCBE43B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65/222 (29.3)</w:t>
            </w:r>
          </w:p>
        </w:tc>
        <w:tc>
          <w:tcPr>
            <w:tcW w:w="1801" w:type="dxa"/>
          </w:tcPr>
          <w:p w14:paraId="44FF784F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7/30 (23.3)</w:t>
            </w:r>
          </w:p>
        </w:tc>
        <w:tc>
          <w:tcPr>
            <w:tcW w:w="1528" w:type="dxa"/>
          </w:tcPr>
          <w:p w14:paraId="17B7567A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0.499</w:t>
            </w:r>
          </w:p>
        </w:tc>
        <w:tc>
          <w:tcPr>
            <w:tcW w:w="1404" w:type="dxa"/>
          </w:tcPr>
          <w:p w14:paraId="6F7D4FBF" w14:textId="77777777" w:rsidR="00FF0C3A" w:rsidRPr="00172E02" w:rsidRDefault="00FF0C3A" w:rsidP="007C28BC">
            <w:pPr>
              <w:rPr>
                <w:lang w:val="en-US"/>
              </w:rPr>
            </w:pPr>
            <w:r w:rsidRPr="00172E02">
              <w:rPr>
                <w:lang w:val="en-US"/>
              </w:rPr>
              <w:t>0.365</w:t>
            </w:r>
          </w:p>
        </w:tc>
      </w:tr>
    </w:tbl>
    <w:p w14:paraId="249DBC16" w14:textId="77777777" w:rsidR="00FF0C3A" w:rsidRPr="00172E02" w:rsidRDefault="00FF0C3A" w:rsidP="00FF0C3A">
      <w:pPr>
        <w:rPr>
          <w:lang w:val="en-US"/>
        </w:rPr>
      </w:pPr>
      <w:r w:rsidRPr="00172E02">
        <w:rPr>
          <w:lang w:val="en-US"/>
        </w:rPr>
        <w:t>*Defined as a reduction in the partial Mayo of ≥2 points and of ≥25% from baseline, with an accompanying decrease in rectal bleeding subscore of ≥1 point or absolute rectal bleeding subscore of ≤1 point</w:t>
      </w:r>
    </w:p>
    <w:p w14:paraId="524567DD" w14:textId="77777777" w:rsidR="00FF0C3A" w:rsidRPr="00172E02" w:rsidRDefault="00FF0C3A" w:rsidP="00FF0C3A">
      <w:pPr>
        <w:rPr>
          <w:lang w:val="en-US"/>
        </w:rPr>
      </w:pPr>
      <w:r w:rsidRPr="00172E02">
        <w:rPr>
          <w:lang w:val="en-US"/>
        </w:rPr>
        <w:t>**Adjusted for baseline albumin, prior anti-TNF exposure, baseline Mayo score and disease duration</w:t>
      </w:r>
    </w:p>
    <w:p w14:paraId="4BAE7B40" w14:textId="77777777" w:rsidR="00FF0C3A" w:rsidRPr="00172E02" w:rsidRDefault="00FF0C3A" w:rsidP="00FF0C3A"/>
    <w:p w14:paraId="7FBB2AA6" w14:textId="77777777" w:rsidR="00FF0C3A" w:rsidRPr="00172E02" w:rsidRDefault="00FF0C3A" w:rsidP="00FF0C3A"/>
    <w:p w14:paraId="4A6031CB" w14:textId="77777777" w:rsidR="00FF0C3A" w:rsidRPr="00172E02" w:rsidRDefault="00FF0C3A" w:rsidP="00FF0C3A"/>
    <w:p w14:paraId="4D96468B" w14:textId="6980A555" w:rsidR="00572E68" w:rsidRPr="00172E02" w:rsidRDefault="00572E68" w:rsidP="00572E68">
      <w:pPr>
        <w:rPr>
          <w:lang w:val="en-US"/>
        </w:rPr>
      </w:pPr>
      <w:r w:rsidRPr="00172E02">
        <w:rPr>
          <w:lang w:val="en-US"/>
        </w:rPr>
        <w:t xml:space="preserve">Supplementary Table </w:t>
      </w:r>
      <w:r w:rsidR="00FF0C3A" w:rsidRPr="00172E02">
        <w:rPr>
          <w:lang w:val="en-US"/>
        </w:rPr>
        <w:t>10</w:t>
      </w:r>
      <w:r w:rsidRPr="00172E02">
        <w:rPr>
          <w:lang w:val="en-US"/>
        </w:rPr>
        <w:t xml:space="preserve"> - Sensitivity analysis examining early </w:t>
      </w:r>
      <w:r w:rsidR="00246DA6" w:rsidRPr="00172E02">
        <w:rPr>
          <w:lang w:val="en-US"/>
        </w:rPr>
        <w:t>PMS remission</w:t>
      </w:r>
      <w:r w:rsidRPr="00172E02">
        <w:rPr>
          <w:lang w:val="en-US"/>
        </w:rPr>
        <w:t xml:space="preserve"> at week 2/4 (instead of week 4/6) vs. delayed </w:t>
      </w:r>
      <w:r w:rsidR="00246DA6" w:rsidRPr="00172E02">
        <w:rPr>
          <w:lang w:val="en-US"/>
        </w:rPr>
        <w:t>PMS remission</w:t>
      </w:r>
      <w:r w:rsidRPr="00172E02">
        <w:rPr>
          <w:lang w:val="en-US"/>
        </w:rPr>
        <w:t xml:space="preserve"> (week 14) among adalimumab patients and achievement of outcomes at week 52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17"/>
        <w:gridCol w:w="1717"/>
        <w:gridCol w:w="1718"/>
        <w:gridCol w:w="1623"/>
        <w:gridCol w:w="1275"/>
      </w:tblGrid>
      <w:tr w:rsidR="00572E68" w:rsidRPr="00172E02" w14:paraId="297721CF" w14:textId="77777777" w:rsidTr="00333FAF">
        <w:tc>
          <w:tcPr>
            <w:tcW w:w="3017" w:type="dxa"/>
          </w:tcPr>
          <w:bookmarkEnd w:id="12"/>
          <w:p w14:paraId="191D0F60" w14:textId="77777777" w:rsidR="00572E68" w:rsidRPr="00172E02" w:rsidRDefault="00572E68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Outcome at Week 52</w:t>
            </w:r>
          </w:p>
        </w:tc>
        <w:tc>
          <w:tcPr>
            <w:tcW w:w="1717" w:type="dxa"/>
          </w:tcPr>
          <w:p w14:paraId="0AE3974A" w14:textId="3D57C594" w:rsidR="00572E68" w:rsidRPr="00172E02" w:rsidRDefault="00633ADB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572E68" w:rsidRPr="00172E02">
              <w:rPr>
                <w:lang w:val="en-US"/>
              </w:rPr>
              <w:t xml:space="preserve"> (Week 2 or 4)</w:t>
            </w:r>
          </w:p>
        </w:tc>
        <w:tc>
          <w:tcPr>
            <w:tcW w:w="1718" w:type="dxa"/>
          </w:tcPr>
          <w:p w14:paraId="582FBB50" w14:textId="1876842F" w:rsidR="00572E68" w:rsidRPr="00172E02" w:rsidRDefault="00633ADB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Delayed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572E68" w:rsidRPr="00172E02">
              <w:rPr>
                <w:lang w:val="en-US"/>
              </w:rPr>
              <w:t xml:space="preserve"> </w:t>
            </w:r>
            <w:r w:rsidR="00572E68" w:rsidRPr="00172E02">
              <w:rPr>
                <w:lang w:val="en-US"/>
              </w:rPr>
              <w:br/>
              <w:t>(Week 14)</w:t>
            </w:r>
          </w:p>
        </w:tc>
        <w:tc>
          <w:tcPr>
            <w:tcW w:w="1623" w:type="dxa"/>
          </w:tcPr>
          <w:p w14:paraId="3A31C634" w14:textId="77777777" w:rsidR="00572E68" w:rsidRPr="00172E02" w:rsidRDefault="00572E68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unadjusted</w:t>
            </w:r>
          </w:p>
        </w:tc>
        <w:tc>
          <w:tcPr>
            <w:tcW w:w="1275" w:type="dxa"/>
          </w:tcPr>
          <w:p w14:paraId="228D8013" w14:textId="77777777" w:rsidR="00572E68" w:rsidRPr="00172E02" w:rsidRDefault="00572E68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p-value adjusted**</w:t>
            </w:r>
          </w:p>
        </w:tc>
      </w:tr>
      <w:tr w:rsidR="00572E68" w:rsidRPr="00172E02" w14:paraId="2E15B9E5" w14:textId="77777777" w:rsidTr="00333FAF">
        <w:tc>
          <w:tcPr>
            <w:tcW w:w="3017" w:type="dxa"/>
          </w:tcPr>
          <w:p w14:paraId="5A58D1EC" w14:textId="77777777" w:rsidR="00572E68" w:rsidRPr="00172E02" w:rsidRDefault="00572E68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Clinical remission (PMS of 0), n (%)</w:t>
            </w:r>
          </w:p>
        </w:tc>
        <w:tc>
          <w:tcPr>
            <w:tcW w:w="1717" w:type="dxa"/>
          </w:tcPr>
          <w:p w14:paraId="1C7A2EC4" w14:textId="1FFBDB16" w:rsidR="00572E68" w:rsidRPr="00172E02" w:rsidRDefault="006E1DA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25/54 (46.3)</w:t>
            </w:r>
          </w:p>
        </w:tc>
        <w:tc>
          <w:tcPr>
            <w:tcW w:w="1718" w:type="dxa"/>
          </w:tcPr>
          <w:p w14:paraId="1660DB7D" w14:textId="4C881113" w:rsidR="00572E68" w:rsidRPr="00172E02" w:rsidRDefault="006E1DA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32/56 (57.1)</w:t>
            </w:r>
          </w:p>
        </w:tc>
        <w:tc>
          <w:tcPr>
            <w:tcW w:w="1623" w:type="dxa"/>
          </w:tcPr>
          <w:p w14:paraId="1CD10C6D" w14:textId="7882A26C" w:rsidR="00572E68" w:rsidRPr="00172E02" w:rsidRDefault="006E1DA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0.279</w:t>
            </w:r>
          </w:p>
        </w:tc>
        <w:tc>
          <w:tcPr>
            <w:tcW w:w="1275" w:type="dxa"/>
          </w:tcPr>
          <w:p w14:paraId="1AD6660D" w14:textId="641E1BFF" w:rsidR="00572E68" w:rsidRPr="00172E02" w:rsidRDefault="006E1DA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0.221</w:t>
            </w:r>
          </w:p>
        </w:tc>
      </w:tr>
      <w:tr w:rsidR="00572E68" w:rsidRPr="00172E02" w14:paraId="6E250924" w14:textId="77777777" w:rsidTr="00333FAF">
        <w:tc>
          <w:tcPr>
            <w:tcW w:w="3017" w:type="dxa"/>
          </w:tcPr>
          <w:p w14:paraId="617B08BE" w14:textId="77777777" w:rsidR="00572E68" w:rsidRPr="00172E02" w:rsidRDefault="00572E68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 xml:space="preserve">Endoscopic improvement, n (%) </w:t>
            </w:r>
          </w:p>
        </w:tc>
        <w:tc>
          <w:tcPr>
            <w:tcW w:w="1717" w:type="dxa"/>
          </w:tcPr>
          <w:p w14:paraId="480B5922" w14:textId="30EAB216" w:rsidR="00572E68" w:rsidRPr="00172E02" w:rsidRDefault="001B772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30/54 (55.6)</w:t>
            </w:r>
          </w:p>
        </w:tc>
        <w:tc>
          <w:tcPr>
            <w:tcW w:w="1718" w:type="dxa"/>
          </w:tcPr>
          <w:p w14:paraId="76674DB5" w14:textId="511AA2E2" w:rsidR="00572E68" w:rsidRPr="00172E02" w:rsidRDefault="001B772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37/56 (66.1)</w:t>
            </w:r>
          </w:p>
        </w:tc>
        <w:tc>
          <w:tcPr>
            <w:tcW w:w="1623" w:type="dxa"/>
          </w:tcPr>
          <w:p w14:paraId="741D0938" w14:textId="067F91C6" w:rsidR="00572E68" w:rsidRPr="00172E02" w:rsidRDefault="0028560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0.260</w:t>
            </w:r>
          </w:p>
        </w:tc>
        <w:tc>
          <w:tcPr>
            <w:tcW w:w="1275" w:type="dxa"/>
          </w:tcPr>
          <w:p w14:paraId="18F79BE9" w14:textId="587320C4" w:rsidR="00572E68" w:rsidRPr="00172E02" w:rsidRDefault="007D48E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0.277</w:t>
            </w:r>
          </w:p>
        </w:tc>
      </w:tr>
      <w:tr w:rsidR="00572E68" w:rsidRPr="00172E02" w14:paraId="23831A0B" w14:textId="77777777" w:rsidTr="00333FAF">
        <w:tc>
          <w:tcPr>
            <w:tcW w:w="3017" w:type="dxa"/>
          </w:tcPr>
          <w:p w14:paraId="1DDC9F91" w14:textId="77777777" w:rsidR="00572E68" w:rsidRPr="00172E02" w:rsidRDefault="00572E68" w:rsidP="00333FAF">
            <w:pPr>
              <w:rPr>
                <w:lang w:val="en-US"/>
              </w:rPr>
            </w:pPr>
            <w:proofErr w:type="spellStart"/>
            <w:r w:rsidRPr="00172E02">
              <w:rPr>
                <w:lang w:val="en-US"/>
              </w:rPr>
              <w:t>Histo</w:t>
            </w:r>
            <w:proofErr w:type="spellEnd"/>
            <w:r w:rsidRPr="00172E02">
              <w:rPr>
                <w:lang w:val="en-US"/>
              </w:rPr>
              <w:t>-endoscopic mucosal improvement, n (%)</w:t>
            </w:r>
          </w:p>
        </w:tc>
        <w:tc>
          <w:tcPr>
            <w:tcW w:w="1717" w:type="dxa"/>
          </w:tcPr>
          <w:p w14:paraId="33E25053" w14:textId="23C2D66D" w:rsidR="00572E68" w:rsidRPr="00172E02" w:rsidRDefault="001B772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20/54 (37.0)</w:t>
            </w:r>
          </w:p>
        </w:tc>
        <w:tc>
          <w:tcPr>
            <w:tcW w:w="1718" w:type="dxa"/>
          </w:tcPr>
          <w:p w14:paraId="0C30410B" w14:textId="3F1CFC40" w:rsidR="00572E68" w:rsidRPr="00172E02" w:rsidRDefault="001B772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29/56 (51.8)</w:t>
            </w:r>
          </w:p>
        </w:tc>
        <w:tc>
          <w:tcPr>
            <w:tcW w:w="1623" w:type="dxa"/>
          </w:tcPr>
          <w:p w14:paraId="323C0203" w14:textId="2511E660" w:rsidR="00572E68" w:rsidRPr="00172E02" w:rsidRDefault="0028560F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0.121</w:t>
            </w:r>
          </w:p>
        </w:tc>
        <w:tc>
          <w:tcPr>
            <w:tcW w:w="1275" w:type="dxa"/>
          </w:tcPr>
          <w:p w14:paraId="4325FDB6" w14:textId="6CEEF229" w:rsidR="00572E68" w:rsidRPr="00172E02" w:rsidRDefault="007D48EC" w:rsidP="00333FAF">
            <w:pPr>
              <w:rPr>
                <w:lang w:val="en-US"/>
              </w:rPr>
            </w:pPr>
            <w:r w:rsidRPr="00172E02">
              <w:rPr>
                <w:lang w:val="en-US"/>
              </w:rPr>
              <w:t>0.203</w:t>
            </w:r>
          </w:p>
        </w:tc>
      </w:tr>
    </w:tbl>
    <w:p w14:paraId="778AD330" w14:textId="0B300076" w:rsidR="00572E68" w:rsidRPr="00172E02" w:rsidRDefault="00572E68" w:rsidP="00572E68">
      <w:pPr>
        <w:rPr>
          <w:lang w:val="en-US"/>
        </w:rPr>
      </w:pPr>
      <w:r w:rsidRPr="00172E02">
        <w:rPr>
          <w:lang w:val="en-US"/>
        </w:rPr>
        <w:t>*</w:t>
      </w:r>
      <w:r w:rsidR="000F1898" w:rsidRPr="00172E02">
        <w:rPr>
          <w:lang w:val="en-US"/>
        </w:rPr>
        <w:t>D</w:t>
      </w:r>
      <w:r w:rsidRPr="00172E02">
        <w:rPr>
          <w:lang w:val="en-US"/>
        </w:rPr>
        <w:t xml:space="preserve">efined as PMS </w:t>
      </w:r>
      <w:r w:rsidRPr="00172E02">
        <w:rPr>
          <w:rFonts w:cstheme="minorHAnsi"/>
          <w:lang w:val="en-US"/>
        </w:rPr>
        <w:t>≤</w:t>
      </w:r>
      <w:r w:rsidRPr="00172E02">
        <w:rPr>
          <w:lang w:val="en-US"/>
        </w:rPr>
        <w:t xml:space="preserve"> 1</w:t>
      </w:r>
      <w:r w:rsidRPr="00172E02">
        <w:rPr>
          <w:lang w:val="en-US"/>
        </w:rPr>
        <w:br/>
        <w:t>**Adjusted for baseline albumin, prior anti-TNF exposure, baseline Mayo score and disease duration</w:t>
      </w:r>
    </w:p>
    <w:p w14:paraId="1C143086" w14:textId="1E8554B3" w:rsidR="00572E68" w:rsidRPr="00172E02" w:rsidRDefault="00572E68">
      <w:pPr>
        <w:rPr>
          <w:lang w:val="en-US"/>
        </w:rPr>
      </w:pPr>
    </w:p>
    <w:p w14:paraId="74B6985F" w14:textId="1C005E76" w:rsidR="000A04F4" w:rsidRPr="00172E02" w:rsidRDefault="000A04F4">
      <w:pPr>
        <w:rPr>
          <w:lang w:val="en-US"/>
        </w:rPr>
      </w:pPr>
    </w:p>
    <w:p w14:paraId="39B7EFDB" w14:textId="306F8B9F" w:rsidR="00995584" w:rsidRPr="00172E02" w:rsidRDefault="00995584" w:rsidP="00995584">
      <w:pPr>
        <w:rPr>
          <w:bCs/>
          <w:lang w:val="en-US"/>
        </w:rPr>
      </w:pPr>
      <w:bookmarkStart w:id="14" w:name="_Hlk97019874"/>
      <w:r w:rsidRPr="00172E02">
        <w:rPr>
          <w:bCs/>
          <w:lang w:val="en-US"/>
        </w:rPr>
        <w:t>Supplementary Table 1</w:t>
      </w:r>
      <w:r w:rsidR="00FF0C3A" w:rsidRPr="00172E02">
        <w:rPr>
          <w:bCs/>
          <w:lang w:val="en-US"/>
        </w:rPr>
        <w:t>1</w:t>
      </w:r>
      <w:r w:rsidRPr="00172E02">
        <w:rPr>
          <w:bCs/>
          <w:lang w:val="en-US"/>
        </w:rPr>
        <w:t xml:space="preserve"> - Sensitivity analysis examining achievement of outcomes at week 52 among adalimumab patients stratified by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status among those without steroid use at baseline </w:t>
      </w:r>
    </w:p>
    <w:tbl>
      <w:tblPr>
        <w:tblStyle w:val="TableGrid1"/>
        <w:tblW w:w="9695" w:type="dxa"/>
        <w:tblLook w:val="04A0" w:firstRow="1" w:lastRow="0" w:firstColumn="1" w:lastColumn="0" w:noHBand="0" w:noVBand="1"/>
      </w:tblPr>
      <w:tblGrid>
        <w:gridCol w:w="3623"/>
        <w:gridCol w:w="2024"/>
        <w:gridCol w:w="2024"/>
        <w:gridCol w:w="2024"/>
      </w:tblGrid>
      <w:tr w:rsidR="00EB5532" w:rsidRPr="00172E02" w14:paraId="796741D8" w14:textId="77777777" w:rsidTr="001344D7">
        <w:trPr>
          <w:trHeight w:val="610"/>
        </w:trPr>
        <w:tc>
          <w:tcPr>
            <w:tcW w:w="3623" w:type="dxa"/>
          </w:tcPr>
          <w:bookmarkEnd w:id="14"/>
          <w:p w14:paraId="79A64495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Outcome at Week 52</w:t>
            </w:r>
          </w:p>
          <w:p w14:paraId="7AA1EF87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4" w:type="dxa"/>
          </w:tcPr>
          <w:p w14:paraId="316F015C" w14:textId="14422C03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EB5532" w:rsidRPr="00172E02">
              <w:rPr>
                <w:lang w:val="en-US"/>
              </w:rPr>
              <w:t xml:space="preserve"> (Week 4 or 6)</w:t>
            </w:r>
          </w:p>
        </w:tc>
        <w:tc>
          <w:tcPr>
            <w:tcW w:w="2024" w:type="dxa"/>
          </w:tcPr>
          <w:p w14:paraId="0A93EEE2" w14:textId="7B314CFF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EB5532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2024" w:type="dxa"/>
          </w:tcPr>
          <w:p w14:paraId="683FFA03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EB5532" w:rsidRPr="00172E02" w14:paraId="3A7429D1" w14:textId="77777777" w:rsidTr="001344D7">
        <w:trPr>
          <w:trHeight w:val="413"/>
        </w:trPr>
        <w:tc>
          <w:tcPr>
            <w:tcW w:w="3623" w:type="dxa"/>
          </w:tcPr>
          <w:p w14:paraId="0955E5DF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Clinical remission (PMS of 0), n (%)</w:t>
            </w:r>
          </w:p>
        </w:tc>
        <w:tc>
          <w:tcPr>
            <w:tcW w:w="2024" w:type="dxa"/>
          </w:tcPr>
          <w:p w14:paraId="3F604CCA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15/36 (41.7)</w:t>
            </w:r>
          </w:p>
        </w:tc>
        <w:tc>
          <w:tcPr>
            <w:tcW w:w="2024" w:type="dxa"/>
          </w:tcPr>
          <w:p w14:paraId="6C6EC4BC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15/30 (50.0)</w:t>
            </w:r>
          </w:p>
        </w:tc>
        <w:tc>
          <w:tcPr>
            <w:tcW w:w="2024" w:type="dxa"/>
          </w:tcPr>
          <w:p w14:paraId="707E5AF4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0.498</w:t>
            </w:r>
          </w:p>
        </w:tc>
      </w:tr>
      <w:tr w:rsidR="00EB5532" w:rsidRPr="00172E02" w14:paraId="48E369DB" w14:textId="77777777" w:rsidTr="001344D7">
        <w:trPr>
          <w:trHeight w:val="402"/>
        </w:trPr>
        <w:tc>
          <w:tcPr>
            <w:tcW w:w="3623" w:type="dxa"/>
          </w:tcPr>
          <w:p w14:paraId="65089EA8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2024" w:type="dxa"/>
          </w:tcPr>
          <w:p w14:paraId="16BB74F7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18/36 (50.0)</w:t>
            </w:r>
          </w:p>
        </w:tc>
        <w:tc>
          <w:tcPr>
            <w:tcW w:w="2024" w:type="dxa"/>
          </w:tcPr>
          <w:p w14:paraId="3082EAB8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19/30 (63.3)</w:t>
            </w:r>
          </w:p>
        </w:tc>
        <w:tc>
          <w:tcPr>
            <w:tcW w:w="2024" w:type="dxa"/>
          </w:tcPr>
          <w:p w14:paraId="29735728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0.277</w:t>
            </w:r>
          </w:p>
        </w:tc>
      </w:tr>
      <w:tr w:rsidR="00EB5532" w:rsidRPr="00172E02" w14:paraId="7F7E56D5" w14:textId="77777777" w:rsidTr="001344D7">
        <w:trPr>
          <w:trHeight w:val="413"/>
        </w:trPr>
        <w:tc>
          <w:tcPr>
            <w:tcW w:w="3623" w:type="dxa"/>
          </w:tcPr>
          <w:p w14:paraId="5760C59B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2024" w:type="dxa"/>
          </w:tcPr>
          <w:p w14:paraId="3689BD5A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13/36 (36.1)</w:t>
            </w:r>
          </w:p>
        </w:tc>
        <w:tc>
          <w:tcPr>
            <w:tcW w:w="2024" w:type="dxa"/>
          </w:tcPr>
          <w:p w14:paraId="5D31EAB4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15/30 (50.0)</w:t>
            </w:r>
          </w:p>
        </w:tc>
        <w:tc>
          <w:tcPr>
            <w:tcW w:w="2024" w:type="dxa"/>
          </w:tcPr>
          <w:p w14:paraId="5F05E064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0.256</w:t>
            </w:r>
          </w:p>
        </w:tc>
      </w:tr>
    </w:tbl>
    <w:p w14:paraId="2CD628E9" w14:textId="5D65AF47" w:rsidR="00EB5532" w:rsidRPr="00172E02" w:rsidRDefault="000F1898" w:rsidP="00EB5532">
      <w:pPr>
        <w:rPr>
          <w:rFonts w:ascii="Calibri" w:eastAsia="Calibri" w:hAnsi="Calibri" w:cs="Times New Roman"/>
          <w:lang w:val="en-US"/>
        </w:rPr>
      </w:pPr>
      <w:r w:rsidRPr="00172E02">
        <w:rPr>
          <w:rFonts w:ascii="Calibri" w:eastAsia="Calibri" w:hAnsi="Calibri" w:cs="Times New Roman"/>
          <w:lang w:val="en-US"/>
        </w:rPr>
        <w:t>*Defined as PMS ≤ 1</w:t>
      </w:r>
    </w:p>
    <w:p w14:paraId="60797B40" w14:textId="77777777" w:rsidR="00995584" w:rsidRPr="00172E02" w:rsidRDefault="00995584" w:rsidP="00995584">
      <w:pPr>
        <w:rPr>
          <w:b/>
          <w:lang w:val="en-US"/>
        </w:rPr>
      </w:pPr>
      <w:bookmarkStart w:id="15" w:name="_Hlk97019879"/>
    </w:p>
    <w:p w14:paraId="5534A8B6" w14:textId="7CFF1CA5" w:rsidR="000A04F4" w:rsidRPr="00172E02" w:rsidRDefault="00995584">
      <w:pPr>
        <w:rPr>
          <w:bCs/>
          <w:lang w:val="en-US"/>
        </w:rPr>
      </w:pPr>
      <w:r w:rsidRPr="00172E02">
        <w:rPr>
          <w:bCs/>
          <w:lang w:val="en-US"/>
        </w:rPr>
        <w:t>Supplementary Table 1</w:t>
      </w:r>
      <w:r w:rsidR="00FF0C3A" w:rsidRPr="00172E02">
        <w:rPr>
          <w:bCs/>
          <w:lang w:val="en-US"/>
        </w:rPr>
        <w:t>2</w:t>
      </w:r>
      <w:r w:rsidRPr="00172E02">
        <w:rPr>
          <w:bCs/>
          <w:lang w:val="en-US"/>
        </w:rPr>
        <w:t xml:space="preserve"> - Sensitivity analysis examining achievement of outcomes at week 52 among biologic-naïve adalimumab patients stratified by </w:t>
      </w:r>
      <w:r w:rsidR="00246DA6" w:rsidRPr="00172E02">
        <w:rPr>
          <w:bCs/>
          <w:lang w:val="en-US"/>
        </w:rPr>
        <w:t>PMS remission</w:t>
      </w:r>
      <w:r w:rsidRPr="00172E02">
        <w:rPr>
          <w:bCs/>
          <w:lang w:val="en-US"/>
        </w:rPr>
        <w:t xml:space="preserve"> status</w:t>
      </w:r>
    </w:p>
    <w:tbl>
      <w:tblPr>
        <w:tblStyle w:val="TableGrid1"/>
        <w:tblW w:w="9829" w:type="dxa"/>
        <w:tblLook w:val="04A0" w:firstRow="1" w:lastRow="0" w:firstColumn="1" w:lastColumn="0" w:noHBand="0" w:noVBand="1"/>
      </w:tblPr>
      <w:tblGrid>
        <w:gridCol w:w="3673"/>
        <w:gridCol w:w="2052"/>
        <w:gridCol w:w="2052"/>
        <w:gridCol w:w="2052"/>
      </w:tblGrid>
      <w:tr w:rsidR="00EB5532" w:rsidRPr="00172E02" w14:paraId="28BBF75B" w14:textId="77777777" w:rsidTr="001344D7">
        <w:trPr>
          <w:trHeight w:val="648"/>
        </w:trPr>
        <w:tc>
          <w:tcPr>
            <w:tcW w:w="3673" w:type="dxa"/>
          </w:tcPr>
          <w:bookmarkEnd w:id="15"/>
          <w:p w14:paraId="13FE57DC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lastRenderedPageBreak/>
              <w:t>Outcome at Week 52</w:t>
            </w:r>
          </w:p>
          <w:p w14:paraId="1F7D55E9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2" w:type="dxa"/>
          </w:tcPr>
          <w:p w14:paraId="26558DF5" w14:textId="693A983F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lang w:val="en-US"/>
              </w:rPr>
              <w:t xml:space="preserve">Early </w:t>
            </w:r>
            <w:r w:rsidR="00246DA6" w:rsidRPr="00172E02">
              <w:rPr>
                <w:lang w:val="en-US"/>
              </w:rPr>
              <w:t>PMS remission</w:t>
            </w:r>
            <w:r w:rsidRPr="00172E02">
              <w:rPr>
                <w:lang w:val="en-US"/>
              </w:rPr>
              <w:t>*</w:t>
            </w:r>
            <w:r w:rsidR="00EB5532" w:rsidRPr="00172E02">
              <w:rPr>
                <w:lang w:val="en-US"/>
              </w:rPr>
              <w:t xml:space="preserve"> (Week 4 or 6)</w:t>
            </w:r>
          </w:p>
        </w:tc>
        <w:tc>
          <w:tcPr>
            <w:tcW w:w="2052" w:type="dxa"/>
          </w:tcPr>
          <w:p w14:paraId="3B33C054" w14:textId="0F3114CD" w:rsidR="00EB5532" w:rsidRPr="00172E02" w:rsidRDefault="00633ADB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Delayed </w:t>
            </w:r>
            <w:r w:rsidR="00246DA6" w:rsidRPr="00172E02">
              <w:rPr>
                <w:rFonts w:ascii="Calibri" w:eastAsia="Calibri" w:hAnsi="Calibri" w:cs="Times New Roman"/>
                <w:lang w:val="en-US"/>
              </w:rPr>
              <w:t>PMS remission</w:t>
            </w:r>
            <w:r w:rsidRPr="00172E02">
              <w:rPr>
                <w:rFonts w:ascii="Calibri" w:eastAsia="Calibri" w:hAnsi="Calibri" w:cs="Times New Roman"/>
                <w:lang w:val="en-US"/>
              </w:rPr>
              <w:t>*</w:t>
            </w:r>
            <w:r w:rsidR="00EB5532" w:rsidRPr="00172E02">
              <w:rPr>
                <w:rFonts w:ascii="Calibri" w:eastAsia="Calibri" w:hAnsi="Calibri" w:cs="Times New Roman"/>
                <w:lang w:val="en-US"/>
              </w:rPr>
              <w:t xml:space="preserve"> (Week 14)</w:t>
            </w:r>
          </w:p>
        </w:tc>
        <w:tc>
          <w:tcPr>
            <w:tcW w:w="2052" w:type="dxa"/>
          </w:tcPr>
          <w:p w14:paraId="4B662591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p-value</w:t>
            </w:r>
          </w:p>
        </w:tc>
      </w:tr>
      <w:tr w:rsidR="00EB5532" w:rsidRPr="00172E02" w14:paraId="77B29AE3" w14:textId="77777777" w:rsidTr="001344D7">
        <w:trPr>
          <w:trHeight w:val="439"/>
        </w:trPr>
        <w:tc>
          <w:tcPr>
            <w:tcW w:w="3673" w:type="dxa"/>
          </w:tcPr>
          <w:p w14:paraId="4E0D2311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Clinical remission (PMS of 0), n (%)</w:t>
            </w:r>
          </w:p>
        </w:tc>
        <w:tc>
          <w:tcPr>
            <w:tcW w:w="2052" w:type="dxa"/>
          </w:tcPr>
          <w:p w14:paraId="6907282D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25/58 (43.1)</w:t>
            </w:r>
          </w:p>
        </w:tc>
        <w:tc>
          <w:tcPr>
            <w:tcW w:w="2052" w:type="dxa"/>
          </w:tcPr>
          <w:p w14:paraId="529D40DB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25/41 (61.0)</w:t>
            </w:r>
          </w:p>
        </w:tc>
        <w:tc>
          <w:tcPr>
            <w:tcW w:w="2052" w:type="dxa"/>
          </w:tcPr>
          <w:p w14:paraId="75CDEAB8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0.080</w:t>
            </w:r>
          </w:p>
        </w:tc>
      </w:tr>
      <w:tr w:rsidR="00EB5532" w:rsidRPr="00172E02" w14:paraId="469C5040" w14:textId="77777777" w:rsidTr="001344D7">
        <w:trPr>
          <w:trHeight w:val="427"/>
        </w:trPr>
        <w:tc>
          <w:tcPr>
            <w:tcW w:w="3673" w:type="dxa"/>
          </w:tcPr>
          <w:p w14:paraId="43F2FCE4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 xml:space="preserve">Endoscopic improvement, n (%) </w:t>
            </w:r>
          </w:p>
        </w:tc>
        <w:tc>
          <w:tcPr>
            <w:tcW w:w="2052" w:type="dxa"/>
          </w:tcPr>
          <w:p w14:paraId="5BDC8E31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30/58 (51.7)</w:t>
            </w:r>
          </w:p>
        </w:tc>
        <w:tc>
          <w:tcPr>
            <w:tcW w:w="2052" w:type="dxa"/>
          </w:tcPr>
          <w:p w14:paraId="3747E610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29/41 (70.7)</w:t>
            </w:r>
          </w:p>
        </w:tc>
        <w:tc>
          <w:tcPr>
            <w:tcW w:w="2052" w:type="dxa"/>
          </w:tcPr>
          <w:p w14:paraId="5C51BBBE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0.058</w:t>
            </w:r>
          </w:p>
        </w:tc>
      </w:tr>
      <w:tr w:rsidR="00EB5532" w:rsidRPr="00172E02" w14:paraId="1891D288" w14:textId="77777777" w:rsidTr="001344D7">
        <w:trPr>
          <w:trHeight w:val="439"/>
        </w:trPr>
        <w:tc>
          <w:tcPr>
            <w:tcW w:w="3673" w:type="dxa"/>
          </w:tcPr>
          <w:p w14:paraId="75BF7420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2E02">
              <w:rPr>
                <w:rFonts w:ascii="Calibri" w:eastAsia="Calibri" w:hAnsi="Calibri" w:cs="Times New Roman"/>
                <w:lang w:val="en-US"/>
              </w:rPr>
              <w:t>Histo</w:t>
            </w:r>
            <w:proofErr w:type="spellEnd"/>
            <w:r w:rsidRPr="00172E02">
              <w:rPr>
                <w:rFonts w:ascii="Calibri" w:eastAsia="Calibri" w:hAnsi="Calibri" w:cs="Times New Roman"/>
                <w:lang w:val="en-US"/>
              </w:rPr>
              <w:t>-endoscopic mucosal improvement, n (%)</w:t>
            </w:r>
          </w:p>
        </w:tc>
        <w:tc>
          <w:tcPr>
            <w:tcW w:w="2052" w:type="dxa"/>
          </w:tcPr>
          <w:p w14:paraId="4CD6D766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21/58 (36.2)</w:t>
            </w:r>
          </w:p>
        </w:tc>
        <w:tc>
          <w:tcPr>
            <w:tcW w:w="2052" w:type="dxa"/>
          </w:tcPr>
          <w:p w14:paraId="691253EC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22/41 (53.7)</w:t>
            </w:r>
          </w:p>
        </w:tc>
        <w:tc>
          <w:tcPr>
            <w:tcW w:w="2052" w:type="dxa"/>
          </w:tcPr>
          <w:p w14:paraId="7F2A65D7" w14:textId="77777777" w:rsidR="00EB5532" w:rsidRPr="00172E02" w:rsidRDefault="00EB5532" w:rsidP="001344D7">
            <w:pPr>
              <w:rPr>
                <w:rFonts w:ascii="Calibri" w:eastAsia="Calibri" w:hAnsi="Calibri" w:cs="Times New Roman"/>
                <w:lang w:val="en-US"/>
              </w:rPr>
            </w:pPr>
            <w:r w:rsidRPr="00172E02">
              <w:rPr>
                <w:rFonts w:ascii="Calibri" w:eastAsia="Calibri" w:hAnsi="Calibri" w:cs="Times New Roman"/>
                <w:lang w:val="en-US"/>
              </w:rPr>
              <w:t>0.084</w:t>
            </w:r>
          </w:p>
        </w:tc>
      </w:tr>
    </w:tbl>
    <w:p w14:paraId="797E75F2" w14:textId="6A83A325" w:rsidR="000A04F4" w:rsidRPr="00172E02" w:rsidRDefault="000F1898">
      <w:pPr>
        <w:rPr>
          <w:lang w:val="en-US"/>
        </w:rPr>
      </w:pPr>
      <w:r w:rsidRPr="00172E02">
        <w:rPr>
          <w:rFonts w:ascii="Calibri" w:eastAsia="Calibri" w:hAnsi="Calibri" w:cs="Times New Roman"/>
          <w:lang w:val="en-US"/>
        </w:rPr>
        <w:t>*Defined as PMS ≤ 1</w:t>
      </w:r>
    </w:p>
    <w:p w14:paraId="542571BB" w14:textId="77777777" w:rsidR="000A04F4" w:rsidRPr="00172E02" w:rsidRDefault="000A04F4">
      <w:pPr>
        <w:rPr>
          <w:lang w:val="en-US"/>
        </w:rPr>
        <w:sectPr w:rsidR="000A04F4" w:rsidRPr="00172E02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39E850" w14:textId="77777777" w:rsidR="001A02B8" w:rsidRPr="00172E02" w:rsidRDefault="001A02B8" w:rsidP="001A02B8">
      <w:pPr>
        <w:rPr>
          <w:lang w:val="en-US"/>
        </w:rPr>
      </w:pPr>
      <w:bookmarkStart w:id="16" w:name="_Hlk97019885"/>
      <w:r w:rsidRPr="00172E02">
        <w:rPr>
          <w:lang w:val="en-US"/>
        </w:rPr>
        <w:lastRenderedPageBreak/>
        <w:t xml:space="preserve">Supplementary Figure 1 – Outcomes at week 52 among vedolizumab patients stratified by time to </w:t>
      </w:r>
      <w:r w:rsidR="00246DA6" w:rsidRPr="00172E02">
        <w:rPr>
          <w:lang w:val="en-US"/>
        </w:rPr>
        <w:t>PMS remission</w:t>
      </w:r>
    </w:p>
    <w:bookmarkEnd w:id="16"/>
    <w:p w14:paraId="2A07FC55" w14:textId="6C92374F" w:rsidR="001A02B8" w:rsidRPr="00172E02" w:rsidRDefault="005D611E" w:rsidP="001A02B8">
      <w:pPr>
        <w:rPr>
          <w:lang w:val="en-US"/>
        </w:rPr>
      </w:pPr>
      <w:r w:rsidRPr="00172E02">
        <w:rPr>
          <w:noProof/>
          <w:lang w:val="en-US"/>
        </w:rPr>
        <w:drawing>
          <wp:inline distT="0" distB="0" distL="0" distR="0" wp14:anchorId="69B711BD" wp14:editId="6867AE2F">
            <wp:extent cx="8220075" cy="514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353C" w14:textId="77777777" w:rsidR="005D611E" w:rsidRPr="00172E02" w:rsidRDefault="005D611E">
      <w:pPr>
        <w:rPr>
          <w:lang w:val="en-US"/>
        </w:rPr>
      </w:pPr>
      <w:bookmarkStart w:id="17" w:name="_Hlk97019891"/>
    </w:p>
    <w:p w14:paraId="5CDEB3CD" w14:textId="01FE2B08" w:rsidR="000A04F4" w:rsidRPr="00172E02" w:rsidRDefault="003E2CB7">
      <w:pPr>
        <w:rPr>
          <w:lang w:val="en-US"/>
        </w:rPr>
      </w:pPr>
      <w:r w:rsidRPr="00172E02">
        <w:rPr>
          <w:lang w:val="en-US"/>
        </w:rPr>
        <w:lastRenderedPageBreak/>
        <w:t>S</w:t>
      </w:r>
      <w:r w:rsidR="000A04F4" w:rsidRPr="00172E02">
        <w:rPr>
          <w:lang w:val="en-US"/>
        </w:rPr>
        <w:t>upplementary Figure 2 – Outcomes at week 52 among adalimumab patients stratified by time to</w:t>
      </w:r>
      <w:r w:rsidR="00773E5D" w:rsidRPr="00172E02">
        <w:rPr>
          <w:lang w:val="en-US"/>
        </w:rPr>
        <w:t xml:space="preserve"> </w:t>
      </w:r>
      <w:r w:rsidR="00246DA6" w:rsidRPr="00172E02">
        <w:rPr>
          <w:lang w:val="en-US"/>
        </w:rPr>
        <w:t>PMS remission</w:t>
      </w:r>
    </w:p>
    <w:bookmarkEnd w:id="17"/>
    <w:p w14:paraId="71B8388A" w14:textId="45453316" w:rsidR="000A04F4" w:rsidRDefault="005D611E">
      <w:pPr>
        <w:rPr>
          <w:lang w:val="en-US"/>
        </w:rPr>
      </w:pPr>
      <w:r w:rsidRPr="00172E02">
        <w:rPr>
          <w:noProof/>
          <w:lang w:val="en-US"/>
        </w:rPr>
        <w:drawing>
          <wp:inline distT="0" distB="0" distL="0" distR="0" wp14:anchorId="0AC5BF0B" wp14:editId="0C0F2509">
            <wp:extent cx="8220075" cy="5143500"/>
            <wp:effectExtent l="0" t="0" r="9525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042D" w14:textId="5052C6CA" w:rsidR="000A04F4" w:rsidRPr="00AA0841" w:rsidRDefault="000A04F4">
      <w:pPr>
        <w:rPr>
          <w:lang w:val="en-US"/>
        </w:rPr>
      </w:pPr>
    </w:p>
    <w:sectPr w:rsidR="000A04F4" w:rsidRPr="00AA0841" w:rsidSect="000A04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75DC" w14:textId="77777777" w:rsidR="00211141" w:rsidRDefault="00211141">
      <w:pPr>
        <w:spacing w:after="0" w:line="240" w:lineRule="auto"/>
      </w:pPr>
      <w:r>
        <w:separator/>
      </w:r>
    </w:p>
  </w:endnote>
  <w:endnote w:type="continuationSeparator" w:id="0">
    <w:p w14:paraId="41660F99" w14:textId="77777777" w:rsidR="00211141" w:rsidRDefault="0021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64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A73BA" w14:textId="77777777" w:rsidR="009B6F01" w:rsidRDefault="00132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67DA3" w14:textId="77777777" w:rsidR="009B6F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C40" w14:textId="77777777" w:rsidR="00211141" w:rsidRDefault="00211141">
      <w:pPr>
        <w:spacing w:after="0" w:line="240" w:lineRule="auto"/>
      </w:pPr>
      <w:r>
        <w:separator/>
      </w:r>
    </w:p>
  </w:footnote>
  <w:footnote w:type="continuationSeparator" w:id="0">
    <w:p w14:paraId="2BE61540" w14:textId="77777777" w:rsidR="00211141" w:rsidRDefault="0021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40E9"/>
    <w:rsid w:val="00072D25"/>
    <w:rsid w:val="00075E94"/>
    <w:rsid w:val="000A04F4"/>
    <w:rsid w:val="000A7180"/>
    <w:rsid w:val="000A7C5B"/>
    <w:rsid w:val="000B0282"/>
    <w:rsid w:val="000B6BD6"/>
    <w:rsid w:val="000F1898"/>
    <w:rsid w:val="00132A5B"/>
    <w:rsid w:val="001542A9"/>
    <w:rsid w:val="00165EBB"/>
    <w:rsid w:val="00172E02"/>
    <w:rsid w:val="001A02B8"/>
    <w:rsid w:val="001B772C"/>
    <w:rsid w:val="00211141"/>
    <w:rsid w:val="00246DA6"/>
    <w:rsid w:val="0028560F"/>
    <w:rsid w:val="00383665"/>
    <w:rsid w:val="003B2928"/>
    <w:rsid w:val="003E2CB7"/>
    <w:rsid w:val="0045563A"/>
    <w:rsid w:val="004624C5"/>
    <w:rsid w:val="004A37F1"/>
    <w:rsid w:val="004B6054"/>
    <w:rsid w:val="0051459B"/>
    <w:rsid w:val="00572E68"/>
    <w:rsid w:val="00586248"/>
    <w:rsid w:val="005940E9"/>
    <w:rsid w:val="005A6C5B"/>
    <w:rsid w:val="005B23A9"/>
    <w:rsid w:val="005B38B9"/>
    <w:rsid w:val="005C7340"/>
    <w:rsid w:val="005D611E"/>
    <w:rsid w:val="00626002"/>
    <w:rsid w:val="00633ADB"/>
    <w:rsid w:val="00640478"/>
    <w:rsid w:val="006421D5"/>
    <w:rsid w:val="00652767"/>
    <w:rsid w:val="006A52CB"/>
    <w:rsid w:val="006B6F68"/>
    <w:rsid w:val="006E1DAF"/>
    <w:rsid w:val="006E21F3"/>
    <w:rsid w:val="00716957"/>
    <w:rsid w:val="0072251E"/>
    <w:rsid w:val="007231BF"/>
    <w:rsid w:val="00723B99"/>
    <w:rsid w:val="00732939"/>
    <w:rsid w:val="00773E5D"/>
    <w:rsid w:val="00782C60"/>
    <w:rsid w:val="00783807"/>
    <w:rsid w:val="007A2350"/>
    <w:rsid w:val="007D48EC"/>
    <w:rsid w:val="007F6145"/>
    <w:rsid w:val="00851F15"/>
    <w:rsid w:val="00873862"/>
    <w:rsid w:val="008C35AF"/>
    <w:rsid w:val="00910988"/>
    <w:rsid w:val="00936B49"/>
    <w:rsid w:val="00940E81"/>
    <w:rsid w:val="00970731"/>
    <w:rsid w:val="00995584"/>
    <w:rsid w:val="00A81AAD"/>
    <w:rsid w:val="00AA0841"/>
    <w:rsid w:val="00AA1CA0"/>
    <w:rsid w:val="00B0543E"/>
    <w:rsid w:val="00B14615"/>
    <w:rsid w:val="00B17770"/>
    <w:rsid w:val="00B23260"/>
    <w:rsid w:val="00B85F71"/>
    <w:rsid w:val="00BD23DC"/>
    <w:rsid w:val="00BE42DB"/>
    <w:rsid w:val="00BF3B5C"/>
    <w:rsid w:val="00C5344A"/>
    <w:rsid w:val="00C73ED1"/>
    <w:rsid w:val="00C85D04"/>
    <w:rsid w:val="00D64840"/>
    <w:rsid w:val="00D97916"/>
    <w:rsid w:val="00DC0E12"/>
    <w:rsid w:val="00E90DBC"/>
    <w:rsid w:val="00E94EF6"/>
    <w:rsid w:val="00E96F52"/>
    <w:rsid w:val="00EB5532"/>
    <w:rsid w:val="00F6119F"/>
    <w:rsid w:val="00F8283C"/>
    <w:rsid w:val="00F930C9"/>
    <w:rsid w:val="00FF0C3A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8156"/>
  <w15:chartTrackingRefBased/>
  <w15:docId w15:val="{CB4805D2-1D28-4311-B383-5B4F2635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9"/>
  </w:style>
  <w:style w:type="table" w:customStyle="1" w:styleId="TableGrid1">
    <w:name w:val="Table Grid1"/>
    <w:basedOn w:val="TableNormal"/>
    <w:next w:val="TableGrid"/>
    <w:uiPriority w:val="39"/>
    <w:rsid w:val="00E9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3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453A-C298-4FA5-9BF2-512AF361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Narula</dc:creator>
  <cp:keywords/>
  <dc:description/>
  <cp:lastModifiedBy>Emily Wong</cp:lastModifiedBy>
  <cp:revision>2</cp:revision>
  <dcterms:created xsi:type="dcterms:W3CDTF">2022-07-29T19:07:00Z</dcterms:created>
  <dcterms:modified xsi:type="dcterms:W3CDTF">2022-07-29T19:07:00Z</dcterms:modified>
</cp:coreProperties>
</file>