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9B8B4" w14:textId="77777777" w:rsidR="00DB32A8" w:rsidRPr="00DB32A8" w:rsidRDefault="00DB32A8" w:rsidP="00DB32A8">
      <w:pPr>
        <w:rPr>
          <w:rFonts w:cstheme="minorHAnsi"/>
          <w:b/>
          <w:bCs/>
          <w:sz w:val="20"/>
          <w:szCs w:val="20"/>
        </w:rPr>
      </w:pPr>
      <w:r w:rsidRPr="00DB32A8">
        <w:rPr>
          <w:rFonts w:cstheme="minorHAnsi"/>
          <w:b/>
          <w:bCs/>
          <w:sz w:val="20"/>
          <w:szCs w:val="20"/>
        </w:rPr>
        <w:t>Abbreviations:</w:t>
      </w:r>
    </w:p>
    <w:p w14:paraId="7B9F86E3" w14:textId="77777777" w:rsidR="00DB32A8" w:rsidRPr="00DB32A8" w:rsidRDefault="00DB32A8" w:rsidP="00DB32A8">
      <w:pPr>
        <w:spacing w:line="480" w:lineRule="auto"/>
        <w:rPr>
          <w:rFonts w:cstheme="minorHAnsi"/>
          <w:sz w:val="20"/>
          <w:szCs w:val="20"/>
        </w:rPr>
      </w:pPr>
      <w:r w:rsidRPr="00DB32A8">
        <w:rPr>
          <w:rFonts w:cstheme="minorHAnsi"/>
          <w:sz w:val="20"/>
          <w:szCs w:val="20"/>
        </w:rPr>
        <w:t>AE, adverse event</w:t>
      </w:r>
    </w:p>
    <w:p w14:paraId="3206A6D4" w14:textId="77777777" w:rsidR="00DB32A8" w:rsidRPr="00DB32A8" w:rsidRDefault="00DB32A8" w:rsidP="00DB32A8">
      <w:pPr>
        <w:spacing w:line="480" w:lineRule="auto"/>
        <w:rPr>
          <w:rFonts w:cstheme="minorHAnsi"/>
          <w:sz w:val="20"/>
          <w:szCs w:val="20"/>
        </w:rPr>
      </w:pPr>
      <w:r w:rsidRPr="00DB32A8">
        <w:rPr>
          <w:rFonts w:cstheme="minorHAnsi"/>
          <w:sz w:val="20"/>
          <w:szCs w:val="20"/>
        </w:rPr>
        <w:t>Anti-TNF, anti-tumor necrosis factor</w:t>
      </w:r>
    </w:p>
    <w:p w14:paraId="443AF04D" w14:textId="77777777" w:rsidR="00DB32A8" w:rsidRPr="00DB32A8" w:rsidRDefault="00DB32A8" w:rsidP="00DB32A8">
      <w:pPr>
        <w:spacing w:line="480" w:lineRule="auto"/>
        <w:rPr>
          <w:rFonts w:cstheme="minorHAnsi"/>
          <w:sz w:val="20"/>
          <w:szCs w:val="20"/>
        </w:rPr>
      </w:pPr>
      <w:r w:rsidRPr="00DB32A8">
        <w:rPr>
          <w:rFonts w:cstheme="minorHAnsi"/>
          <w:sz w:val="20"/>
          <w:szCs w:val="20"/>
        </w:rPr>
        <w:t>CD, Crohn’s disease</w:t>
      </w:r>
    </w:p>
    <w:p w14:paraId="24219949" w14:textId="77777777" w:rsidR="00DB32A8" w:rsidRPr="00DB32A8" w:rsidRDefault="00DB32A8" w:rsidP="00DB32A8">
      <w:pPr>
        <w:spacing w:line="480" w:lineRule="auto"/>
        <w:rPr>
          <w:rFonts w:cstheme="minorHAnsi"/>
          <w:sz w:val="20"/>
          <w:szCs w:val="20"/>
        </w:rPr>
      </w:pPr>
      <w:r w:rsidRPr="00DB32A8">
        <w:rPr>
          <w:rFonts w:cstheme="minorHAnsi"/>
          <w:sz w:val="20"/>
          <w:szCs w:val="20"/>
        </w:rPr>
        <w:t>CDC, Center for Disease Control</w:t>
      </w:r>
    </w:p>
    <w:p w14:paraId="38023ACB" w14:textId="77777777" w:rsidR="00DB32A8" w:rsidRPr="00DB32A8" w:rsidRDefault="00DB32A8" w:rsidP="00DB32A8">
      <w:pPr>
        <w:spacing w:line="480" w:lineRule="auto"/>
        <w:rPr>
          <w:rFonts w:cstheme="minorHAnsi"/>
          <w:sz w:val="20"/>
          <w:szCs w:val="20"/>
        </w:rPr>
      </w:pPr>
      <w:r w:rsidRPr="00DB32A8">
        <w:rPr>
          <w:rFonts w:cstheme="minorHAnsi"/>
          <w:sz w:val="20"/>
          <w:szCs w:val="20"/>
        </w:rPr>
        <w:t>COVID-19, coronavirus disease 2019</w:t>
      </w:r>
    </w:p>
    <w:p w14:paraId="48965D34" w14:textId="77777777" w:rsidR="00DB32A8" w:rsidRPr="00DB32A8" w:rsidRDefault="00DB32A8" w:rsidP="00DB32A8">
      <w:pPr>
        <w:spacing w:line="480" w:lineRule="auto"/>
        <w:rPr>
          <w:rFonts w:cstheme="minorHAnsi"/>
          <w:sz w:val="20"/>
          <w:szCs w:val="20"/>
        </w:rPr>
      </w:pPr>
      <w:r w:rsidRPr="00DB32A8">
        <w:rPr>
          <w:rFonts w:cstheme="minorHAnsi"/>
          <w:sz w:val="20"/>
          <w:szCs w:val="20"/>
        </w:rPr>
        <w:t>FDA, Food and Drug Administration</w:t>
      </w:r>
    </w:p>
    <w:p w14:paraId="4B827D77" w14:textId="77777777" w:rsidR="00DB32A8" w:rsidRPr="00DB32A8" w:rsidRDefault="00DB32A8" w:rsidP="00DB32A8">
      <w:pPr>
        <w:spacing w:line="480" w:lineRule="auto"/>
        <w:rPr>
          <w:rFonts w:cstheme="minorHAnsi"/>
          <w:sz w:val="20"/>
          <w:szCs w:val="20"/>
        </w:rPr>
      </w:pPr>
      <w:r w:rsidRPr="00DB32A8">
        <w:rPr>
          <w:rFonts w:cstheme="minorHAnsi"/>
          <w:sz w:val="20"/>
          <w:szCs w:val="20"/>
        </w:rPr>
        <w:t>IBD, inflammatory bowel disease</w:t>
      </w:r>
    </w:p>
    <w:p w14:paraId="68141572" w14:textId="77777777" w:rsidR="00DB32A8" w:rsidRPr="00DB32A8" w:rsidRDefault="00DB32A8" w:rsidP="00DB32A8">
      <w:pPr>
        <w:spacing w:line="480" w:lineRule="auto"/>
        <w:rPr>
          <w:rFonts w:cstheme="minorHAnsi"/>
          <w:sz w:val="20"/>
          <w:szCs w:val="20"/>
        </w:rPr>
      </w:pPr>
      <w:r w:rsidRPr="00DB32A8">
        <w:rPr>
          <w:rFonts w:cstheme="minorHAnsi"/>
          <w:sz w:val="20"/>
          <w:szCs w:val="20"/>
        </w:rPr>
        <w:t>UC, ulcerative colitis</w:t>
      </w:r>
    </w:p>
    <w:p w14:paraId="6587A0BC" w14:textId="77777777" w:rsidR="00DB32A8" w:rsidRPr="00DB32A8" w:rsidRDefault="00DB32A8" w:rsidP="00DB32A8">
      <w:pPr>
        <w:spacing w:line="480" w:lineRule="auto"/>
        <w:rPr>
          <w:rFonts w:cstheme="minorHAnsi"/>
          <w:sz w:val="20"/>
          <w:szCs w:val="20"/>
        </w:rPr>
      </w:pPr>
      <w:r w:rsidRPr="00DB32A8">
        <w:rPr>
          <w:rFonts w:cstheme="minorHAnsi"/>
          <w:sz w:val="20"/>
          <w:szCs w:val="20"/>
        </w:rPr>
        <w:t>mRNA, messenger RNA</w:t>
      </w:r>
    </w:p>
    <w:p w14:paraId="1F2E42D6" w14:textId="77777777" w:rsidR="00DB32A8" w:rsidRPr="00DB32A8" w:rsidRDefault="00DB32A8" w:rsidP="00DB32A8">
      <w:pPr>
        <w:spacing w:line="480" w:lineRule="auto"/>
        <w:rPr>
          <w:rFonts w:cstheme="minorHAnsi"/>
          <w:sz w:val="20"/>
          <w:szCs w:val="20"/>
        </w:rPr>
      </w:pPr>
      <w:r w:rsidRPr="00DB32A8">
        <w:rPr>
          <w:rFonts w:cstheme="minorHAnsi"/>
          <w:sz w:val="20"/>
          <w:szCs w:val="20"/>
        </w:rPr>
        <w:t xml:space="preserve">PREVENT-COVID, Partnership to Report Effectiveness of Vaccination in populations Excluded from </w:t>
      </w:r>
      <w:proofErr w:type="spellStart"/>
      <w:r w:rsidRPr="00DB32A8">
        <w:rPr>
          <w:rFonts w:cstheme="minorHAnsi"/>
          <w:sz w:val="20"/>
          <w:szCs w:val="20"/>
        </w:rPr>
        <w:t>iNitial</w:t>
      </w:r>
      <w:proofErr w:type="spellEnd"/>
      <w:r w:rsidRPr="00DB32A8">
        <w:rPr>
          <w:rFonts w:cstheme="minorHAnsi"/>
          <w:sz w:val="20"/>
          <w:szCs w:val="20"/>
        </w:rPr>
        <w:t xml:space="preserve"> Trials of COVID</w:t>
      </w:r>
    </w:p>
    <w:p w14:paraId="4CC6CCDB" w14:textId="77777777" w:rsidR="00DB32A8" w:rsidRPr="00DB32A8" w:rsidRDefault="00DB32A8" w:rsidP="00DB32A8">
      <w:pPr>
        <w:spacing w:line="480" w:lineRule="auto"/>
        <w:rPr>
          <w:rFonts w:cstheme="minorHAnsi"/>
          <w:sz w:val="20"/>
          <w:szCs w:val="20"/>
        </w:rPr>
      </w:pPr>
      <w:r w:rsidRPr="00DB32A8">
        <w:rPr>
          <w:rFonts w:cstheme="minorHAnsi"/>
          <w:sz w:val="20"/>
          <w:szCs w:val="20"/>
        </w:rPr>
        <w:t>RBD, receptor binding domain</w:t>
      </w:r>
    </w:p>
    <w:p w14:paraId="01ADC17B" w14:textId="77777777" w:rsidR="00DB32A8" w:rsidRPr="00DB32A8" w:rsidRDefault="00DB32A8" w:rsidP="00DB32A8">
      <w:pPr>
        <w:spacing w:line="480" w:lineRule="auto"/>
        <w:rPr>
          <w:rFonts w:cstheme="minorHAnsi"/>
          <w:sz w:val="20"/>
          <w:szCs w:val="20"/>
        </w:rPr>
      </w:pPr>
      <w:r w:rsidRPr="00DB32A8">
        <w:rPr>
          <w:rFonts w:cstheme="minorHAnsi"/>
          <w:sz w:val="20"/>
          <w:szCs w:val="20"/>
        </w:rPr>
        <w:t>SARS-CoV-2, severe acute respiratory syndrome coronavirus 2</w:t>
      </w:r>
    </w:p>
    <w:p w14:paraId="01E44FF3" w14:textId="77777777" w:rsidR="00DB32A8" w:rsidRPr="00DB32A8" w:rsidRDefault="00DB32A8" w:rsidP="00DB32A8">
      <w:pPr>
        <w:spacing w:line="480" w:lineRule="auto"/>
        <w:rPr>
          <w:rFonts w:cstheme="minorHAnsi"/>
          <w:sz w:val="20"/>
          <w:szCs w:val="20"/>
        </w:rPr>
      </w:pPr>
      <w:r w:rsidRPr="00DB32A8">
        <w:rPr>
          <w:rFonts w:cstheme="minorHAnsi"/>
          <w:sz w:val="20"/>
          <w:szCs w:val="20"/>
        </w:rPr>
        <w:t>WHO, World Health Organization</w:t>
      </w:r>
    </w:p>
    <w:p w14:paraId="2EDBBC9A" w14:textId="77777777" w:rsidR="00DB32A8" w:rsidRPr="00DB32A8" w:rsidRDefault="00DB32A8" w:rsidP="00DB32A8">
      <w:pPr>
        <w:rPr>
          <w:rFonts w:cstheme="minorHAnsi"/>
          <w:b/>
          <w:bCs/>
          <w:sz w:val="20"/>
          <w:szCs w:val="20"/>
        </w:rPr>
      </w:pPr>
    </w:p>
    <w:p w14:paraId="3EDF2793" w14:textId="77777777" w:rsidR="00DB32A8" w:rsidRPr="00DB32A8" w:rsidRDefault="00DB32A8" w:rsidP="00DB32A8">
      <w:pPr>
        <w:rPr>
          <w:rFonts w:cstheme="minorHAnsi"/>
          <w:b/>
          <w:bCs/>
          <w:sz w:val="20"/>
          <w:szCs w:val="20"/>
        </w:rPr>
      </w:pPr>
    </w:p>
    <w:p w14:paraId="11FDF71D" w14:textId="77777777" w:rsidR="00DB32A8" w:rsidRPr="00DB32A8" w:rsidRDefault="00DB32A8" w:rsidP="00DB32A8">
      <w:pPr>
        <w:rPr>
          <w:rFonts w:cstheme="minorHAnsi"/>
          <w:b/>
          <w:bCs/>
          <w:sz w:val="20"/>
          <w:szCs w:val="20"/>
          <w:u w:val="single"/>
        </w:rPr>
      </w:pPr>
    </w:p>
    <w:p w14:paraId="56FDDCAA" w14:textId="77777777" w:rsidR="00DB32A8" w:rsidRPr="00DB32A8" w:rsidRDefault="00DB32A8" w:rsidP="00DB32A8">
      <w:pPr>
        <w:rPr>
          <w:rFonts w:cstheme="minorHAnsi"/>
          <w:b/>
          <w:bCs/>
          <w:sz w:val="20"/>
          <w:szCs w:val="20"/>
          <w:u w:val="single"/>
        </w:rPr>
      </w:pPr>
    </w:p>
    <w:p w14:paraId="64074A62" w14:textId="77777777" w:rsidR="00DB32A8" w:rsidRPr="00DB32A8" w:rsidRDefault="00DB32A8" w:rsidP="00DB32A8">
      <w:pPr>
        <w:rPr>
          <w:rFonts w:cstheme="minorHAnsi"/>
          <w:b/>
          <w:bCs/>
          <w:sz w:val="20"/>
          <w:szCs w:val="20"/>
          <w:u w:val="single"/>
        </w:rPr>
      </w:pPr>
    </w:p>
    <w:p w14:paraId="06BD8FA3" w14:textId="77777777" w:rsidR="00DB32A8" w:rsidRPr="00DB32A8" w:rsidRDefault="00DB32A8" w:rsidP="00DB32A8">
      <w:pPr>
        <w:rPr>
          <w:rFonts w:cstheme="minorHAnsi"/>
          <w:b/>
          <w:bCs/>
          <w:sz w:val="20"/>
          <w:szCs w:val="20"/>
          <w:u w:val="single"/>
        </w:rPr>
      </w:pPr>
    </w:p>
    <w:p w14:paraId="313C0142" w14:textId="77777777" w:rsidR="00DB32A8" w:rsidRPr="00DB32A8" w:rsidRDefault="00DB32A8" w:rsidP="00DB32A8">
      <w:pPr>
        <w:rPr>
          <w:rFonts w:cstheme="minorHAnsi"/>
          <w:b/>
          <w:bCs/>
          <w:sz w:val="20"/>
          <w:szCs w:val="20"/>
          <w:u w:val="single"/>
        </w:rPr>
      </w:pPr>
    </w:p>
    <w:p w14:paraId="66091EC9" w14:textId="77777777" w:rsidR="00DB32A8" w:rsidRPr="00DB32A8" w:rsidRDefault="00DB32A8" w:rsidP="00DB32A8">
      <w:pPr>
        <w:rPr>
          <w:rFonts w:cstheme="minorHAnsi"/>
          <w:b/>
          <w:bCs/>
          <w:sz w:val="20"/>
          <w:szCs w:val="20"/>
          <w:u w:val="single"/>
        </w:rPr>
      </w:pPr>
    </w:p>
    <w:p w14:paraId="06EEEEBF" w14:textId="77777777" w:rsidR="00DB32A8" w:rsidRPr="00DB32A8" w:rsidRDefault="00DB32A8" w:rsidP="00DB32A8">
      <w:pPr>
        <w:spacing w:line="480" w:lineRule="auto"/>
        <w:rPr>
          <w:rFonts w:cstheme="minorHAnsi"/>
          <w:b/>
          <w:bCs/>
          <w:sz w:val="20"/>
          <w:szCs w:val="20"/>
          <w:u w:val="single"/>
        </w:rPr>
      </w:pPr>
      <w:r w:rsidRPr="00DB32A8">
        <w:rPr>
          <w:rFonts w:cstheme="minorHAnsi"/>
          <w:b/>
          <w:bCs/>
          <w:sz w:val="20"/>
          <w:szCs w:val="20"/>
          <w:u w:val="single"/>
        </w:rPr>
        <w:lastRenderedPageBreak/>
        <w:t>Appendix</w:t>
      </w:r>
    </w:p>
    <w:p w14:paraId="1749D42E" w14:textId="77777777" w:rsidR="00DB32A8" w:rsidRPr="00DB32A8" w:rsidRDefault="00DB32A8" w:rsidP="00DB32A8">
      <w:pPr>
        <w:spacing w:line="480" w:lineRule="auto"/>
        <w:rPr>
          <w:rFonts w:cstheme="minorHAnsi"/>
          <w:b/>
          <w:bCs/>
          <w:sz w:val="20"/>
          <w:szCs w:val="20"/>
        </w:rPr>
      </w:pPr>
      <w:r w:rsidRPr="00DB32A8">
        <w:rPr>
          <w:rFonts w:cstheme="minorHAnsi"/>
          <w:b/>
          <w:bCs/>
          <w:sz w:val="20"/>
          <w:szCs w:val="20"/>
        </w:rPr>
        <w:t>Supplemental Methods:</w:t>
      </w:r>
    </w:p>
    <w:p w14:paraId="065DA46F" w14:textId="77777777" w:rsidR="00DB32A8" w:rsidRPr="00DB32A8" w:rsidRDefault="00DB32A8" w:rsidP="00DB32A8">
      <w:pPr>
        <w:spacing w:line="480" w:lineRule="auto"/>
        <w:rPr>
          <w:rFonts w:cstheme="minorHAnsi"/>
          <w:bCs/>
          <w:noProof/>
          <w:color w:val="000000" w:themeColor="text1"/>
          <w:sz w:val="20"/>
          <w:szCs w:val="20"/>
        </w:rPr>
      </w:pPr>
      <w:r w:rsidRPr="00DB32A8">
        <w:rPr>
          <w:rFonts w:cstheme="minorHAnsi"/>
          <w:bCs/>
          <w:noProof/>
          <w:color w:val="000000" w:themeColor="text1"/>
          <w:sz w:val="20"/>
          <w:szCs w:val="20"/>
        </w:rPr>
        <w:t xml:space="preserve">LabCorp’s Cov2Quant IgG assay uses electrochemiluminescence immunoassay technology for the quantitative measurement of IgG antibodies to SARS-CoV-2.  </w:t>
      </w:r>
      <w:r w:rsidRPr="00DB32A8">
        <w:rPr>
          <w:rFonts w:cstheme="minorHAnsi"/>
          <w:sz w:val="20"/>
          <w:szCs w:val="20"/>
        </w:rPr>
        <w:t xml:space="preserve">The spike and nucleocapsid proteins are major immunogenic components of coronaviruses in abundant quantities during infection.  The coronavirus spike glycoprotein is the principle determinant of protective immunity and cross-species transmission.  </w:t>
      </w:r>
      <w:r w:rsidRPr="00DB32A8">
        <w:rPr>
          <w:rFonts w:cstheme="minorHAnsi"/>
          <w:bCs/>
          <w:noProof/>
          <w:color w:val="000000" w:themeColor="text1"/>
          <w:sz w:val="20"/>
          <w:szCs w:val="20"/>
        </w:rPr>
        <w:t xml:space="preserve">The coronavirus spike glycoprotein is a viral fusion protein on the outer envelope of the virion that plays a critical role in viral infection by recognizing host cell receptors and mediating the fusion of viral and host cell membranes.  Specifically, the receptor binding domain (RBD) of the spike protein is the moiety that interacts directly with the ACE2 receptor on a host cell to enable viral entry.  Because the RBD is poorly conserved among other coronaviruses, antibodies to the RBD are SARS-CoV-2 antibodies in humans.  Additionally, the spike protein is the target of mRNA vaccination.  </w:t>
      </w:r>
    </w:p>
    <w:p w14:paraId="73B4AC79" w14:textId="6F326DD7" w:rsidR="00DB32A8" w:rsidRDefault="00DB32A8" w:rsidP="00DB32A8">
      <w:pPr>
        <w:spacing w:line="480" w:lineRule="auto"/>
        <w:rPr>
          <w:rFonts w:cstheme="minorHAnsi"/>
          <w:bCs/>
          <w:noProof/>
          <w:color w:val="000000" w:themeColor="text1"/>
          <w:sz w:val="20"/>
          <w:szCs w:val="20"/>
        </w:rPr>
      </w:pPr>
      <w:r w:rsidRPr="00DB32A8">
        <w:rPr>
          <w:rFonts w:cstheme="minorHAnsi"/>
          <w:bCs/>
          <w:noProof/>
          <w:color w:val="000000" w:themeColor="text1"/>
          <w:sz w:val="20"/>
          <w:szCs w:val="20"/>
        </w:rPr>
        <w:t xml:space="preserve">Internal validation indicated an assay sensitivity of 99% (95% CI, 97-100).  Although positive results do not necessarily indicated protective immunity, prior studies have observed strong correlations between levels of RBD-binding antibodies and SARS-COV-2 neutralizing antibodies in patent sera.  </w:t>
      </w:r>
    </w:p>
    <w:p w14:paraId="7CACBB5A" w14:textId="77777777" w:rsidR="00DB32A8" w:rsidRPr="00DB32A8" w:rsidRDefault="00DB32A8" w:rsidP="00DB32A8">
      <w:pPr>
        <w:spacing w:line="480" w:lineRule="auto"/>
        <w:rPr>
          <w:rFonts w:cstheme="minorHAnsi"/>
          <w:bCs/>
          <w:noProof/>
          <w:color w:val="000000" w:themeColor="text1"/>
          <w:sz w:val="20"/>
          <w:szCs w:val="20"/>
        </w:rPr>
      </w:pPr>
    </w:p>
    <w:p w14:paraId="75498D39" w14:textId="77777777" w:rsidR="00DB32A8" w:rsidRPr="00DB32A8" w:rsidRDefault="00DB32A8" w:rsidP="00DB32A8">
      <w:pPr>
        <w:spacing w:after="120" w:line="480" w:lineRule="auto"/>
        <w:rPr>
          <w:rFonts w:cstheme="minorHAnsi"/>
          <w:sz w:val="20"/>
          <w:szCs w:val="20"/>
        </w:rPr>
      </w:pPr>
      <w:proofErr w:type="spellStart"/>
      <w:r w:rsidRPr="00DB32A8">
        <w:rPr>
          <w:rFonts w:cstheme="minorHAnsi"/>
          <w:sz w:val="20"/>
          <w:szCs w:val="20"/>
        </w:rPr>
        <w:t>Elecsys</w:t>
      </w:r>
      <w:proofErr w:type="spellEnd"/>
      <w:r w:rsidRPr="00DB32A8">
        <w:rPr>
          <w:rFonts w:cstheme="minorHAnsi"/>
          <w:sz w:val="20"/>
          <w:szCs w:val="20"/>
        </w:rPr>
        <w:t xml:space="preserve"> Anti-SARS-CoV-2 Assay</w:t>
      </w:r>
    </w:p>
    <w:p w14:paraId="21BBB9DF" w14:textId="77777777" w:rsidR="00DB32A8" w:rsidRPr="00DB32A8" w:rsidRDefault="00DB32A8" w:rsidP="00DB32A8">
      <w:pPr>
        <w:spacing w:after="120" w:line="480" w:lineRule="auto"/>
        <w:rPr>
          <w:rFonts w:cstheme="minorHAnsi"/>
          <w:sz w:val="20"/>
          <w:szCs w:val="20"/>
        </w:rPr>
      </w:pPr>
      <w:r w:rsidRPr="00DB32A8">
        <w:rPr>
          <w:rFonts w:cstheme="minorHAnsi"/>
          <w:sz w:val="20"/>
          <w:szCs w:val="20"/>
        </w:rPr>
        <w:t xml:space="preserve">The Roche </w:t>
      </w:r>
      <w:proofErr w:type="spellStart"/>
      <w:r w:rsidRPr="00DB32A8">
        <w:rPr>
          <w:rFonts w:cstheme="minorHAnsi"/>
          <w:sz w:val="20"/>
          <w:szCs w:val="20"/>
        </w:rPr>
        <w:t>Elecsys</w:t>
      </w:r>
      <w:proofErr w:type="spellEnd"/>
      <w:r w:rsidRPr="00DB32A8">
        <w:rPr>
          <w:rFonts w:cstheme="minorHAnsi"/>
          <w:sz w:val="20"/>
          <w:szCs w:val="20"/>
        </w:rPr>
        <w:t> Anti</w:t>
      </w:r>
      <w:r w:rsidRPr="00DB32A8">
        <w:rPr>
          <w:rFonts w:cstheme="minorHAnsi"/>
          <w:sz w:val="20"/>
          <w:szCs w:val="20"/>
        </w:rPr>
        <w:noBreakHyphen/>
        <w:t>SARS</w:t>
      </w:r>
      <w:r w:rsidRPr="00DB32A8">
        <w:rPr>
          <w:rFonts w:cstheme="minorHAnsi"/>
          <w:sz w:val="20"/>
          <w:szCs w:val="20"/>
        </w:rPr>
        <w:noBreakHyphen/>
        <w:t>CoV-2 assay uses a recombinant protein representing the nucleocapsid (N) antigen for the determination of antibodies against SARS</w:t>
      </w:r>
      <w:r w:rsidRPr="00DB32A8">
        <w:rPr>
          <w:rFonts w:cstheme="minorHAnsi"/>
          <w:sz w:val="20"/>
          <w:szCs w:val="20"/>
        </w:rPr>
        <w:noBreakHyphen/>
        <w:t>CoV</w:t>
      </w:r>
      <w:r w:rsidRPr="00DB32A8">
        <w:rPr>
          <w:rFonts w:cstheme="minorHAnsi"/>
          <w:sz w:val="20"/>
          <w:szCs w:val="20"/>
        </w:rPr>
        <w:noBreakHyphen/>
        <w:t>2 in human serum and plasma.  We performed this test on a subset of our participants.  The test is intended for use as an aid in identifying individuals with an adaptive immune response to SARS</w:t>
      </w:r>
      <w:r w:rsidRPr="00DB32A8">
        <w:rPr>
          <w:rFonts w:cstheme="minorHAnsi"/>
          <w:sz w:val="20"/>
          <w:szCs w:val="20"/>
        </w:rPr>
        <w:noBreakHyphen/>
        <w:t>CoV</w:t>
      </w:r>
      <w:r w:rsidRPr="00DB32A8">
        <w:rPr>
          <w:rFonts w:cstheme="minorHAnsi"/>
          <w:sz w:val="20"/>
          <w:szCs w:val="20"/>
        </w:rPr>
        <w:noBreakHyphen/>
        <w:t>2, indicating recent or prior infection.  It does not detect antibodies induced by currently available SARS-CoV-2 vaccines.  Although this assay in principle can detect high affinity antibodies of all isotypes (</w:t>
      </w:r>
      <w:proofErr w:type="spellStart"/>
      <w:r w:rsidRPr="00DB32A8">
        <w:rPr>
          <w:rFonts w:cstheme="minorHAnsi"/>
          <w:sz w:val="20"/>
          <w:szCs w:val="20"/>
        </w:rPr>
        <w:t>ie</w:t>
      </w:r>
      <w:proofErr w:type="spellEnd"/>
      <w:r w:rsidRPr="00DB32A8">
        <w:rPr>
          <w:rFonts w:cstheme="minorHAnsi"/>
          <w:sz w:val="20"/>
          <w:szCs w:val="20"/>
        </w:rPr>
        <w:t xml:space="preserve">, IgG, IgA, IgM), it preferentially detects IgG antibodies because these are more likely to evolve to become high affinity.  At this time, it is unknown for how long antibodies persist following infection and if the presence of antibodies confers protective immunity.  </w:t>
      </w:r>
    </w:p>
    <w:p w14:paraId="39D664B9" w14:textId="77777777" w:rsidR="00DB32A8" w:rsidRPr="00DB32A8" w:rsidRDefault="00DB32A8" w:rsidP="00DB32A8">
      <w:pPr>
        <w:spacing w:line="480" w:lineRule="auto"/>
        <w:rPr>
          <w:rFonts w:cstheme="minorHAnsi"/>
          <w:b/>
          <w:noProof/>
          <w:color w:val="000000" w:themeColor="text1"/>
          <w:sz w:val="20"/>
          <w:szCs w:val="20"/>
        </w:rPr>
      </w:pPr>
    </w:p>
    <w:p w14:paraId="70E2D656" w14:textId="77777777" w:rsidR="00DB32A8" w:rsidRPr="00DB32A8" w:rsidRDefault="00DB32A8" w:rsidP="00DB32A8">
      <w:pPr>
        <w:spacing w:line="480" w:lineRule="auto"/>
        <w:rPr>
          <w:rFonts w:cstheme="minorHAnsi"/>
          <w:b/>
          <w:noProof/>
          <w:color w:val="000000" w:themeColor="text1"/>
          <w:sz w:val="20"/>
          <w:szCs w:val="20"/>
        </w:rPr>
      </w:pPr>
      <w:r w:rsidRPr="00DB32A8">
        <w:rPr>
          <w:rFonts w:cstheme="minorHAnsi"/>
          <w:b/>
          <w:noProof/>
          <w:color w:val="000000" w:themeColor="text1"/>
          <w:sz w:val="20"/>
          <w:szCs w:val="20"/>
        </w:rPr>
        <w:t>Clinical Sites Referring Participants to PREVENT-COVID</w:t>
      </w:r>
    </w:p>
    <w:p w14:paraId="494585DF" w14:textId="77777777" w:rsidR="00DB32A8" w:rsidRPr="00DB32A8" w:rsidRDefault="00DB32A8" w:rsidP="00DB32A8">
      <w:pPr>
        <w:spacing w:line="480" w:lineRule="auto"/>
        <w:rPr>
          <w:rFonts w:cstheme="minorHAnsi"/>
          <w:bCs/>
          <w:noProof/>
          <w:color w:val="000000" w:themeColor="text1"/>
          <w:sz w:val="20"/>
          <w:szCs w:val="20"/>
        </w:rPr>
      </w:pPr>
      <w:r w:rsidRPr="00DB32A8">
        <w:rPr>
          <w:rFonts w:cstheme="minorHAnsi"/>
          <w:bCs/>
          <w:noProof/>
          <w:color w:val="000000" w:themeColor="text1"/>
          <w:sz w:val="20"/>
          <w:szCs w:val="20"/>
        </w:rPr>
        <w:t>University of North Carolina</w:t>
      </w:r>
    </w:p>
    <w:p w14:paraId="0B2D93C2" w14:textId="77777777" w:rsidR="00DB32A8" w:rsidRPr="00DB32A8" w:rsidRDefault="00DB32A8" w:rsidP="00DB32A8">
      <w:pPr>
        <w:spacing w:line="480" w:lineRule="auto"/>
        <w:rPr>
          <w:rFonts w:cstheme="minorHAnsi"/>
          <w:bCs/>
          <w:noProof/>
          <w:color w:val="000000" w:themeColor="text1"/>
          <w:sz w:val="20"/>
          <w:szCs w:val="20"/>
        </w:rPr>
      </w:pPr>
      <w:r w:rsidRPr="00DB32A8">
        <w:rPr>
          <w:rFonts w:cstheme="minorHAnsi"/>
          <w:bCs/>
          <w:noProof/>
          <w:color w:val="000000" w:themeColor="text1"/>
          <w:sz w:val="20"/>
          <w:szCs w:val="20"/>
        </w:rPr>
        <w:t>Ann &amp; Robert Lurie Children’s Hospital of Chicago</w:t>
      </w:r>
    </w:p>
    <w:p w14:paraId="6E8A217C" w14:textId="77777777" w:rsidR="00DB32A8" w:rsidRPr="00DB32A8" w:rsidRDefault="00DB32A8" w:rsidP="00DB32A8">
      <w:pPr>
        <w:spacing w:line="480" w:lineRule="auto"/>
        <w:rPr>
          <w:rFonts w:cstheme="minorHAnsi"/>
          <w:bCs/>
          <w:noProof/>
          <w:color w:val="000000" w:themeColor="text1"/>
          <w:sz w:val="20"/>
          <w:szCs w:val="20"/>
        </w:rPr>
      </w:pPr>
      <w:r w:rsidRPr="00DB32A8">
        <w:rPr>
          <w:rFonts w:cstheme="minorHAnsi"/>
          <w:bCs/>
          <w:noProof/>
          <w:color w:val="000000" w:themeColor="text1"/>
          <w:sz w:val="20"/>
          <w:szCs w:val="20"/>
        </w:rPr>
        <w:t>Boston Children’s Hospital</w:t>
      </w:r>
    </w:p>
    <w:p w14:paraId="44339219" w14:textId="77777777" w:rsidR="00DB32A8" w:rsidRPr="00DB32A8" w:rsidRDefault="00DB32A8" w:rsidP="00DB32A8">
      <w:pPr>
        <w:spacing w:line="480" w:lineRule="auto"/>
        <w:rPr>
          <w:rFonts w:cstheme="minorHAnsi"/>
          <w:bCs/>
          <w:noProof/>
          <w:color w:val="000000" w:themeColor="text1"/>
          <w:sz w:val="20"/>
          <w:szCs w:val="20"/>
        </w:rPr>
      </w:pPr>
      <w:r w:rsidRPr="00DB32A8">
        <w:rPr>
          <w:rFonts w:cstheme="minorHAnsi"/>
          <w:bCs/>
          <w:noProof/>
          <w:color w:val="000000" w:themeColor="text1"/>
          <w:sz w:val="20"/>
          <w:szCs w:val="20"/>
        </w:rPr>
        <w:t>Brigham and Women’s Hospital</w:t>
      </w:r>
    </w:p>
    <w:p w14:paraId="0978B342" w14:textId="77777777" w:rsidR="00DB32A8" w:rsidRPr="00DB32A8" w:rsidRDefault="00DB32A8" w:rsidP="00DB32A8">
      <w:pPr>
        <w:spacing w:line="480" w:lineRule="auto"/>
        <w:rPr>
          <w:rFonts w:cstheme="minorHAnsi"/>
          <w:bCs/>
          <w:noProof/>
          <w:color w:val="000000" w:themeColor="text1"/>
          <w:sz w:val="20"/>
          <w:szCs w:val="20"/>
        </w:rPr>
      </w:pPr>
      <w:r w:rsidRPr="00DB32A8">
        <w:rPr>
          <w:rFonts w:cstheme="minorHAnsi"/>
          <w:bCs/>
          <w:noProof/>
          <w:color w:val="000000" w:themeColor="text1"/>
          <w:sz w:val="20"/>
          <w:szCs w:val="20"/>
        </w:rPr>
        <w:t xml:space="preserve">Children’s Hospital of Philadelphia </w:t>
      </w:r>
    </w:p>
    <w:p w14:paraId="7681AD36" w14:textId="77777777" w:rsidR="00DB32A8" w:rsidRPr="00DB32A8" w:rsidRDefault="00DB32A8" w:rsidP="00DB32A8">
      <w:pPr>
        <w:spacing w:line="480" w:lineRule="auto"/>
        <w:rPr>
          <w:rFonts w:cstheme="minorHAnsi"/>
          <w:bCs/>
          <w:noProof/>
          <w:color w:val="000000" w:themeColor="text1"/>
          <w:sz w:val="20"/>
          <w:szCs w:val="20"/>
        </w:rPr>
      </w:pPr>
      <w:r w:rsidRPr="00DB32A8">
        <w:rPr>
          <w:rFonts w:cstheme="minorHAnsi"/>
          <w:bCs/>
          <w:noProof/>
          <w:color w:val="000000" w:themeColor="text1"/>
          <w:sz w:val="20"/>
          <w:szCs w:val="20"/>
        </w:rPr>
        <w:t>University of Maryland</w:t>
      </w:r>
    </w:p>
    <w:p w14:paraId="67DEE055" w14:textId="77777777" w:rsidR="00DB32A8" w:rsidRPr="00DB32A8" w:rsidRDefault="00DB32A8" w:rsidP="00DB32A8">
      <w:pPr>
        <w:spacing w:line="480" w:lineRule="auto"/>
        <w:rPr>
          <w:rFonts w:cstheme="minorHAnsi"/>
          <w:bCs/>
          <w:noProof/>
          <w:color w:val="000000" w:themeColor="text1"/>
          <w:sz w:val="20"/>
          <w:szCs w:val="20"/>
        </w:rPr>
      </w:pPr>
      <w:r w:rsidRPr="00DB32A8">
        <w:rPr>
          <w:rFonts w:cstheme="minorHAnsi"/>
          <w:bCs/>
          <w:noProof/>
          <w:color w:val="000000" w:themeColor="text1"/>
          <w:sz w:val="20"/>
          <w:szCs w:val="20"/>
        </w:rPr>
        <w:t>University of Michigan</w:t>
      </w:r>
    </w:p>
    <w:p w14:paraId="6C51167C" w14:textId="77777777" w:rsidR="00DB32A8" w:rsidRPr="0093678C" w:rsidRDefault="00DB32A8" w:rsidP="00DB32A8">
      <w:pPr>
        <w:spacing w:line="480" w:lineRule="auto"/>
        <w:rPr>
          <w:rFonts w:cstheme="minorHAnsi"/>
          <w:bCs/>
          <w:noProof/>
          <w:color w:val="000000" w:themeColor="text1"/>
          <w:sz w:val="20"/>
          <w:szCs w:val="20"/>
        </w:rPr>
      </w:pPr>
      <w:r w:rsidRPr="00DB32A8">
        <w:rPr>
          <w:rFonts w:cstheme="minorHAnsi"/>
          <w:bCs/>
          <w:noProof/>
          <w:color w:val="000000" w:themeColor="text1"/>
          <w:sz w:val="20"/>
          <w:szCs w:val="20"/>
        </w:rPr>
        <w:t>Mount Sinai Hospital</w:t>
      </w:r>
    </w:p>
    <w:p w14:paraId="7DD88BAE" w14:textId="77777777" w:rsidR="00DB32A8" w:rsidRPr="0093678C" w:rsidRDefault="00DB32A8" w:rsidP="00DB32A8">
      <w:pPr>
        <w:rPr>
          <w:rFonts w:cstheme="minorHAnsi"/>
          <w:bCs/>
          <w:noProof/>
          <w:color w:val="000000" w:themeColor="text1"/>
          <w:sz w:val="20"/>
          <w:szCs w:val="20"/>
        </w:rPr>
      </w:pPr>
    </w:p>
    <w:p w14:paraId="77737D21" w14:textId="77777777" w:rsidR="00DB32A8" w:rsidRPr="0093678C" w:rsidRDefault="00DB32A8" w:rsidP="00DB32A8">
      <w:pPr>
        <w:rPr>
          <w:rFonts w:cstheme="minorHAnsi"/>
          <w:sz w:val="20"/>
          <w:szCs w:val="20"/>
        </w:rPr>
      </w:pPr>
    </w:p>
    <w:p w14:paraId="249462FC" w14:textId="77777777" w:rsidR="00DB32A8" w:rsidRPr="002A5703" w:rsidRDefault="00DB32A8" w:rsidP="00DB32A8">
      <w:pPr>
        <w:rPr>
          <w:rFonts w:cstheme="minorHAnsi"/>
          <w:sz w:val="20"/>
          <w:szCs w:val="20"/>
        </w:rPr>
      </w:pPr>
    </w:p>
    <w:p w14:paraId="6BA62B18" w14:textId="77777777" w:rsidR="00DB32A8" w:rsidRPr="002A5703" w:rsidRDefault="00DB32A8" w:rsidP="00DB32A8">
      <w:pPr>
        <w:rPr>
          <w:rFonts w:cstheme="minorHAnsi"/>
          <w:sz w:val="20"/>
          <w:szCs w:val="20"/>
        </w:rPr>
      </w:pPr>
    </w:p>
    <w:p w14:paraId="60D037D8" w14:textId="77777777" w:rsidR="00DB32A8" w:rsidRPr="002A5703" w:rsidRDefault="00DB32A8" w:rsidP="00DB32A8">
      <w:pPr>
        <w:rPr>
          <w:rFonts w:cstheme="minorHAnsi"/>
          <w:sz w:val="20"/>
          <w:szCs w:val="20"/>
        </w:rPr>
      </w:pPr>
    </w:p>
    <w:p w14:paraId="1D255F84" w14:textId="77777777" w:rsidR="00DB0586" w:rsidRDefault="00DB0586"/>
    <w:sectPr w:rsidR="00DB0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18E"/>
    <w:rsid w:val="000B118E"/>
    <w:rsid w:val="00694FD7"/>
    <w:rsid w:val="00C01A8E"/>
    <w:rsid w:val="00DB0586"/>
    <w:rsid w:val="00DB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BB02"/>
  <w15:chartTrackingRefBased/>
  <w15:docId w15:val="{39154895-2ADC-4905-90CD-6CB7073A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Kastl, Arthur J</dc:creator>
  <cp:keywords/>
  <dc:description/>
  <cp:lastModifiedBy>Kastl, Arthur J</cp:lastModifiedBy>
  <cp:revision>2</cp:revision>
  <dcterms:created xsi:type="dcterms:W3CDTF">2022-07-24T01:01:00Z</dcterms:created>
  <dcterms:modified xsi:type="dcterms:W3CDTF">2022-07-24T02:36:00Z</dcterms:modified>
</cp:coreProperties>
</file>