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08" w:rsidRPr="00A51DEA" w:rsidRDefault="00DD3658">
      <w:pPr>
        <w:rPr>
          <w:rFonts w:ascii="Arial" w:hAnsi="Arial" w:cs="Arial"/>
          <w:b/>
        </w:rPr>
      </w:pPr>
      <w:r w:rsidRPr="00A51DEA">
        <w:rPr>
          <w:rFonts w:ascii="Arial" w:hAnsi="Arial" w:cs="Arial"/>
          <w:b/>
        </w:rPr>
        <w:t xml:space="preserve">Supplementary Table 1 </w:t>
      </w:r>
    </w:p>
    <w:p w:rsidR="00DD3658" w:rsidRDefault="00DD3658">
      <w:r>
        <w:t xml:space="preserve">Comparison of Marsh and Corazza pathology classifications </w:t>
      </w:r>
    </w:p>
    <w:tbl>
      <w:tblPr>
        <w:tblStyle w:val="TableGrid"/>
        <w:tblW w:w="0" w:type="auto"/>
        <w:tblLook w:val="04A0" w:firstRow="1" w:lastRow="0" w:firstColumn="1" w:lastColumn="0" w:noHBand="0" w:noVBand="1"/>
      </w:tblPr>
      <w:tblGrid>
        <w:gridCol w:w="1870"/>
        <w:gridCol w:w="1870"/>
        <w:gridCol w:w="1870"/>
        <w:gridCol w:w="1870"/>
        <w:gridCol w:w="1870"/>
      </w:tblGrid>
      <w:tr w:rsidR="00DD3658" w:rsidTr="00DD3658">
        <w:tc>
          <w:tcPr>
            <w:tcW w:w="1870" w:type="dxa"/>
          </w:tcPr>
          <w:p w:rsidR="00DD3658" w:rsidRDefault="00DD3658" w:rsidP="00DD3658">
            <w:pPr>
              <w:rPr>
                <w:b/>
              </w:rPr>
            </w:pPr>
            <w:r w:rsidRPr="00DD3658">
              <w:rPr>
                <w:b/>
              </w:rPr>
              <w:t>Marsh</w:t>
            </w:r>
          </w:p>
          <w:p w:rsidR="00486076" w:rsidRPr="00DD3658" w:rsidRDefault="00486076" w:rsidP="00DD3658">
            <w:pPr>
              <w:rPr>
                <w:b/>
              </w:rPr>
            </w:pPr>
          </w:p>
        </w:tc>
        <w:tc>
          <w:tcPr>
            <w:tcW w:w="1870" w:type="dxa"/>
          </w:tcPr>
          <w:p w:rsidR="00DD3658" w:rsidRDefault="00DD3658" w:rsidP="00DD3658">
            <w:r>
              <w:t>IELs</w:t>
            </w:r>
          </w:p>
          <w:p w:rsidR="00486076" w:rsidRDefault="00486076" w:rsidP="00DD3658">
            <w:r>
              <w:t>Marsh/Corazza</w:t>
            </w:r>
          </w:p>
        </w:tc>
        <w:tc>
          <w:tcPr>
            <w:tcW w:w="1870" w:type="dxa"/>
          </w:tcPr>
          <w:p w:rsidR="00DD3658" w:rsidRDefault="00DD3658" w:rsidP="00DD3658">
            <w:r>
              <w:t>Crypts</w:t>
            </w:r>
          </w:p>
        </w:tc>
        <w:tc>
          <w:tcPr>
            <w:tcW w:w="1870" w:type="dxa"/>
          </w:tcPr>
          <w:p w:rsidR="00DD3658" w:rsidRDefault="00DD3658" w:rsidP="00DD3658">
            <w:r>
              <w:t>Villi</w:t>
            </w:r>
          </w:p>
        </w:tc>
        <w:tc>
          <w:tcPr>
            <w:tcW w:w="1870" w:type="dxa"/>
          </w:tcPr>
          <w:p w:rsidR="00DD3658" w:rsidRPr="00DD3658" w:rsidRDefault="00DD3658" w:rsidP="00DD3658">
            <w:pPr>
              <w:rPr>
                <w:b/>
              </w:rPr>
            </w:pPr>
            <w:r w:rsidRPr="00DD3658">
              <w:rPr>
                <w:b/>
              </w:rPr>
              <w:t>Corazza</w:t>
            </w:r>
          </w:p>
        </w:tc>
      </w:tr>
      <w:tr w:rsidR="00DD3658" w:rsidTr="00DD3658">
        <w:tc>
          <w:tcPr>
            <w:tcW w:w="1870" w:type="dxa"/>
          </w:tcPr>
          <w:p w:rsidR="00DD3658" w:rsidRDefault="00DD3658" w:rsidP="00DD3658">
            <w:r>
              <w:t>Type 0</w:t>
            </w:r>
          </w:p>
        </w:tc>
        <w:tc>
          <w:tcPr>
            <w:tcW w:w="1870" w:type="dxa"/>
          </w:tcPr>
          <w:p w:rsidR="00DD3658" w:rsidRDefault="00DD3658" w:rsidP="00DD3658">
            <w:r>
              <w:t>&lt;40</w:t>
            </w:r>
          </w:p>
        </w:tc>
        <w:tc>
          <w:tcPr>
            <w:tcW w:w="1870" w:type="dxa"/>
          </w:tcPr>
          <w:p w:rsidR="00DD3658" w:rsidRDefault="00DD3658" w:rsidP="00DD3658">
            <w:r>
              <w:t>Normal</w:t>
            </w:r>
          </w:p>
        </w:tc>
        <w:tc>
          <w:tcPr>
            <w:tcW w:w="1870" w:type="dxa"/>
          </w:tcPr>
          <w:p w:rsidR="00DD3658" w:rsidRDefault="00DD3658" w:rsidP="00DD3658">
            <w:r>
              <w:t>Normal</w:t>
            </w:r>
          </w:p>
        </w:tc>
        <w:tc>
          <w:tcPr>
            <w:tcW w:w="1870" w:type="dxa"/>
          </w:tcPr>
          <w:p w:rsidR="00DD3658" w:rsidRDefault="00DD3658" w:rsidP="00DD3658"/>
        </w:tc>
      </w:tr>
      <w:tr w:rsidR="00DD3658" w:rsidTr="00DD3658">
        <w:tc>
          <w:tcPr>
            <w:tcW w:w="1870" w:type="dxa"/>
          </w:tcPr>
          <w:p w:rsidR="00DD3658" w:rsidRDefault="00DD3658" w:rsidP="00DD3658">
            <w:r>
              <w:t>Type 1</w:t>
            </w:r>
          </w:p>
        </w:tc>
        <w:tc>
          <w:tcPr>
            <w:tcW w:w="1870" w:type="dxa"/>
          </w:tcPr>
          <w:p w:rsidR="00DD3658" w:rsidRDefault="00DD3658" w:rsidP="00DD3658">
            <w:r>
              <w:t>&gt;40</w:t>
            </w:r>
            <w:r w:rsidR="00486076">
              <w:t>/&gt;25</w:t>
            </w:r>
          </w:p>
        </w:tc>
        <w:tc>
          <w:tcPr>
            <w:tcW w:w="1870" w:type="dxa"/>
          </w:tcPr>
          <w:p w:rsidR="00DD3658" w:rsidRDefault="00DD3658" w:rsidP="00DD3658">
            <w:r>
              <w:t>Normal</w:t>
            </w:r>
          </w:p>
        </w:tc>
        <w:tc>
          <w:tcPr>
            <w:tcW w:w="1870" w:type="dxa"/>
          </w:tcPr>
          <w:p w:rsidR="00DD3658" w:rsidRDefault="00DD3658" w:rsidP="00DD3658">
            <w:r>
              <w:t>Normal</w:t>
            </w:r>
          </w:p>
        </w:tc>
        <w:tc>
          <w:tcPr>
            <w:tcW w:w="1870" w:type="dxa"/>
            <w:vMerge w:val="restart"/>
          </w:tcPr>
          <w:p w:rsidR="00DD3658" w:rsidRDefault="00DD3658" w:rsidP="00DD3658">
            <w:r>
              <w:t>Grade A</w:t>
            </w:r>
          </w:p>
        </w:tc>
      </w:tr>
      <w:tr w:rsidR="00DD3658" w:rsidTr="00DD3658">
        <w:tc>
          <w:tcPr>
            <w:tcW w:w="1870" w:type="dxa"/>
          </w:tcPr>
          <w:p w:rsidR="00DD3658" w:rsidRDefault="00DD3658" w:rsidP="00DD3658">
            <w:r>
              <w:t>Type 2</w:t>
            </w:r>
          </w:p>
        </w:tc>
        <w:tc>
          <w:tcPr>
            <w:tcW w:w="1870" w:type="dxa"/>
          </w:tcPr>
          <w:p w:rsidR="00DD3658" w:rsidRDefault="00DD3658" w:rsidP="00DD3658">
            <w:r>
              <w:t>&gt;40</w:t>
            </w:r>
            <w:r w:rsidR="00486076">
              <w:t>/&gt;25</w:t>
            </w:r>
          </w:p>
        </w:tc>
        <w:tc>
          <w:tcPr>
            <w:tcW w:w="1870" w:type="dxa"/>
          </w:tcPr>
          <w:p w:rsidR="00DD3658" w:rsidRDefault="00DD3658" w:rsidP="00DD3658">
            <w:r>
              <w:t xml:space="preserve">Hypertrophic </w:t>
            </w:r>
          </w:p>
        </w:tc>
        <w:tc>
          <w:tcPr>
            <w:tcW w:w="1870" w:type="dxa"/>
          </w:tcPr>
          <w:p w:rsidR="00DD3658" w:rsidRDefault="00DD3658" w:rsidP="00DD3658">
            <w:r>
              <w:t xml:space="preserve">Normal </w:t>
            </w:r>
          </w:p>
        </w:tc>
        <w:tc>
          <w:tcPr>
            <w:tcW w:w="1870" w:type="dxa"/>
            <w:vMerge/>
          </w:tcPr>
          <w:p w:rsidR="00DD3658" w:rsidRDefault="00DD3658" w:rsidP="00DD3658"/>
        </w:tc>
      </w:tr>
      <w:tr w:rsidR="00DD3658" w:rsidTr="00DD3658">
        <w:tc>
          <w:tcPr>
            <w:tcW w:w="1870" w:type="dxa"/>
          </w:tcPr>
          <w:p w:rsidR="00DD3658" w:rsidRDefault="00DD3658" w:rsidP="00DD3658">
            <w:r>
              <w:t>Type 3</w:t>
            </w:r>
          </w:p>
        </w:tc>
        <w:tc>
          <w:tcPr>
            <w:tcW w:w="1870" w:type="dxa"/>
          </w:tcPr>
          <w:p w:rsidR="00DD3658" w:rsidRDefault="00DD3658" w:rsidP="00DD3658">
            <w:r>
              <w:t>&gt;40</w:t>
            </w:r>
            <w:r w:rsidR="00486076">
              <w:t>/&gt;25</w:t>
            </w:r>
          </w:p>
        </w:tc>
        <w:tc>
          <w:tcPr>
            <w:tcW w:w="1870" w:type="dxa"/>
          </w:tcPr>
          <w:p w:rsidR="00DD3658" w:rsidRDefault="00DD3658" w:rsidP="00DD3658">
            <w:r>
              <w:t xml:space="preserve">Hypertrophic </w:t>
            </w:r>
          </w:p>
        </w:tc>
        <w:tc>
          <w:tcPr>
            <w:tcW w:w="1870" w:type="dxa"/>
          </w:tcPr>
          <w:p w:rsidR="00DD3658" w:rsidRDefault="00486076" w:rsidP="00DD3658">
            <w:r>
              <w:t>partial</w:t>
            </w:r>
            <w:r w:rsidR="00DD3658">
              <w:t xml:space="preserve"> to subtotal</w:t>
            </w:r>
          </w:p>
        </w:tc>
        <w:tc>
          <w:tcPr>
            <w:tcW w:w="1870" w:type="dxa"/>
          </w:tcPr>
          <w:p w:rsidR="00DD3658" w:rsidRDefault="00DD3658" w:rsidP="00DD3658">
            <w:r>
              <w:t>Grade B1</w:t>
            </w:r>
          </w:p>
        </w:tc>
      </w:tr>
      <w:tr w:rsidR="00DD3658" w:rsidTr="00DD3658">
        <w:tc>
          <w:tcPr>
            <w:tcW w:w="1870" w:type="dxa"/>
          </w:tcPr>
          <w:p w:rsidR="00DD3658" w:rsidRDefault="00DD3658" w:rsidP="00DD3658"/>
        </w:tc>
        <w:tc>
          <w:tcPr>
            <w:tcW w:w="1870" w:type="dxa"/>
          </w:tcPr>
          <w:p w:rsidR="00DD3658" w:rsidRDefault="00DD3658" w:rsidP="00DD3658">
            <w:r>
              <w:t>&gt;40</w:t>
            </w:r>
            <w:r w:rsidR="00486076">
              <w:t>/&gt;25</w:t>
            </w:r>
          </w:p>
        </w:tc>
        <w:tc>
          <w:tcPr>
            <w:tcW w:w="1870" w:type="dxa"/>
          </w:tcPr>
          <w:p w:rsidR="00DD3658" w:rsidRDefault="00DD3658" w:rsidP="00DD3658">
            <w:r>
              <w:t xml:space="preserve">Hypertrophic </w:t>
            </w:r>
          </w:p>
        </w:tc>
        <w:tc>
          <w:tcPr>
            <w:tcW w:w="1870" w:type="dxa"/>
          </w:tcPr>
          <w:p w:rsidR="00DD3658" w:rsidRDefault="00DD3658" w:rsidP="00DD3658">
            <w:r>
              <w:t xml:space="preserve">Total </w:t>
            </w:r>
          </w:p>
        </w:tc>
        <w:tc>
          <w:tcPr>
            <w:tcW w:w="1870" w:type="dxa"/>
          </w:tcPr>
          <w:p w:rsidR="00DD3658" w:rsidRDefault="00DD3658" w:rsidP="00DD3658">
            <w:r>
              <w:t>Grade B2</w:t>
            </w:r>
          </w:p>
        </w:tc>
      </w:tr>
      <w:tr w:rsidR="00DD3658" w:rsidTr="00DD3658">
        <w:tc>
          <w:tcPr>
            <w:tcW w:w="1870" w:type="dxa"/>
          </w:tcPr>
          <w:p w:rsidR="00DD3658" w:rsidRDefault="00DD3658" w:rsidP="00DD3658">
            <w:r>
              <w:t xml:space="preserve">Type 4 </w:t>
            </w:r>
          </w:p>
        </w:tc>
        <w:tc>
          <w:tcPr>
            <w:tcW w:w="1870" w:type="dxa"/>
          </w:tcPr>
          <w:p w:rsidR="00DD3658" w:rsidRDefault="00DD3658" w:rsidP="00DD3658">
            <w:r>
              <w:t>&lt;40</w:t>
            </w:r>
          </w:p>
        </w:tc>
        <w:tc>
          <w:tcPr>
            <w:tcW w:w="1870" w:type="dxa"/>
          </w:tcPr>
          <w:p w:rsidR="00DD3658" w:rsidRDefault="00DD3658" w:rsidP="00DD3658">
            <w:r>
              <w:t xml:space="preserve">Normal </w:t>
            </w:r>
          </w:p>
        </w:tc>
        <w:tc>
          <w:tcPr>
            <w:tcW w:w="1870" w:type="dxa"/>
          </w:tcPr>
          <w:p w:rsidR="00DD3658" w:rsidRDefault="00DD3658" w:rsidP="00DD3658">
            <w:r>
              <w:t xml:space="preserve">Total </w:t>
            </w:r>
          </w:p>
        </w:tc>
        <w:tc>
          <w:tcPr>
            <w:tcW w:w="1870" w:type="dxa"/>
          </w:tcPr>
          <w:p w:rsidR="00DD3658" w:rsidRDefault="00DD3658" w:rsidP="00DD3658"/>
        </w:tc>
      </w:tr>
    </w:tbl>
    <w:p w:rsidR="00DD3658" w:rsidRDefault="009154F8">
      <w:r>
        <w:t xml:space="preserve">IELs, intraepithelial lymphocytes </w:t>
      </w:r>
      <w:r w:rsidR="00486076">
        <w:t xml:space="preserve">(per 100 enterocytes) </w:t>
      </w:r>
    </w:p>
    <w:p w:rsidR="009154F8" w:rsidRDefault="009154F8">
      <w:r>
        <w:t xml:space="preserve">Based on references 22 and 23 </w:t>
      </w:r>
    </w:p>
    <w:p w:rsidR="00BC2B5F" w:rsidRDefault="00BC2B5F"/>
    <w:p w:rsidR="00BC2B5F" w:rsidRPr="00BC2B5F" w:rsidRDefault="00BC2B5F">
      <w:pPr>
        <w:rPr>
          <w:b/>
        </w:rPr>
      </w:pPr>
      <w:r>
        <w:rPr>
          <w:rFonts w:ascii="Arial" w:hAnsi="Arial" w:cs="Arial"/>
          <w:b/>
          <w:i/>
        </w:rPr>
        <w:t>Dissents</w:t>
      </w:r>
    </w:p>
    <w:p w:rsidR="00917085" w:rsidRDefault="00917085">
      <w:r>
        <w:t>The guideline document was developed with significant agreement between content experts and</w:t>
      </w:r>
      <w:r w:rsidR="00BC2B5F">
        <w:t xml:space="preserve"> GRADE methodologist with only two dissents </w:t>
      </w:r>
      <w:r>
        <w:t>necessary in the full guideline</w:t>
      </w:r>
      <w:r w:rsidR="00BC2B5F">
        <w:t xml:space="preserve"> document</w:t>
      </w:r>
      <w:r>
        <w:t xml:space="preserve">. </w:t>
      </w:r>
    </w:p>
    <w:p w:rsidR="00917085" w:rsidRDefault="00917085" w:rsidP="00917085">
      <w:pPr>
        <w:spacing w:after="200" w:line="276" w:lineRule="auto"/>
        <w:rPr>
          <w:rFonts w:ascii="Arial" w:hAnsi="Arial" w:cs="Arial"/>
          <w:b/>
          <w:i/>
        </w:rPr>
      </w:pPr>
      <w:r>
        <w:rPr>
          <w:rFonts w:ascii="Arial" w:hAnsi="Arial" w:cs="Arial"/>
          <w:b/>
          <w:i/>
        </w:rPr>
        <w:t>Dissent #1</w:t>
      </w:r>
    </w:p>
    <w:p w:rsidR="00917085" w:rsidRDefault="00917085" w:rsidP="00917085">
      <w:pPr>
        <w:spacing w:after="200" w:line="276" w:lineRule="auto"/>
        <w:rPr>
          <w:rFonts w:ascii="Arial" w:hAnsi="Arial" w:cs="Arial"/>
          <w:b/>
          <w:i/>
        </w:rPr>
      </w:pPr>
      <w:r>
        <w:rPr>
          <w:rFonts w:ascii="Arial" w:hAnsi="Arial" w:cs="Arial"/>
          <w:b/>
          <w:i/>
        </w:rPr>
        <w:t>1A. We recommend EGD with multiple duodenal biopsies for confirmation of diagnosis in both children and adults with suspicion of celiac disease</w:t>
      </w:r>
    </w:p>
    <w:p w:rsidR="00917085" w:rsidRDefault="00917085" w:rsidP="00917085">
      <w:pPr>
        <w:rPr>
          <w:rFonts w:ascii="Arial" w:hAnsi="Arial" w:cs="Arial"/>
          <w:b/>
          <w:bCs/>
          <w:i/>
          <w:color w:val="92D050"/>
        </w:rPr>
      </w:pPr>
      <w:r>
        <w:rPr>
          <w:rFonts w:ascii="Arial" w:hAnsi="Arial" w:cs="Arial"/>
          <w:b/>
          <w:bCs/>
          <w:i/>
          <w:color w:val="92D050"/>
        </w:rPr>
        <w:t>Quality/Certainty of Evidence: Moderate</w:t>
      </w:r>
    </w:p>
    <w:p w:rsidR="00917085" w:rsidRDefault="00917085" w:rsidP="00917085">
      <w:pPr>
        <w:rPr>
          <w:rFonts w:ascii="Arial" w:hAnsi="Arial" w:cs="Arial"/>
          <w:b/>
          <w:bCs/>
          <w:i/>
          <w:color w:val="92D050"/>
        </w:rPr>
      </w:pPr>
      <w:r>
        <w:rPr>
          <w:rFonts w:ascii="Arial" w:hAnsi="Arial" w:cs="Arial"/>
          <w:b/>
          <w:bCs/>
          <w:i/>
          <w:color w:val="92D050"/>
        </w:rPr>
        <w:t>Strength of Recommendation: Strong</w:t>
      </w:r>
    </w:p>
    <w:p w:rsidR="00917085" w:rsidRDefault="00917085" w:rsidP="00917085">
      <w:pPr>
        <w:rPr>
          <w:rFonts w:ascii="Arial" w:hAnsi="Arial" w:cs="Arial"/>
          <w:b/>
          <w:bCs/>
          <w:i/>
          <w:color w:val="92D050"/>
        </w:rPr>
      </w:pPr>
      <w:r>
        <w:rPr>
          <w:rFonts w:ascii="Arial" w:hAnsi="Arial" w:cs="Arial"/>
          <w:b/>
          <w:bCs/>
          <w:i/>
          <w:color w:val="92D050"/>
        </w:rPr>
        <w:t>Dissent:  1</w:t>
      </w:r>
    </w:p>
    <w:p w:rsidR="00917085" w:rsidRDefault="00917085">
      <w:r w:rsidRPr="00BC2B5F">
        <w:rPr>
          <w:b/>
        </w:rPr>
        <w:t>Comment:</w:t>
      </w:r>
      <w:r>
        <w:t xml:space="preserve"> </w:t>
      </w:r>
      <w:r w:rsidR="00BC2B5F">
        <w:rPr>
          <w:rFonts w:eastAsia="Times New Roman"/>
        </w:rPr>
        <w:t xml:space="preserve">While the GRADE recommendation statement “recommend EGD with multiple duodenal biopsies for confirmation of diagnosis in both children and adults with suspicion of celiac disease”, one expert content disagree (and hence dissent) with the argument that </w:t>
      </w:r>
      <w:r w:rsidR="00960A3B">
        <w:rPr>
          <w:rFonts w:eastAsia="Times New Roman"/>
        </w:rPr>
        <w:t>“</w:t>
      </w:r>
      <w:r w:rsidR="00BC2B5F">
        <w:rPr>
          <w:rFonts w:eastAsia="Times New Roman"/>
        </w:rPr>
        <w:t>there is enough emerging evidence to support a non-biopsy diagnosis in adults.</w:t>
      </w:r>
      <w:r w:rsidR="00960A3B">
        <w:rPr>
          <w:rFonts w:eastAsia="Times New Roman"/>
        </w:rPr>
        <w:t>”</w:t>
      </w:r>
      <w:r w:rsidR="00BC2B5F">
        <w:rPr>
          <w:rFonts w:eastAsia="Times New Roman"/>
        </w:rPr>
        <w:t xml:space="preserve"> The opinion from expert content who dissent was that the evidence suggest a recommendation for non-biopsy diagnosis in adults with suspicion of celiac disease. T</w:t>
      </w:r>
      <w:r w:rsidR="00BC2B5F" w:rsidRPr="00917085">
        <w:rPr>
          <w:rFonts w:eastAsia="Times New Roman"/>
        </w:rPr>
        <w:t>he final decision for evaluation of evidence and the recommendation statement was made by expert GRADE methodologists an</w:t>
      </w:r>
      <w:r w:rsidR="00BC2B5F">
        <w:rPr>
          <w:rFonts w:eastAsia="Times New Roman"/>
        </w:rPr>
        <w:t xml:space="preserve">d we have to adhere to </w:t>
      </w:r>
      <w:r w:rsidR="00BC2B5F" w:rsidRPr="00917085">
        <w:rPr>
          <w:rFonts w:eastAsia="Times New Roman"/>
        </w:rPr>
        <w:t>guideline development</w:t>
      </w:r>
      <w:r w:rsidR="00BC2B5F">
        <w:rPr>
          <w:rFonts w:eastAsia="Times New Roman"/>
        </w:rPr>
        <w:t xml:space="preserve"> rules.</w:t>
      </w:r>
    </w:p>
    <w:p w:rsidR="00BC2B5F" w:rsidRDefault="00BC2B5F" w:rsidP="00BC2B5F">
      <w:pPr>
        <w:spacing w:after="200" w:line="276" w:lineRule="auto"/>
        <w:rPr>
          <w:rFonts w:ascii="Arial" w:hAnsi="Arial" w:cs="Arial"/>
          <w:b/>
          <w:i/>
        </w:rPr>
      </w:pPr>
    </w:p>
    <w:p w:rsidR="00DD3658" w:rsidRPr="00BC2B5F" w:rsidRDefault="00BC2B5F" w:rsidP="00BC2B5F">
      <w:pPr>
        <w:spacing w:after="200" w:line="276" w:lineRule="auto"/>
        <w:rPr>
          <w:rFonts w:ascii="Arial" w:hAnsi="Arial" w:cs="Arial"/>
          <w:b/>
          <w:i/>
        </w:rPr>
      </w:pPr>
      <w:r>
        <w:rPr>
          <w:rFonts w:ascii="Arial" w:hAnsi="Arial" w:cs="Arial"/>
          <w:b/>
          <w:i/>
        </w:rPr>
        <w:t>Dissent #2</w:t>
      </w:r>
    </w:p>
    <w:p w:rsidR="00917085" w:rsidRDefault="00917085" w:rsidP="00917085">
      <w:pPr>
        <w:rPr>
          <w:rFonts w:ascii="Arial" w:hAnsi="Arial" w:cs="Arial"/>
          <w:b/>
        </w:rPr>
      </w:pPr>
      <w:r>
        <w:rPr>
          <w:rFonts w:ascii="Arial" w:hAnsi="Arial" w:cs="Arial"/>
          <w:b/>
        </w:rPr>
        <w:t>3. We suggest against routine use of the gluten detection devices in food or bio-</w:t>
      </w:r>
      <w:bookmarkStart w:id="0" w:name="_GoBack"/>
      <w:bookmarkEnd w:id="0"/>
      <w:r>
        <w:rPr>
          <w:rFonts w:ascii="Arial" w:hAnsi="Arial" w:cs="Arial"/>
          <w:b/>
        </w:rPr>
        <w:t>specimens among patients with celiac disease.</w:t>
      </w:r>
    </w:p>
    <w:p w:rsidR="00917085" w:rsidRDefault="00917085" w:rsidP="00917085">
      <w:pPr>
        <w:rPr>
          <w:rFonts w:ascii="Arial" w:hAnsi="Arial" w:cs="Arial"/>
          <w:b/>
          <w:bCs/>
          <w:color w:val="92D050"/>
        </w:rPr>
      </w:pPr>
      <w:r>
        <w:rPr>
          <w:rFonts w:ascii="Arial" w:hAnsi="Arial" w:cs="Arial"/>
          <w:b/>
          <w:bCs/>
          <w:color w:val="92D050"/>
        </w:rPr>
        <w:t>Quality/Certainty of Evidence: Low</w:t>
      </w:r>
    </w:p>
    <w:p w:rsidR="00917085" w:rsidRDefault="00917085" w:rsidP="00917085">
      <w:pPr>
        <w:rPr>
          <w:rFonts w:ascii="Arial" w:hAnsi="Arial" w:cs="Arial"/>
          <w:b/>
          <w:bCs/>
          <w:color w:val="92D050"/>
        </w:rPr>
      </w:pPr>
      <w:r>
        <w:rPr>
          <w:rFonts w:ascii="Arial" w:hAnsi="Arial" w:cs="Arial"/>
          <w:b/>
          <w:bCs/>
          <w:color w:val="92D050"/>
        </w:rPr>
        <w:t>Strength of Recommendation: Conditional</w:t>
      </w:r>
    </w:p>
    <w:p w:rsidR="00917085" w:rsidRDefault="00917085" w:rsidP="00917085">
      <w:pPr>
        <w:rPr>
          <w:rFonts w:ascii="Arial" w:hAnsi="Arial" w:cs="Arial"/>
          <w:b/>
          <w:bCs/>
          <w:color w:val="92D050"/>
        </w:rPr>
      </w:pPr>
      <w:r>
        <w:rPr>
          <w:rFonts w:ascii="Arial" w:hAnsi="Arial" w:cs="Arial"/>
          <w:b/>
          <w:bCs/>
          <w:color w:val="92D050"/>
        </w:rPr>
        <w:lastRenderedPageBreak/>
        <w:t>Dissent: 1</w:t>
      </w:r>
    </w:p>
    <w:p w:rsidR="00917085" w:rsidRDefault="00917085">
      <w:r w:rsidRPr="00BC2B5F">
        <w:rPr>
          <w:b/>
        </w:rPr>
        <w:t>Comment:</w:t>
      </w:r>
      <w:r>
        <w:t xml:space="preserve"> </w:t>
      </w:r>
      <w:r>
        <w:rPr>
          <w:rFonts w:eastAsia="Times New Roman"/>
        </w:rPr>
        <w:t xml:space="preserve">While the GRADE recommendation statement “suggest against routine use of gluten detection devices”, one expert content disagree (and hence dissent) with the argument that </w:t>
      </w:r>
      <w:r w:rsidR="00960A3B">
        <w:rPr>
          <w:rFonts w:eastAsia="Times New Roman"/>
        </w:rPr>
        <w:t xml:space="preserve"> “</w:t>
      </w:r>
      <w:r>
        <w:rPr>
          <w:rFonts w:eastAsia="Times New Roman"/>
        </w:rPr>
        <w:t>there is does not appear to be the preponderance of evidence presented which says that there is any harm in this and there may be potential benefit.</w:t>
      </w:r>
      <w:r w:rsidR="00960A3B">
        <w:rPr>
          <w:rFonts w:eastAsia="Times New Roman"/>
        </w:rPr>
        <w:t>”</w:t>
      </w:r>
      <w:r>
        <w:rPr>
          <w:rFonts w:eastAsia="Times New Roman"/>
        </w:rPr>
        <w:t xml:space="preserve"> </w:t>
      </w:r>
      <w:r w:rsidR="00BC2B5F">
        <w:rPr>
          <w:rFonts w:eastAsia="Times New Roman"/>
        </w:rPr>
        <w:t xml:space="preserve"> The opinion from expert content who dissent </w:t>
      </w:r>
      <w:r>
        <w:rPr>
          <w:rFonts w:eastAsia="Times New Roman"/>
        </w:rPr>
        <w:t xml:space="preserve">was that evidence was more supportive for “evidence gap”. </w:t>
      </w:r>
      <w:r w:rsidR="00BC2B5F">
        <w:rPr>
          <w:rFonts w:eastAsia="Times New Roman"/>
        </w:rPr>
        <w:t>T</w:t>
      </w:r>
      <w:r w:rsidRPr="00917085">
        <w:rPr>
          <w:rFonts w:eastAsia="Times New Roman"/>
        </w:rPr>
        <w:t>he final decision for evaluation of evidence and the recommendation statement was made by expert GRADE methodologists an</w:t>
      </w:r>
      <w:r w:rsidR="00BC2B5F">
        <w:rPr>
          <w:rFonts w:eastAsia="Times New Roman"/>
        </w:rPr>
        <w:t xml:space="preserve">d we have to adhere to </w:t>
      </w:r>
      <w:r w:rsidRPr="00917085">
        <w:rPr>
          <w:rFonts w:eastAsia="Times New Roman"/>
        </w:rPr>
        <w:t>guideline development</w:t>
      </w:r>
      <w:r w:rsidR="00BC2B5F">
        <w:rPr>
          <w:rFonts w:eastAsia="Times New Roman"/>
        </w:rPr>
        <w:t xml:space="preserve"> rules. </w:t>
      </w:r>
    </w:p>
    <w:sectPr w:rsidR="009170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6B" w:rsidRDefault="0069196B" w:rsidP="00EC3D53">
      <w:pPr>
        <w:spacing w:after="0" w:line="240" w:lineRule="auto"/>
      </w:pPr>
      <w:r>
        <w:separator/>
      </w:r>
    </w:p>
  </w:endnote>
  <w:endnote w:type="continuationSeparator" w:id="0">
    <w:p w:rsidR="0069196B" w:rsidRDefault="0069196B" w:rsidP="00EC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6B" w:rsidRDefault="0069196B" w:rsidP="00EC3D53">
      <w:pPr>
        <w:spacing w:after="0" w:line="240" w:lineRule="auto"/>
      </w:pPr>
      <w:r>
        <w:separator/>
      </w:r>
    </w:p>
  </w:footnote>
  <w:footnote w:type="continuationSeparator" w:id="0">
    <w:p w:rsidR="0069196B" w:rsidRDefault="0069196B" w:rsidP="00EC3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53"/>
    <w:rsid w:val="001161C6"/>
    <w:rsid w:val="00152808"/>
    <w:rsid w:val="00486076"/>
    <w:rsid w:val="00553E5B"/>
    <w:rsid w:val="0069196B"/>
    <w:rsid w:val="00770F1F"/>
    <w:rsid w:val="009154F8"/>
    <w:rsid w:val="00917085"/>
    <w:rsid w:val="00960A3B"/>
    <w:rsid w:val="00A51DEA"/>
    <w:rsid w:val="00BC2B5F"/>
    <w:rsid w:val="00CD7C64"/>
    <w:rsid w:val="00DD3658"/>
    <w:rsid w:val="00EC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24A863-23AB-4FB8-B085-9251D077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Tapia, Alberto</dc:creator>
  <cp:keywords/>
  <dc:description/>
  <cp:lastModifiedBy>Rubio Tapia, Alberto</cp:lastModifiedBy>
  <cp:revision>6</cp:revision>
  <dcterms:created xsi:type="dcterms:W3CDTF">2022-05-24T19:37:00Z</dcterms:created>
  <dcterms:modified xsi:type="dcterms:W3CDTF">2022-06-15T16:21:00Z</dcterms:modified>
</cp:coreProperties>
</file>